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4577F3FC" w:rsidR="00E35DF9" w:rsidRPr="00DE1ACD" w:rsidRDefault="00C218DA" w:rsidP="00BA23AE">
      <w:pPr>
        <w:pStyle w:val="121"/>
        <w:rPr>
          <w:rtl/>
        </w:rPr>
      </w:pPr>
      <w:bookmarkStart w:id="0" w:name="_Hlk33962351"/>
      <w:r w:rsidRPr="00C218DA">
        <w:rPr>
          <w:rtl/>
        </w:rPr>
        <w:t>רכישה ומכירה של דירות הדיור הציבורי</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Default="00E35DF9" w:rsidP="008D2388">
      <w:pPr>
        <w:spacing w:line="240" w:lineRule="atLeast"/>
        <w:jc w:val="center"/>
        <w:rPr>
          <w:rFonts w:ascii="Tahoma" w:hAnsi="Tahoma" w:cs="Tahoma"/>
          <w:sz w:val="22"/>
          <w:szCs w:val="22"/>
          <w:rtl/>
        </w:rPr>
      </w:pPr>
    </w:p>
    <w:p w14:paraId="1D311F15" w14:textId="2D055BFC" w:rsidR="008C0B8B" w:rsidRDefault="008C0B8B" w:rsidP="008D2388">
      <w:pPr>
        <w:spacing w:line="240" w:lineRule="atLeast"/>
        <w:jc w:val="center"/>
        <w:rPr>
          <w:rFonts w:ascii="Tahoma" w:hAnsi="Tahoma" w:cs="Tahoma"/>
          <w:sz w:val="22"/>
          <w:szCs w:val="22"/>
          <w:rtl/>
        </w:rPr>
      </w:pPr>
    </w:p>
    <w:p w14:paraId="41A69B61" w14:textId="2FA3A0FF" w:rsidR="00C218DA" w:rsidRDefault="00C218DA" w:rsidP="008D2388">
      <w:pPr>
        <w:spacing w:line="240" w:lineRule="atLeast"/>
        <w:jc w:val="center"/>
        <w:rPr>
          <w:rFonts w:ascii="Tahoma" w:hAnsi="Tahoma" w:cs="Tahoma"/>
          <w:sz w:val="22"/>
          <w:szCs w:val="22"/>
          <w:rtl/>
        </w:rPr>
      </w:pPr>
    </w:p>
    <w:p w14:paraId="6E03E7C2" w14:textId="77777777" w:rsidR="00C218DA" w:rsidRDefault="00C218DA"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5CE8CDEA" w14:textId="77777777" w:rsidR="00240C02" w:rsidRDefault="00240C02" w:rsidP="00240C02">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3C6CB737"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653B0FB7">
            <wp:extent cx="5219700" cy="615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153502"/>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1C02301E"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3B08DF85">
            <wp:extent cx="5219999" cy="65406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540654"/>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3468308C"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693859C3">
            <wp:extent cx="5220000" cy="61015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101587"/>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2B7122F8"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0A2E5CF0">
            <wp:extent cx="5220000" cy="449136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4491364"/>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5B2D9773" w:rsidR="0000085D" w:rsidRPr="00DE1ACD" w:rsidRDefault="005138F5" w:rsidP="00F83228">
      <w:pPr>
        <w:pStyle w:val="121"/>
        <w:rPr>
          <w:rtl/>
        </w:rPr>
      </w:pPr>
      <w:r w:rsidRPr="007211F8">
        <w:rPr>
          <w:rFonts w:hint="cs"/>
          <w:rtl/>
        </w:rPr>
        <w:lastRenderedPageBreak/>
        <w:t>רכישה ומכירה של דירות הדיור הציבורי</w:t>
      </w:r>
    </w:p>
    <w:p w14:paraId="1B710307" w14:textId="328841D4" w:rsidR="00C218DA" w:rsidRPr="004E0E00" w:rsidRDefault="006D5CCE" w:rsidP="005138F5">
      <w:pPr>
        <w:pStyle w:val="316"/>
        <w:rPr>
          <w:rtl/>
        </w:rPr>
      </w:pPr>
      <w:r w:rsidRPr="001C72B2">
        <w:rPr>
          <w:rtl/>
        </w:rPr>
        <w:t>מבוא</w:t>
      </w:r>
      <w:bookmarkStart w:id="1" w:name="_Toc24624820"/>
      <w:bookmarkStart w:id="2" w:name="_Toc23159657"/>
      <w:bookmarkStart w:id="3" w:name="_Toc23160155"/>
      <w:bookmarkStart w:id="4" w:name="_Toc14955276"/>
      <w:bookmarkStart w:id="5" w:name="copyNevSelection"/>
    </w:p>
    <w:p w14:paraId="34DD05B1" w14:textId="77777777" w:rsidR="00C218DA" w:rsidRPr="00E62A8E" w:rsidRDefault="00C218DA" w:rsidP="005138F5">
      <w:pPr>
        <w:pStyle w:val="100"/>
        <w:rPr>
          <w:rtl/>
        </w:rPr>
      </w:pPr>
      <w:r>
        <w:rPr>
          <w:rFonts w:hint="cs"/>
          <w:rtl/>
        </w:rPr>
        <w:t>מערך הסיוע הממשלתי בתחום הדיור הוא</w:t>
      </w:r>
      <w:r w:rsidRPr="001A0DA5">
        <w:rPr>
          <w:rFonts w:hint="cs"/>
          <w:rtl/>
        </w:rPr>
        <w:t xml:space="preserve"> מרכיב מרכזי ברשת המגן שהמדינה פור</w:t>
      </w:r>
      <w:r>
        <w:rPr>
          <w:rFonts w:hint="cs"/>
          <w:rtl/>
        </w:rPr>
        <w:t>ס</w:t>
      </w:r>
      <w:r w:rsidRPr="001A0DA5">
        <w:rPr>
          <w:rFonts w:hint="cs"/>
          <w:rtl/>
        </w:rPr>
        <w:t>ת לאוכלוסייה החלשה בחברה</w:t>
      </w:r>
      <w:r>
        <w:rPr>
          <w:rFonts w:hint="cs"/>
          <w:rtl/>
        </w:rPr>
        <w:t xml:space="preserve">, והוא אף </w:t>
      </w:r>
      <w:r w:rsidRPr="007B19FA">
        <w:rPr>
          <w:rFonts w:hint="cs"/>
          <w:rtl/>
        </w:rPr>
        <w:t>מרכיב מהותי ב</w:t>
      </w:r>
      <w:r>
        <w:rPr>
          <w:rFonts w:hint="cs"/>
          <w:rtl/>
        </w:rPr>
        <w:t xml:space="preserve">חובתה להבטיח את </w:t>
      </w:r>
      <w:r w:rsidRPr="007B19FA">
        <w:rPr>
          <w:rFonts w:hint="cs"/>
          <w:rtl/>
        </w:rPr>
        <w:t>מימוש זכות</w:t>
      </w:r>
      <w:r>
        <w:rPr>
          <w:rFonts w:hint="cs"/>
          <w:rtl/>
        </w:rPr>
        <w:t>ה</w:t>
      </w:r>
      <w:r w:rsidRPr="007B19FA">
        <w:rPr>
          <w:rFonts w:hint="cs"/>
          <w:rtl/>
        </w:rPr>
        <w:t xml:space="preserve"> הבסיסית של </w:t>
      </w:r>
      <w:r>
        <w:rPr>
          <w:rFonts w:hint="cs"/>
          <w:rtl/>
        </w:rPr>
        <w:t>ה</w:t>
      </w:r>
      <w:r w:rsidRPr="007B19FA">
        <w:rPr>
          <w:rFonts w:hint="cs"/>
          <w:rtl/>
        </w:rPr>
        <w:t>אוכלוסי</w:t>
      </w:r>
      <w:r>
        <w:rPr>
          <w:rFonts w:hint="cs"/>
          <w:rtl/>
        </w:rPr>
        <w:t>יה הזאת</w:t>
      </w:r>
      <w:r w:rsidRPr="007B19FA">
        <w:rPr>
          <w:rFonts w:hint="cs"/>
          <w:rtl/>
        </w:rPr>
        <w:t xml:space="preserve"> לחיים בכבוד</w:t>
      </w:r>
      <w:r w:rsidRPr="00C371BD">
        <w:rPr>
          <w:rtl/>
        </w:rPr>
        <w:t>.</w:t>
      </w:r>
      <w:r>
        <w:rPr>
          <w:rFonts w:hint="cs"/>
          <w:rtl/>
        </w:rPr>
        <w:t xml:space="preserve"> מערך הסיוע בדיור כולל שני סוגים עיקריים של סיוע. הראשון, שבו עוסק דוח הביקורת הזה, הוא השכרה ללא הגבלת זמן בשכר דירה מסובסד של </w:t>
      </w:r>
      <w:r w:rsidRPr="00FE43FC">
        <w:rPr>
          <w:rtl/>
        </w:rPr>
        <w:t>דירות בבעלות המדינה</w:t>
      </w:r>
      <w:r>
        <w:rPr>
          <w:rFonts w:hint="cs"/>
          <w:rtl/>
        </w:rPr>
        <w:t xml:space="preserve"> למשקי בית העומדים בתנאי הזכאות שקבעה המדינה, ובהם התייחסות למספר הילדים ולהכנסה (להלן - הדיור הציבורי או דירות ציבוריות)</w:t>
      </w:r>
      <w:r>
        <w:rPr>
          <w:rStyle w:val="FootnoteReference"/>
          <w:sz w:val="24"/>
          <w:rtl/>
        </w:rPr>
        <w:footnoteReference w:id="1"/>
      </w:r>
      <w:r>
        <w:rPr>
          <w:rFonts w:hint="cs"/>
          <w:rtl/>
        </w:rPr>
        <w:t>. בשנת 2018 התגוררו בדירות הציבוריות כ-49,000 משקי בית; סוג הסיוע השני הוא השתתפות המדינה בתשלום שכר דירה בשוק החופשי לאוכלוסייה הזכאית לכך. גובה הסיוע תלוי, בין היתר, ב</w:t>
      </w:r>
      <w:r w:rsidRPr="003721E8">
        <w:rPr>
          <w:rtl/>
        </w:rPr>
        <w:t xml:space="preserve">גודל המשפחה </w:t>
      </w:r>
      <w:r>
        <w:rPr>
          <w:rFonts w:hint="cs"/>
          <w:rtl/>
        </w:rPr>
        <w:t>וב</w:t>
      </w:r>
      <w:r w:rsidRPr="003721E8">
        <w:rPr>
          <w:rtl/>
        </w:rPr>
        <w:t>אזור</w:t>
      </w:r>
      <w:r>
        <w:rPr>
          <w:rFonts w:hint="cs"/>
          <w:rtl/>
        </w:rPr>
        <w:t xml:space="preserve"> הגיאוגרפי.</w:t>
      </w:r>
      <w:r w:rsidRPr="00F2533E">
        <w:rPr>
          <w:rFonts w:hint="cs"/>
          <w:rtl/>
        </w:rPr>
        <w:t xml:space="preserve"> </w:t>
      </w:r>
      <w:r>
        <w:rPr>
          <w:rFonts w:hint="cs"/>
          <w:rtl/>
        </w:rPr>
        <w:t xml:space="preserve">סכום הסיוע בשכר דירה נע בין 340 ש"ח ל-3,900 ש"ח לחודש, ובממוצע כ-1,000 ש"ח לחודש. בשנת 2018 ניתן סיוע בשכר דירה לכ-170,000 משקי בית בסכום של כ-2 מיליארד ש"ח מתקציב המדינה. תנאי הזכאות לסיוע בשכר דירה מחמירים פחות מאשר התנאים לזכאות למגורים בדירה ציבורית. למשל, </w:t>
      </w:r>
      <w:r w:rsidRPr="003064E0">
        <w:rPr>
          <w:rFonts w:hint="cs"/>
          <w:rtl/>
        </w:rPr>
        <w:t>זוג ללא ילדים שהכנסתם נמוכה ושאין בבעלותם דירה (ובני הזוג אינ</w:t>
      </w:r>
      <w:r>
        <w:rPr>
          <w:rFonts w:hint="cs"/>
          <w:rtl/>
        </w:rPr>
        <w:t>ם</w:t>
      </w:r>
      <w:r w:rsidRPr="003064E0">
        <w:rPr>
          <w:rFonts w:hint="cs"/>
          <w:rtl/>
        </w:rPr>
        <w:t xml:space="preserve"> </w:t>
      </w:r>
      <w:r>
        <w:rPr>
          <w:rFonts w:hint="cs"/>
          <w:rtl/>
        </w:rPr>
        <w:t>בעלי מוגבלות כלשהי</w:t>
      </w:r>
      <w:r w:rsidRPr="003064E0">
        <w:rPr>
          <w:rFonts w:hint="cs"/>
          <w:rtl/>
        </w:rPr>
        <w:t xml:space="preserve">), יכול </w:t>
      </w:r>
      <w:r>
        <w:rPr>
          <w:rFonts w:hint="cs"/>
          <w:rtl/>
        </w:rPr>
        <w:t>להיות</w:t>
      </w:r>
      <w:r w:rsidRPr="003064E0">
        <w:rPr>
          <w:rFonts w:hint="cs"/>
          <w:rtl/>
        </w:rPr>
        <w:t xml:space="preserve"> זכאי לקבל סיוע בשכר דירה, </w:t>
      </w:r>
      <w:r>
        <w:rPr>
          <w:rFonts w:hint="cs"/>
          <w:rtl/>
        </w:rPr>
        <w:t>אך לא יהיה</w:t>
      </w:r>
      <w:r w:rsidRPr="003064E0">
        <w:rPr>
          <w:rFonts w:hint="cs"/>
          <w:rtl/>
        </w:rPr>
        <w:t xml:space="preserve"> זכאי לדיור ציבורי.</w:t>
      </w:r>
    </w:p>
    <w:p w14:paraId="387B5387" w14:textId="77777777" w:rsidR="00C218DA" w:rsidRDefault="00C218DA" w:rsidP="005138F5">
      <w:pPr>
        <w:pStyle w:val="100"/>
        <w:rPr>
          <w:rFonts w:eastAsia="Times New Roman"/>
          <w:sz w:val="22"/>
          <w:szCs w:val="22"/>
          <w:rtl/>
          <w:lang w:eastAsia="he-IL"/>
        </w:rPr>
      </w:pPr>
      <w:r w:rsidRPr="001A0DA5">
        <w:rPr>
          <w:rFonts w:hint="cs"/>
          <w:rtl/>
        </w:rPr>
        <w:t>משרד הבינוי והשיכון</w:t>
      </w:r>
      <w:r>
        <w:rPr>
          <w:rFonts w:hint="cs"/>
          <w:rtl/>
        </w:rPr>
        <w:t xml:space="preserve"> </w:t>
      </w:r>
      <w:r w:rsidRPr="001A0DA5">
        <w:rPr>
          <w:rtl/>
        </w:rPr>
        <w:t>(להלן - משרד ה</w:t>
      </w:r>
      <w:r>
        <w:rPr>
          <w:rFonts w:hint="cs"/>
          <w:rtl/>
        </w:rPr>
        <w:t>בינוי</w:t>
      </w:r>
      <w:r w:rsidRPr="001A0DA5">
        <w:rPr>
          <w:rtl/>
        </w:rPr>
        <w:t xml:space="preserve"> או המשרד)</w:t>
      </w:r>
      <w:r>
        <w:rPr>
          <w:rFonts w:hint="cs"/>
          <w:rtl/>
        </w:rPr>
        <w:t xml:space="preserve"> הוא המשרד המאסדר של מערך הדיור הציבורי. המשרד אחראי לניהול מאגר הדיור הציבורי, שמנה בשנת 2019 כ-53,000 דירות</w:t>
      </w:r>
      <w:r>
        <w:rPr>
          <w:rStyle w:val="FootnoteReference"/>
          <w:sz w:val="24"/>
          <w:rtl/>
        </w:rPr>
        <w:footnoteReference w:id="2"/>
      </w:r>
      <w:r>
        <w:rPr>
          <w:rFonts w:hint="cs"/>
          <w:rtl/>
        </w:rPr>
        <w:t xml:space="preserve"> ב-110 יישובים, ובכלל זה להקצאת הדירות לזכאים ולתחזוקת הדירות.</w:t>
      </w:r>
      <w:r w:rsidRPr="001A0DA5">
        <w:rPr>
          <w:rFonts w:hint="cs"/>
          <w:rtl/>
        </w:rPr>
        <w:t xml:space="preserve"> </w:t>
      </w:r>
      <w:r>
        <w:rPr>
          <w:rFonts w:hint="cs"/>
          <w:rtl/>
        </w:rPr>
        <w:t>חלק מתפקידיו בתחום</w:t>
      </w:r>
      <w:r w:rsidRPr="007B19FA">
        <w:rPr>
          <w:rtl/>
        </w:rPr>
        <w:t xml:space="preserve"> הדיור הציבורי</w:t>
      </w:r>
      <w:r>
        <w:rPr>
          <w:rFonts w:hint="cs"/>
          <w:rtl/>
        </w:rPr>
        <w:t xml:space="preserve"> מבצע המשרד באמצעות חברות ממשלתיות ואחרות, </w:t>
      </w:r>
      <w:r w:rsidRPr="00F91AAA">
        <w:rPr>
          <w:rFonts w:hint="cs"/>
          <w:rtl/>
        </w:rPr>
        <w:t>הפועלות לפי הנחיותיו</w:t>
      </w:r>
      <w:r w:rsidRPr="00F91AAA">
        <w:rPr>
          <w:rtl/>
        </w:rPr>
        <w:t xml:space="preserve"> (להלן</w:t>
      </w:r>
      <w:r w:rsidRPr="00F91AAA">
        <w:rPr>
          <w:rFonts w:hint="cs"/>
          <w:rtl/>
        </w:rPr>
        <w:t xml:space="preserve"> - ה</w:t>
      </w:r>
      <w:r w:rsidRPr="00F91AAA">
        <w:rPr>
          <w:rtl/>
        </w:rPr>
        <w:t>חברות ה</w:t>
      </w:r>
      <w:r w:rsidRPr="00F91AAA">
        <w:rPr>
          <w:rFonts w:eastAsia="Times New Roman" w:hint="cs"/>
          <w:rtl/>
          <w:lang w:eastAsia="he-IL"/>
        </w:rPr>
        <w:t>מאכלסות</w:t>
      </w:r>
      <w:r w:rsidRPr="00F91AAA">
        <w:rPr>
          <w:rFonts w:eastAsia="Times New Roman"/>
          <w:rtl/>
          <w:lang w:eastAsia="he-IL"/>
        </w:rPr>
        <w:t>)</w:t>
      </w:r>
      <w:r>
        <w:rPr>
          <w:rFonts w:eastAsia="Times New Roman" w:hint="cs"/>
          <w:rtl/>
          <w:lang w:eastAsia="he-IL"/>
        </w:rPr>
        <w:t xml:space="preserve">. </w:t>
      </w:r>
      <w:r w:rsidRPr="00F91AAA">
        <w:rPr>
          <w:rFonts w:eastAsia="Times New Roman" w:hint="cs"/>
          <w:rtl/>
          <w:lang w:eastAsia="he-IL"/>
        </w:rPr>
        <w:t>המרכזית שבהן היא עמידר</w:t>
      </w:r>
      <w:r>
        <w:rPr>
          <w:rFonts w:eastAsia="Times New Roman" w:hint="cs"/>
          <w:rtl/>
          <w:lang w:eastAsia="he-IL"/>
        </w:rPr>
        <w:t>,</w:t>
      </w:r>
      <w:r w:rsidRPr="00F91AAA">
        <w:rPr>
          <w:rFonts w:eastAsia="Times New Roman" w:hint="cs"/>
          <w:rtl/>
          <w:lang w:eastAsia="he-IL"/>
        </w:rPr>
        <w:t xml:space="preserve"> החברה הלאומית לשיכון בישראל בע"מ (להלן - עמידר), המנהלת כ-</w:t>
      </w:r>
      <w:r>
        <w:rPr>
          <w:rFonts w:eastAsia="Times New Roman" w:hint="cs"/>
          <w:rtl/>
          <w:lang w:eastAsia="he-IL"/>
        </w:rPr>
        <w:t>39,000</w:t>
      </w:r>
      <w:r w:rsidRPr="00F91AAA">
        <w:rPr>
          <w:rFonts w:eastAsia="Times New Roman" w:hint="cs"/>
          <w:rtl/>
          <w:lang w:eastAsia="he-IL"/>
        </w:rPr>
        <w:t xml:space="preserve"> דירות ציבוריות (כ-73% מהדירות</w:t>
      </w:r>
      <w:r>
        <w:rPr>
          <w:rFonts w:eastAsia="Times New Roman" w:hint="cs"/>
          <w:rtl/>
          <w:lang w:eastAsia="he-IL"/>
        </w:rPr>
        <w:t xml:space="preserve"> במאגר</w:t>
      </w:r>
      <w:r w:rsidRPr="00F91AAA">
        <w:rPr>
          <w:rFonts w:eastAsia="Times New Roman" w:hint="cs"/>
          <w:rtl/>
          <w:lang w:eastAsia="he-IL"/>
        </w:rPr>
        <w:t>). להלן בתרשים</w:t>
      </w:r>
      <w:r>
        <w:rPr>
          <w:rFonts w:eastAsia="Times New Roman" w:hint="cs"/>
          <w:rtl/>
          <w:lang w:eastAsia="he-IL"/>
        </w:rPr>
        <w:t xml:space="preserve"> 1 </w:t>
      </w:r>
      <w:r w:rsidRPr="00F91AAA">
        <w:rPr>
          <w:rFonts w:eastAsia="Times New Roman" w:hint="cs"/>
          <w:rtl/>
          <w:lang w:eastAsia="he-IL"/>
        </w:rPr>
        <w:t>פירוט הדירות הציבוריות לפי החברה המאכלסת</w:t>
      </w:r>
      <w:r>
        <w:rPr>
          <w:rFonts w:eastAsia="Times New Roman" w:hint="cs"/>
          <w:sz w:val="22"/>
          <w:szCs w:val="22"/>
          <w:rtl/>
          <w:lang w:eastAsia="he-IL"/>
        </w:rPr>
        <w:t xml:space="preserve"> </w:t>
      </w:r>
      <w:r w:rsidRPr="00C45B20">
        <w:rPr>
          <w:rFonts w:eastAsia="Times New Roman" w:hint="cs"/>
          <w:rtl/>
          <w:lang w:eastAsia="he-IL"/>
        </w:rPr>
        <w:t>בשנת 2019:</w:t>
      </w:r>
    </w:p>
    <w:p w14:paraId="6E403F7A" w14:textId="77777777" w:rsidR="00C218DA" w:rsidRDefault="00C218DA" w:rsidP="00C218DA">
      <w:pPr>
        <w:tabs>
          <w:tab w:val="left" w:pos="567"/>
          <w:tab w:val="left" w:pos="851"/>
        </w:tabs>
        <w:spacing w:line="269" w:lineRule="auto"/>
        <w:rPr>
          <w:rFonts w:eastAsia="Times New Roman"/>
          <w:sz w:val="22"/>
          <w:szCs w:val="22"/>
          <w:rtl/>
          <w:lang w:eastAsia="he-IL"/>
        </w:rPr>
      </w:pPr>
    </w:p>
    <w:p w14:paraId="7E6CC710" w14:textId="01101092" w:rsidR="00C218DA" w:rsidRDefault="00C218DA" w:rsidP="00B351A7">
      <w:pPr>
        <w:pStyle w:val="aa"/>
        <w:bidi w:val="0"/>
        <w:rPr>
          <w:rFonts w:eastAsia="Times New Roman"/>
          <w:lang w:eastAsia="he-IL"/>
        </w:rPr>
      </w:pPr>
      <w:r w:rsidRPr="007B04ED">
        <w:rPr>
          <w:rFonts w:eastAsia="Times New Roman" w:hint="eastAsia"/>
          <w:rtl/>
          <w:lang w:eastAsia="he-IL"/>
        </w:rPr>
        <w:lastRenderedPageBreak/>
        <w:t>תרשים</w:t>
      </w:r>
      <w:r w:rsidRPr="007B04ED">
        <w:rPr>
          <w:rFonts w:eastAsia="Times New Roman"/>
          <w:rtl/>
          <w:lang w:eastAsia="he-IL"/>
        </w:rPr>
        <w:t xml:space="preserve"> 1: </w:t>
      </w:r>
      <w:r w:rsidRPr="00B351A7">
        <w:rPr>
          <w:rFonts w:eastAsia="Times New Roman" w:hint="cs"/>
          <w:b/>
          <w:bCs/>
          <w:rtl/>
          <w:lang w:eastAsia="he-IL"/>
        </w:rPr>
        <w:t>פירוט הדירות הציבוריות, ל</w:t>
      </w:r>
      <w:r w:rsidR="00B351A7" w:rsidRPr="00B351A7">
        <w:rPr>
          <w:rFonts w:eastAsia="Times New Roman" w:hint="cs"/>
          <w:b/>
          <w:bCs/>
          <w:rtl/>
          <w:lang w:eastAsia="he-IL"/>
        </w:rPr>
        <w:t>פי החברה המאכלסת, 2019 (באחוזים</w:t>
      </w:r>
      <w:r w:rsidR="00F56135">
        <w:rPr>
          <w:rFonts w:eastAsia="Times New Roman" w:hint="cs"/>
          <w:b/>
          <w:bCs/>
          <w:rtl/>
          <w:lang w:eastAsia="he-IL"/>
        </w:rPr>
        <w:t>)</w:t>
      </w:r>
    </w:p>
    <w:p w14:paraId="2E1DB450" w14:textId="77777777" w:rsidR="00C218DA" w:rsidRDefault="00C218DA" w:rsidP="00C218DA">
      <w:pPr>
        <w:tabs>
          <w:tab w:val="left" w:pos="567"/>
          <w:tab w:val="left" w:pos="851"/>
        </w:tabs>
        <w:spacing w:line="269" w:lineRule="auto"/>
        <w:jc w:val="center"/>
        <w:rPr>
          <w:rFonts w:eastAsia="Times New Roman"/>
          <w:b/>
          <w:bCs/>
          <w:sz w:val="24"/>
          <w:rtl/>
          <w:lang w:eastAsia="he-IL"/>
        </w:rPr>
      </w:pPr>
      <w:r>
        <w:rPr>
          <w:noProof/>
        </w:rPr>
        <w:drawing>
          <wp:inline distT="0" distB="0" distL="0" distR="0" wp14:anchorId="36C79272" wp14:editId="214A0060">
            <wp:extent cx="5274310" cy="4993973"/>
            <wp:effectExtent l="0" t="0" r="2540" b="0"/>
            <wp:docPr id="9" name="תמונה 9" descr="C:\Users\valeri_le\AppData\Local\Microsoft\Windows\INetCache\Content.Word\diur-diur tzibori Compan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i_le\AppData\Local\Microsoft\Windows\INetCache\Content.Word\diur-diur tzibori Companie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4993973"/>
                    </a:xfrm>
                    <a:prstGeom prst="rect">
                      <a:avLst/>
                    </a:prstGeom>
                    <a:noFill/>
                    <a:ln>
                      <a:noFill/>
                    </a:ln>
                  </pic:spPr>
                </pic:pic>
              </a:graphicData>
            </a:graphic>
          </wp:inline>
        </w:drawing>
      </w:r>
    </w:p>
    <w:p w14:paraId="449B3282" w14:textId="77777777" w:rsidR="00C218DA" w:rsidRPr="00663B63" w:rsidRDefault="00C218DA" w:rsidP="00B351A7">
      <w:pPr>
        <w:pStyle w:val="ac"/>
        <w:rPr>
          <w:rtl/>
          <w:lang w:eastAsia="he-IL"/>
        </w:rPr>
      </w:pPr>
      <w:r w:rsidRPr="00990E1E">
        <w:rPr>
          <w:rFonts w:hint="eastAsia"/>
          <w:rtl/>
          <w:lang w:eastAsia="he-IL"/>
        </w:rPr>
        <w:t>ע</w:t>
      </w:r>
      <w:r w:rsidRPr="00663B63">
        <w:rPr>
          <w:rFonts w:hint="eastAsia"/>
          <w:rtl/>
          <w:lang w:eastAsia="he-IL"/>
        </w:rPr>
        <w:t>ל</w:t>
      </w:r>
      <w:r w:rsidRPr="00663B63">
        <w:rPr>
          <w:rtl/>
          <w:lang w:eastAsia="he-IL"/>
        </w:rPr>
        <w:t xml:space="preserve"> פי </w:t>
      </w:r>
      <w:r w:rsidRPr="00663B63">
        <w:rPr>
          <w:rFonts w:hint="eastAsia"/>
          <w:rtl/>
          <w:lang w:eastAsia="he-IL"/>
        </w:rPr>
        <w:t>נתוני</w:t>
      </w:r>
      <w:r w:rsidRPr="00663B63">
        <w:rPr>
          <w:rtl/>
          <w:lang w:eastAsia="he-IL"/>
        </w:rPr>
        <w:t xml:space="preserve"> </w:t>
      </w:r>
      <w:r w:rsidRPr="00663B63">
        <w:rPr>
          <w:rFonts w:hint="eastAsia"/>
          <w:rtl/>
          <w:lang w:eastAsia="he-IL"/>
        </w:rPr>
        <w:t>משרד</w:t>
      </w:r>
      <w:r w:rsidRPr="00663B63">
        <w:rPr>
          <w:rtl/>
          <w:lang w:eastAsia="he-IL"/>
        </w:rPr>
        <w:t xml:space="preserve"> הבינוי, בעיבוד משרד מבקר המדינה.</w:t>
      </w:r>
    </w:p>
    <w:p w14:paraId="7797BE73" w14:textId="77777777" w:rsidR="001A71C9" w:rsidRDefault="001A71C9" w:rsidP="00B351A7">
      <w:pPr>
        <w:pStyle w:val="100"/>
        <w:rPr>
          <w:rtl/>
        </w:rPr>
      </w:pPr>
    </w:p>
    <w:p w14:paraId="04BD037F" w14:textId="77777777" w:rsidR="00C218DA" w:rsidRDefault="00C218DA" w:rsidP="00B351A7">
      <w:pPr>
        <w:pStyle w:val="100"/>
        <w:rPr>
          <w:rtl/>
        </w:rPr>
      </w:pPr>
      <w:r w:rsidRPr="006350B1">
        <w:rPr>
          <w:rFonts w:hint="cs"/>
          <w:rtl/>
        </w:rPr>
        <w:t xml:space="preserve">יצוין כי גם משרד העלייה והקליטה </w:t>
      </w:r>
      <w:r w:rsidRPr="006350B1">
        <w:rPr>
          <w:rtl/>
        </w:rPr>
        <w:t>(להלן - משרד הקליטה) מסייע בדיור</w:t>
      </w:r>
      <w:r w:rsidRPr="006350B1">
        <w:rPr>
          <w:rFonts w:hint="cs"/>
          <w:rtl/>
        </w:rPr>
        <w:t xml:space="preserve"> </w:t>
      </w:r>
      <w:r w:rsidRPr="006350B1">
        <w:rPr>
          <w:rtl/>
        </w:rPr>
        <w:t xml:space="preserve">לעולים </w:t>
      </w:r>
      <w:r w:rsidRPr="006350B1">
        <w:rPr>
          <w:rFonts w:hint="cs"/>
          <w:rtl/>
        </w:rPr>
        <w:t>חדשים</w:t>
      </w:r>
      <w:r>
        <w:rPr>
          <w:rFonts w:hint="cs"/>
          <w:rtl/>
        </w:rPr>
        <w:t xml:space="preserve"> באמצעות הקניית זכאות להתגורר בדירה ציבורית</w:t>
      </w:r>
      <w:r w:rsidRPr="006350B1">
        <w:rPr>
          <w:rtl/>
        </w:rPr>
        <w:t xml:space="preserve">. </w:t>
      </w:r>
      <w:r>
        <w:rPr>
          <w:rFonts w:hint="cs"/>
          <w:rtl/>
        </w:rPr>
        <w:t xml:space="preserve">משרד הקליטה קבע אמות מידה למתן </w:t>
      </w:r>
      <w:r w:rsidRPr="006350B1">
        <w:rPr>
          <w:rtl/>
        </w:rPr>
        <w:t xml:space="preserve">הזכאות </w:t>
      </w:r>
      <w:r>
        <w:rPr>
          <w:rFonts w:hint="cs"/>
          <w:rtl/>
        </w:rPr>
        <w:t>ל</w:t>
      </w:r>
      <w:r w:rsidRPr="006350B1">
        <w:rPr>
          <w:rFonts w:hint="cs"/>
          <w:rtl/>
        </w:rPr>
        <w:t>עולים</w:t>
      </w:r>
      <w:r>
        <w:rPr>
          <w:rFonts w:hint="cs"/>
          <w:rtl/>
        </w:rPr>
        <w:t>, והוא מנהל רשימת זכאים משלו</w:t>
      </w:r>
      <w:r w:rsidRPr="00C7177E">
        <w:rPr>
          <w:rFonts w:hint="cs"/>
          <w:rtl/>
        </w:rPr>
        <w:t>. בהתאם לה</w:t>
      </w:r>
      <w:r>
        <w:rPr>
          <w:rFonts w:hint="cs"/>
          <w:rtl/>
        </w:rPr>
        <w:t>נחיית</w:t>
      </w:r>
      <w:r w:rsidRPr="00C7177E">
        <w:rPr>
          <w:rFonts w:hint="cs"/>
          <w:rtl/>
        </w:rPr>
        <w:t xml:space="preserve"> שר הבינוי </w:t>
      </w:r>
      <w:r>
        <w:rPr>
          <w:rFonts w:hint="cs"/>
          <w:rtl/>
        </w:rPr>
        <w:t xml:space="preserve">והשיכון (להלן - שר הבינוי) </w:t>
      </w:r>
      <w:r w:rsidRPr="00C7177E">
        <w:rPr>
          <w:rFonts w:hint="cs"/>
          <w:rtl/>
        </w:rPr>
        <w:t>משנת 2007</w:t>
      </w:r>
      <w:r>
        <w:rPr>
          <w:rFonts w:hint="cs"/>
          <w:rtl/>
        </w:rPr>
        <w:t>,</w:t>
      </w:r>
      <w:r w:rsidRPr="00C7177E">
        <w:rPr>
          <w:rFonts w:hint="cs"/>
          <w:rtl/>
        </w:rPr>
        <w:t xml:space="preserve"> </w:t>
      </w:r>
      <w:r w:rsidRPr="00AC0D0B">
        <w:rPr>
          <w:rFonts w:hint="cs"/>
          <w:rtl/>
        </w:rPr>
        <w:t>שני שליש</w:t>
      </w:r>
      <w:r>
        <w:rPr>
          <w:rFonts w:hint="cs"/>
          <w:rtl/>
        </w:rPr>
        <w:t>ים</w:t>
      </w:r>
      <w:r w:rsidRPr="00AC0D0B">
        <w:rPr>
          <w:rFonts w:hint="cs"/>
          <w:rtl/>
        </w:rPr>
        <w:t xml:space="preserve"> מהדירות הציבוריות</w:t>
      </w:r>
      <w:r>
        <w:rPr>
          <w:rFonts w:hint="cs"/>
          <w:rtl/>
        </w:rPr>
        <w:t xml:space="preserve"> הפנויות לאכלוס מוקצים לזכאי משרד הבינוי ושליש מוקצה לזכאי משרד הקליטה</w:t>
      </w:r>
      <w:r w:rsidRPr="006350B1">
        <w:rPr>
          <w:rtl/>
        </w:rPr>
        <w:t>.</w:t>
      </w:r>
      <w:r w:rsidRPr="006350B1">
        <w:rPr>
          <w:rFonts w:hint="cs"/>
          <w:rtl/>
        </w:rPr>
        <w:t xml:space="preserve"> </w:t>
      </w:r>
    </w:p>
    <w:p w14:paraId="29C41CF6" w14:textId="77777777" w:rsidR="00C218DA" w:rsidRDefault="00C218DA" w:rsidP="00B351A7">
      <w:pPr>
        <w:pStyle w:val="100"/>
        <w:rPr>
          <w:rtl/>
        </w:rPr>
      </w:pPr>
      <w:r>
        <w:rPr>
          <w:rFonts w:hint="cs"/>
          <w:rtl/>
        </w:rPr>
        <w:t xml:space="preserve">בעשורים הראשונים שלאחר קום המדינה בנתה המדינה כמעט 400,000 דירות כדי לספק פתרונות דיור לעולים הרבים שהגיעו לארץ. </w:t>
      </w:r>
      <w:r w:rsidRPr="00B44859">
        <w:rPr>
          <w:rFonts w:hint="cs"/>
          <w:rtl/>
        </w:rPr>
        <w:t xml:space="preserve">אל הצורך לספק פתרונות דיור התלוותה תפיסה </w:t>
      </w:r>
      <w:r w:rsidRPr="00B44859">
        <w:rPr>
          <w:rFonts w:hint="cs"/>
          <w:rtl/>
        </w:rPr>
        <w:lastRenderedPageBreak/>
        <w:t>שלפיה יש לפזר את אוכלוסיית העולים באזורים דלילי אוכלוסייה</w:t>
      </w:r>
      <w:r w:rsidRPr="00B44859">
        <w:rPr>
          <w:rStyle w:val="FootnoteReference"/>
          <w:sz w:val="24"/>
          <w:rtl/>
        </w:rPr>
        <w:footnoteReference w:id="3"/>
      </w:r>
      <w:r w:rsidRPr="00B44859">
        <w:rPr>
          <w:rFonts w:hint="cs"/>
          <w:rtl/>
        </w:rPr>
        <w:t xml:space="preserve">. רוב הדירות נבנו ביישובים יהודיים עירוניים בפריפריה או בשכונות </w:t>
      </w:r>
      <w:r w:rsidRPr="00B44859">
        <w:rPr>
          <w:rtl/>
        </w:rPr>
        <w:t>ממעמד חברתי-כלכלי נמוך</w:t>
      </w:r>
      <w:r>
        <w:rPr>
          <w:rFonts w:hint="cs"/>
          <w:rtl/>
        </w:rPr>
        <w:t xml:space="preserve"> ביישובים אחרים</w:t>
      </w:r>
      <w:r w:rsidRPr="00B44859">
        <w:rPr>
          <w:rStyle w:val="FootnoteReference"/>
          <w:sz w:val="24"/>
          <w:rtl/>
        </w:rPr>
        <w:footnoteReference w:id="4"/>
      </w:r>
      <w:r w:rsidRPr="00B44859">
        <w:rPr>
          <w:rFonts w:hint="cs"/>
          <w:rtl/>
        </w:rPr>
        <w:t xml:space="preserve">. </w:t>
      </w:r>
      <w:r w:rsidRPr="00B44859">
        <w:rPr>
          <w:rtl/>
        </w:rPr>
        <w:t xml:space="preserve">ברבות השנים </w:t>
      </w:r>
      <w:r w:rsidRPr="00B44859">
        <w:rPr>
          <w:rFonts w:hint="cs"/>
          <w:rtl/>
        </w:rPr>
        <w:t>עזבו רבים מהעולים את הדירות לטובת דירות בבעלותם,</w:t>
      </w:r>
      <w:r>
        <w:rPr>
          <w:rFonts w:hint="cs"/>
          <w:rtl/>
        </w:rPr>
        <w:t xml:space="preserve"> והדירות שבהם התגוררו הפכו לדירות ציבוריות שהושכרו לזכאים</w:t>
      </w:r>
      <w:r>
        <w:rPr>
          <w:rStyle w:val="FootnoteReference"/>
          <w:sz w:val="24"/>
          <w:rtl/>
        </w:rPr>
        <w:footnoteReference w:id="5"/>
      </w:r>
      <w:r>
        <w:rPr>
          <w:rFonts w:hint="cs"/>
          <w:rtl/>
        </w:rPr>
        <w:t>. מנתוני משרד הבינוי עולה כי כ-40% מהדירות הציבוריות מצויות במחוזות דרום וגליל, אף שבמחוזות האלה מתגוררים פחות מ-30% ממשקי הבית במדינה</w:t>
      </w:r>
      <w:r>
        <w:rPr>
          <w:rStyle w:val="FootnoteReference"/>
          <w:sz w:val="24"/>
          <w:rtl/>
        </w:rPr>
        <w:footnoteReference w:id="6"/>
      </w:r>
      <w:r w:rsidRPr="00D23714">
        <w:rPr>
          <w:rFonts w:hint="cs"/>
          <w:rtl/>
        </w:rPr>
        <w:t>.</w:t>
      </w:r>
      <w:r w:rsidRPr="00107829">
        <w:rPr>
          <w:rStyle w:val="CommentReference"/>
        </w:rPr>
        <w:t xml:space="preserve"> </w:t>
      </w:r>
      <w:r>
        <w:rPr>
          <w:rFonts w:hint="cs"/>
          <w:rtl/>
        </w:rPr>
        <w:t>ב</w:t>
      </w:r>
      <w:r w:rsidRPr="00D23714">
        <w:rPr>
          <w:rFonts w:hint="cs"/>
          <w:rtl/>
        </w:rPr>
        <w:t>תרשים</w:t>
      </w:r>
      <w:r>
        <w:rPr>
          <w:rFonts w:hint="cs"/>
          <w:rtl/>
        </w:rPr>
        <w:t xml:space="preserve"> 2 שלהלן </w:t>
      </w:r>
      <w:r w:rsidRPr="00D23714">
        <w:rPr>
          <w:rFonts w:hint="cs"/>
          <w:rtl/>
        </w:rPr>
        <w:t>מת</w:t>
      </w:r>
      <w:r>
        <w:rPr>
          <w:rFonts w:hint="cs"/>
          <w:rtl/>
        </w:rPr>
        <w:t>ו</w:t>
      </w:r>
      <w:r w:rsidRPr="00D23714">
        <w:rPr>
          <w:rFonts w:hint="cs"/>
          <w:rtl/>
        </w:rPr>
        <w:t>אר</w:t>
      </w:r>
      <w:r>
        <w:rPr>
          <w:rFonts w:hint="cs"/>
          <w:rtl/>
        </w:rPr>
        <w:t>ים</w:t>
      </w:r>
      <w:r w:rsidRPr="00D23714">
        <w:rPr>
          <w:rFonts w:hint="cs"/>
          <w:rtl/>
        </w:rPr>
        <w:t xml:space="preserve"> </w:t>
      </w:r>
      <w:r>
        <w:rPr>
          <w:rFonts w:hint="cs"/>
          <w:rtl/>
        </w:rPr>
        <w:t>מספר הדירות הציבוריות בחלוקה לפי מחוזות המשרד ושיעורן מכלל 53,000 הדירות הציבוריות, ב</w:t>
      </w:r>
      <w:r w:rsidRPr="00D23714">
        <w:rPr>
          <w:rFonts w:hint="cs"/>
          <w:rtl/>
        </w:rPr>
        <w:t>אוגוסט 2019:</w:t>
      </w:r>
    </w:p>
    <w:p w14:paraId="53C66781" w14:textId="77777777" w:rsidR="00C218DA" w:rsidRPr="00F75E99" w:rsidRDefault="00C218DA" w:rsidP="00B351A7">
      <w:pPr>
        <w:pStyle w:val="aa"/>
        <w:rPr>
          <w:rtl/>
        </w:rPr>
      </w:pPr>
      <w:r w:rsidRPr="00F75E99">
        <w:rPr>
          <w:rFonts w:hint="eastAsia"/>
          <w:rtl/>
        </w:rPr>
        <w:t>תרשים</w:t>
      </w:r>
      <w:r w:rsidRPr="00F75E99">
        <w:rPr>
          <w:rtl/>
        </w:rPr>
        <w:t xml:space="preserve"> 2: </w:t>
      </w:r>
      <w:r w:rsidRPr="00B351A7">
        <w:rPr>
          <w:rFonts w:hint="eastAsia"/>
          <w:b/>
          <w:bCs/>
          <w:rtl/>
        </w:rPr>
        <w:t>מספר</w:t>
      </w:r>
      <w:r w:rsidRPr="00B351A7">
        <w:rPr>
          <w:b/>
          <w:bCs/>
          <w:rtl/>
        </w:rPr>
        <w:t xml:space="preserve"> </w:t>
      </w:r>
      <w:r w:rsidRPr="00B351A7">
        <w:rPr>
          <w:rFonts w:hint="eastAsia"/>
          <w:b/>
          <w:bCs/>
          <w:rtl/>
        </w:rPr>
        <w:t>הדירות</w:t>
      </w:r>
      <w:r w:rsidRPr="00B351A7">
        <w:rPr>
          <w:b/>
          <w:bCs/>
          <w:rtl/>
        </w:rPr>
        <w:t xml:space="preserve"> </w:t>
      </w:r>
      <w:r w:rsidRPr="00B351A7">
        <w:rPr>
          <w:rFonts w:hint="eastAsia"/>
          <w:b/>
          <w:bCs/>
          <w:rtl/>
        </w:rPr>
        <w:t>הציבוריות</w:t>
      </w:r>
      <w:r w:rsidRPr="00B351A7">
        <w:rPr>
          <w:rFonts w:hint="cs"/>
          <w:b/>
          <w:bCs/>
          <w:rtl/>
        </w:rPr>
        <w:t>,</w:t>
      </w:r>
      <w:r w:rsidRPr="00B351A7">
        <w:rPr>
          <w:b/>
          <w:bCs/>
          <w:rtl/>
        </w:rPr>
        <w:t xml:space="preserve"> לפי מחוזות </w:t>
      </w:r>
      <w:r w:rsidRPr="00B351A7">
        <w:rPr>
          <w:rFonts w:hint="cs"/>
          <w:b/>
          <w:bCs/>
          <w:rtl/>
        </w:rPr>
        <w:t>ה</w:t>
      </w:r>
      <w:r w:rsidRPr="00B351A7">
        <w:rPr>
          <w:rFonts w:hint="eastAsia"/>
          <w:b/>
          <w:bCs/>
          <w:rtl/>
        </w:rPr>
        <w:t>משרד</w:t>
      </w:r>
      <w:r w:rsidRPr="00B351A7">
        <w:rPr>
          <w:rFonts w:hint="cs"/>
          <w:b/>
          <w:bCs/>
          <w:rtl/>
        </w:rPr>
        <w:t>,</w:t>
      </w:r>
      <w:r w:rsidRPr="00B351A7">
        <w:rPr>
          <w:b/>
          <w:bCs/>
          <w:rtl/>
        </w:rPr>
        <w:t xml:space="preserve"> 2019</w:t>
      </w:r>
      <w:r w:rsidRPr="00B351A7">
        <w:rPr>
          <w:rFonts w:hint="cs"/>
          <w:b/>
          <w:bCs/>
          <w:rtl/>
        </w:rPr>
        <w:t xml:space="preserve"> (במספרים ובאחוזים)</w:t>
      </w:r>
    </w:p>
    <w:p w14:paraId="7D7DA3F7" w14:textId="77777777" w:rsidR="00C218DA" w:rsidRPr="00F75E99" w:rsidRDefault="00C218DA" w:rsidP="00C218DA">
      <w:pPr>
        <w:pStyle w:val="FootnoteText"/>
        <w:spacing w:line="269" w:lineRule="auto"/>
        <w:ind w:left="-1" w:firstLine="0"/>
        <w:jc w:val="center"/>
        <w:rPr>
          <w:rtl/>
        </w:rPr>
      </w:pPr>
      <w:r>
        <w:rPr>
          <w:noProof/>
        </w:rPr>
        <w:drawing>
          <wp:inline distT="0" distB="0" distL="0" distR="0" wp14:anchorId="2EFD1800" wp14:editId="3E8E8986">
            <wp:extent cx="4776999" cy="3143276"/>
            <wp:effectExtent l="0" t="0" r="5080" b="0"/>
            <wp:docPr id="3" name="תמונה 15" descr="C:\Users\elam_be\AppData\Local\Microsoft\Windows\INetCache\Content.Word\diur-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m_be\AppData\Local\Microsoft\Windows\INetCache\Content.Word\diur-map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00" b="24142"/>
                    <a:stretch/>
                  </pic:blipFill>
                  <pic:spPr bwMode="auto">
                    <a:xfrm>
                      <a:off x="0" y="0"/>
                      <a:ext cx="4864823" cy="3201064"/>
                    </a:xfrm>
                    <a:prstGeom prst="rect">
                      <a:avLst/>
                    </a:prstGeom>
                    <a:noFill/>
                    <a:ln>
                      <a:noFill/>
                    </a:ln>
                    <a:extLst>
                      <a:ext uri="{53640926-AAD7-44D8-BBD7-CCE9431645EC}">
                        <a14:shadowObscured xmlns:a14="http://schemas.microsoft.com/office/drawing/2010/main"/>
                      </a:ext>
                    </a:extLst>
                  </pic:spPr>
                </pic:pic>
              </a:graphicData>
            </a:graphic>
          </wp:inline>
        </w:drawing>
      </w:r>
    </w:p>
    <w:p w14:paraId="58082E58" w14:textId="77777777" w:rsidR="00C218DA" w:rsidRPr="00F75E99" w:rsidRDefault="00C218DA" w:rsidP="00B351A7">
      <w:pPr>
        <w:pStyle w:val="ac"/>
        <w:rPr>
          <w:highlight w:val="yellow"/>
          <w:rtl/>
        </w:rPr>
      </w:pPr>
      <w:r w:rsidRPr="00F75E99">
        <w:rPr>
          <w:rFonts w:hint="cs"/>
          <w:rtl/>
        </w:rPr>
        <w:t>על פי נתוני משרד הבינוי, בעיבוד משרד מבקר המדינה</w:t>
      </w:r>
      <w:r w:rsidRPr="00F75E99">
        <w:rPr>
          <w:rtl/>
        </w:rPr>
        <w:t>.</w:t>
      </w:r>
    </w:p>
    <w:p w14:paraId="48D060BD" w14:textId="77777777" w:rsidR="00B351A7" w:rsidRDefault="00B351A7" w:rsidP="00B351A7">
      <w:pPr>
        <w:pStyle w:val="100"/>
        <w:rPr>
          <w:rtl/>
        </w:rPr>
      </w:pPr>
    </w:p>
    <w:p w14:paraId="4CEBA7C4" w14:textId="77777777" w:rsidR="00C218DA" w:rsidRDefault="00C218DA" w:rsidP="00B351A7">
      <w:pPr>
        <w:pStyle w:val="100"/>
        <w:rPr>
          <w:rtl/>
        </w:rPr>
      </w:pPr>
      <w:r>
        <w:rPr>
          <w:rFonts w:hint="cs"/>
          <w:rtl/>
        </w:rPr>
        <w:t xml:space="preserve">להלן בתרשים 3 </w:t>
      </w:r>
      <w:r w:rsidRPr="00FD46DC">
        <w:rPr>
          <w:rtl/>
        </w:rPr>
        <w:t xml:space="preserve">השוואה בין שיעור הדיירים בדירות הציבוריות במחוזות מתוך כלל הדיירים </w:t>
      </w:r>
      <w:r>
        <w:rPr>
          <w:rFonts w:hint="cs"/>
          <w:rtl/>
        </w:rPr>
        <w:t xml:space="preserve">המתגוררים בדיור </w:t>
      </w:r>
      <w:r w:rsidRPr="00FD46DC">
        <w:rPr>
          <w:rtl/>
        </w:rPr>
        <w:t>הציבורי בארץ ובין שיעור האוכלוסייה הכללית במחוזות מתוך כלל האוכלוסייה במדינה</w:t>
      </w:r>
      <w:r>
        <w:rPr>
          <w:rFonts w:hint="cs"/>
          <w:rtl/>
        </w:rPr>
        <w:t>:</w:t>
      </w:r>
    </w:p>
    <w:p w14:paraId="078FE219" w14:textId="77777777" w:rsidR="00C218DA" w:rsidRPr="00107829" w:rsidRDefault="00C218DA" w:rsidP="00C218DA">
      <w:pPr>
        <w:pStyle w:val="aff8"/>
        <w:spacing w:line="269" w:lineRule="auto"/>
        <w:rPr>
          <w:rtl/>
        </w:rPr>
      </w:pPr>
    </w:p>
    <w:p w14:paraId="35E18F08" w14:textId="77777777" w:rsidR="00C218DA" w:rsidRPr="00F75E99" w:rsidRDefault="00C218DA" w:rsidP="00B351A7">
      <w:pPr>
        <w:pStyle w:val="aa"/>
        <w:rPr>
          <w:rtl/>
        </w:rPr>
      </w:pPr>
      <w:r w:rsidRPr="00F75E99">
        <w:rPr>
          <w:rFonts w:hint="cs"/>
          <w:rtl/>
        </w:rPr>
        <w:lastRenderedPageBreak/>
        <w:t xml:space="preserve">תרשים 3: </w:t>
      </w:r>
      <w:r w:rsidRPr="00B351A7">
        <w:rPr>
          <w:rFonts w:hint="cs"/>
          <w:b/>
          <w:bCs/>
          <w:rtl/>
        </w:rPr>
        <w:t>השוואה בין שיעור הדיירים בדירות הציבוריות במחוזות מתוך כלל הדיירים המתגוררים בדיור הציבורי בארץ ובין שיעור האוכלוסייה הכללית במחוזות מתוך כלל האוכלוסייה במדינה</w:t>
      </w:r>
    </w:p>
    <w:p w14:paraId="2938F75B" w14:textId="77777777" w:rsidR="00C218DA" w:rsidRDefault="00C218DA" w:rsidP="00C218DA">
      <w:pPr>
        <w:spacing w:line="269" w:lineRule="auto"/>
        <w:jc w:val="center"/>
        <w:rPr>
          <w:rtl/>
        </w:rPr>
      </w:pPr>
      <w:r w:rsidRPr="00373BF2">
        <w:rPr>
          <w:noProof/>
        </w:rPr>
        <w:drawing>
          <wp:inline distT="0" distB="0" distL="0" distR="0" wp14:anchorId="7D3EA521" wp14:editId="6751DFD1">
            <wp:extent cx="4514850" cy="2886075"/>
            <wp:effectExtent l="0" t="0" r="0" b="9525"/>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76228C" w14:textId="13723DC9" w:rsidR="00C218DA" w:rsidRPr="00C02DC6" w:rsidRDefault="00C218DA" w:rsidP="00B351A7">
      <w:pPr>
        <w:pStyle w:val="ac"/>
        <w:rPr>
          <w:rtl/>
        </w:rPr>
      </w:pPr>
      <w:r w:rsidRPr="00C02DC6">
        <w:rPr>
          <w:rFonts w:hint="eastAsia"/>
          <w:rtl/>
        </w:rPr>
        <w:t>על</w:t>
      </w:r>
      <w:r w:rsidRPr="00C02DC6">
        <w:rPr>
          <w:rtl/>
        </w:rPr>
        <w:t xml:space="preserve"> פי </w:t>
      </w:r>
      <w:r w:rsidRPr="00C02DC6">
        <w:rPr>
          <w:rFonts w:hint="eastAsia"/>
          <w:rtl/>
        </w:rPr>
        <w:t>נתוני</w:t>
      </w:r>
      <w:r w:rsidRPr="00C02DC6">
        <w:rPr>
          <w:rtl/>
        </w:rPr>
        <w:t xml:space="preserve"> </w:t>
      </w:r>
      <w:r w:rsidRPr="00C02DC6">
        <w:rPr>
          <w:rFonts w:hint="eastAsia"/>
          <w:rtl/>
        </w:rPr>
        <w:t>משרד</w:t>
      </w:r>
      <w:r w:rsidRPr="00C02DC6">
        <w:rPr>
          <w:rtl/>
        </w:rPr>
        <w:t xml:space="preserve"> </w:t>
      </w:r>
      <w:r w:rsidRPr="00C02DC6">
        <w:rPr>
          <w:rFonts w:hint="eastAsia"/>
          <w:rtl/>
        </w:rPr>
        <w:t>הבינוי</w:t>
      </w:r>
      <w:r w:rsidRPr="00C02DC6">
        <w:rPr>
          <w:rtl/>
        </w:rPr>
        <w:t xml:space="preserve"> לשנת 2019 </w:t>
      </w:r>
      <w:r w:rsidRPr="00C02DC6">
        <w:rPr>
          <w:rFonts w:hint="eastAsia"/>
          <w:rtl/>
        </w:rPr>
        <w:t>ונתוני</w:t>
      </w:r>
      <w:r w:rsidRPr="00C02DC6">
        <w:rPr>
          <w:rtl/>
        </w:rPr>
        <w:t xml:space="preserve"> </w:t>
      </w:r>
      <w:r w:rsidRPr="00C02DC6">
        <w:rPr>
          <w:rFonts w:hint="eastAsia"/>
          <w:rtl/>
        </w:rPr>
        <w:t>הלשכה</w:t>
      </w:r>
      <w:r w:rsidRPr="00C02DC6">
        <w:rPr>
          <w:rtl/>
        </w:rPr>
        <w:t xml:space="preserve"> </w:t>
      </w:r>
      <w:r w:rsidRPr="00C02DC6">
        <w:rPr>
          <w:rFonts w:hint="eastAsia"/>
          <w:rtl/>
        </w:rPr>
        <w:t>המרכזית</w:t>
      </w:r>
      <w:r w:rsidRPr="00C02DC6">
        <w:rPr>
          <w:rtl/>
        </w:rPr>
        <w:t xml:space="preserve"> </w:t>
      </w:r>
      <w:r w:rsidRPr="00C02DC6">
        <w:rPr>
          <w:rFonts w:hint="eastAsia"/>
          <w:rtl/>
        </w:rPr>
        <w:t>לסטטיסטיקה</w:t>
      </w:r>
      <w:r w:rsidRPr="00C02DC6">
        <w:rPr>
          <w:rtl/>
        </w:rPr>
        <w:t xml:space="preserve"> </w:t>
      </w:r>
      <w:r w:rsidRPr="00C02DC6">
        <w:rPr>
          <w:rFonts w:hint="eastAsia"/>
          <w:rtl/>
        </w:rPr>
        <w:t>לשנת</w:t>
      </w:r>
      <w:r w:rsidRPr="00C02DC6">
        <w:rPr>
          <w:rtl/>
        </w:rPr>
        <w:t xml:space="preserve"> 2017, בעיבוד </w:t>
      </w:r>
      <w:r w:rsidR="001A71C9">
        <w:rPr>
          <w:rFonts w:hint="cs"/>
          <w:rtl/>
        </w:rPr>
        <w:br/>
      </w:r>
      <w:r w:rsidRPr="00C02DC6">
        <w:rPr>
          <w:rtl/>
        </w:rPr>
        <w:t>משרד מבקר המדינה.</w:t>
      </w:r>
    </w:p>
    <w:p w14:paraId="20B9132D" w14:textId="77777777" w:rsidR="001A71C9" w:rsidRDefault="001A71C9" w:rsidP="00B351A7">
      <w:pPr>
        <w:pStyle w:val="100"/>
        <w:rPr>
          <w:rtl/>
        </w:rPr>
      </w:pPr>
    </w:p>
    <w:p w14:paraId="79215B9E" w14:textId="77777777" w:rsidR="00C218DA" w:rsidRDefault="00C218DA" w:rsidP="00B351A7">
      <w:pPr>
        <w:pStyle w:val="100"/>
        <w:rPr>
          <w:rtl/>
        </w:rPr>
      </w:pPr>
      <w:r>
        <w:rPr>
          <w:rFonts w:hint="cs"/>
          <w:rtl/>
        </w:rPr>
        <w:t>כפי שעולה מתרשים 3, היחס הגבוה ביותר בין שיעור דיירי הדיור הציבורי לבין שיעור האוכלוסייה במחוז הוא במחוז דרום - פי יותר מ-2.5. במחוז מרכז היחס הוא הקטן ביותר - כ-0.7. כלומר באופן יחסי לאוכלוסיית המחוז יש הרבה דיירי דיור ציבורי במחוז דרום ומעט במחוז מרכז.</w:t>
      </w:r>
    </w:p>
    <w:p w14:paraId="3B590078" w14:textId="082CAE00" w:rsidR="00C218DA" w:rsidRPr="00B351A7" w:rsidRDefault="00C218DA" w:rsidP="00B351A7">
      <w:pPr>
        <w:pStyle w:val="100"/>
        <w:rPr>
          <w:sz w:val="24"/>
          <w:rtl/>
        </w:rPr>
      </w:pPr>
      <w:r>
        <w:rPr>
          <w:rFonts w:hint="cs"/>
          <w:sz w:val="24"/>
          <w:rtl/>
        </w:rPr>
        <w:t>בעשורים האחרונים קטן שיעור הדירות הציבוריות מכלל הדירות במדינה -</w:t>
      </w:r>
      <w:r w:rsidRPr="001070FE">
        <w:rPr>
          <w:rFonts w:hint="cs"/>
          <w:sz w:val="24"/>
          <w:rtl/>
        </w:rPr>
        <w:t xml:space="preserve"> </w:t>
      </w:r>
      <w:r>
        <w:rPr>
          <w:rFonts w:hint="cs"/>
          <w:sz w:val="24"/>
          <w:rtl/>
        </w:rPr>
        <w:t xml:space="preserve">לפי נתוני משרד הבינוי, </w:t>
      </w:r>
      <w:r w:rsidRPr="00B01CFA">
        <w:rPr>
          <w:sz w:val="24"/>
          <w:rtl/>
        </w:rPr>
        <w:t>בשנת 1999</w:t>
      </w:r>
      <w:r>
        <w:rPr>
          <w:rFonts w:hint="cs"/>
          <w:sz w:val="24"/>
          <w:rtl/>
        </w:rPr>
        <w:t xml:space="preserve"> היו</w:t>
      </w:r>
      <w:r w:rsidRPr="00B01CFA">
        <w:rPr>
          <w:sz w:val="24"/>
          <w:rtl/>
        </w:rPr>
        <w:t xml:space="preserve"> בישראל </w:t>
      </w:r>
      <w:r>
        <w:rPr>
          <w:rFonts w:hint="cs"/>
          <w:sz w:val="24"/>
          <w:rtl/>
        </w:rPr>
        <w:t xml:space="preserve">כ-90,000 </w:t>
      </w:r>
      <w:r w:rsidRPr="00B01CFA">
        <w:rPr>
          <w:sz w:val="24"/>
          <w:rtl/>
        </w:rPr>
        <w:t>דירות</w:t>
      </w:r>
      <w:r>
        <w:rPr>
          <w:rFonts w:hint="cs"/>
          <w:sz w:val="24"/>
          <w:rtl/>
        </w:rPr>
        <w:t xml:space="preserve"> ציבוריות, ובספטמבר</w:t>
      </w:r>
      <w:r w:rsidRPr="00B01CFA">
        <w:rPr>
          <w:sz w:val="24"/>
          <w:rtl/>
        </w:rPr>
        <w:t xml:space="preserve"> 201</w:t>
      </w:r>
      <w:r>
        <w:rPr>
          <w:rFonts w:hint="cs"/>
          <w:sz w:val="24"/>
          <w:rtl/>
        </w:rPr>
        <w:t>9</w:t>
      </w:r>
      <w:r w:rsidRPr="00B01CFA">
        <w:rPr>
          <w:rFonts w:hint="cs"/>
          <w:sz w:val="24"/>
          <w:rtl/>
        </w:rPr>
        <w:t xml:space="preserve"> </w:t>
      </w:r>
      <w:r>
        <w:rPr>
          <w:rFonts w:hint="cs"/>
          <w:sz w:val="24"/>
          <w:rtl/>
        </w:rPr>
        <w:t xml:space="preserve">מנה </w:t>
      </w:r>
      <w:r w:rsidRPr="00B01CFA">
        <w:rPr>
          <w:sz w:val="24"/>
          <w:rtl/>
        </w:rPr>
        <w:t xml:space="preserve">מלאי הדיור הציבורי </w:t>
      </w:r>
      <w:r w:rsidRPr="00B01CFA">
        <w:rPr>
          <w:rFonts w:hint="cs"/>
          <w:sz w:val="24"/>
          <w:rtl/>
        </w:rPr>
        <w:t>כ-5</w:t>
      </w:r>
      <w:r>
        <w:rPr>
          <w:rFonts w:hint="cs"/>
          <w:sz w:val="24"/>
          <w:rtl/>
        </w:rPr>
        <w:t>3</w:t>
      </w:r>
      <w:r w:rsidRPr="00B01CFA">
        <w:rPr>
          <w:rFonts w:hint="cs"/>
          <w:sz w:val="24"/>
          <w:rtl/>
        </w:rPr>
        <w:t>,000</w:t>
      </w:r>
      <w:r w:rsidRPr="00B01CFA">
        <w:rPr>
          <w:sz w:val="24"/>
          <w:rtl/>
        </w:rPr>
        <w:t xml:space="preserve"> דירות</w:t>
      </w:r>
      <w:r w:rsidRPr="005D1610">
        <w:rPr>
          <w:rFonts w:hint="cs"/>
          <w:rtl/>
        </w:rPr>
        <w:t>.</w:t>
      </w:r>
      <w:r w:rsidRPr="00DB12AC">
        <w:rPr>
          <w:rFonts w:cs="FrankRuehl" w:hint="cs"/>
          <w:szCs w:val="22"/>
          <w:rtl/>
        </w:rPr>
        <w:t xml:space="preserve"> </w:t>
      </w:r>
      <w:r>
        <w:rPr>
          <w:rFonts w:hint="cs"/>
          <w:sz w:val="24"/>
          <w:rtl/>
        </w:rPr>
        <w:t xml:space="preserve">בתרשים 4 שלהלן, </w:t>
      </w:r>
      <w:r w:rsidRPr="00883A76">
        <w:rPr>
          <w:rFonts w:hint="cs"/>
          <w:sz w:val="24"/>
          <w:rtl/>
        </w:rPr>
        <w:t>הלקוח מתוך</w:t>
      </w:r>
      <w:r>
        <w:rPr>
          <w:rFonts w:hint="cs"/>
          <w:sz w:val="24"/>
          <w:rtl/>
        </w:rPr>
        <w:t xml:space="preserve"> תוכנית של משרד הבינוי</w:t>
      </w:r>
      <w:r>
        <w:rPr>
          <w:rStyle w:val="FootnoteReference"/>
          <w:sz w:val="24"/>
          <w:rtl/>
        </w:rPr>
        <w:footnoteReference w:id="7"/>
      </w:r>
      <w:r w:rsidRPr="00883A76">
        <w:rPr>
          <w:rFonts w:hint="cs"/>
          <w:sz w:val="24"/>
          <w:rtl/>
        </w:rPr>
        <w:t>,</w:t>
      </w:r>
      <w:r>
        <w:rPr>
          <w:rFonts w:hint="cs"/>
          <w:sz w:val="24"/>
          <w:rtl/>
        </w:rPr>
        <w:t xml:space="preserve"> מובא שיעור הדירות הציבוריות ו-12,000 יחידות הדיור (להלן - יח"ד) לקשישים שבניהול המשרד מתוך כלל הדירות במדינה בשנים נבחרות בעשורים האחרונים. </w:t>
      </w:r>
    </w:p>
    <w:p w14:paraId="6073DB93" w14:textId="77777777" w:rsidR="00C218DA" w:rsidRPr="00B351A7" w:rsidRDefault="00C218DA" w:rsidP="00B351A7">
      <w:pPr>
        <w:pStyle w:val="aa"/>
        <w:rPr>
          <w:b/>
          <w:bCs/>
          <w:rtl/>
        </w:rPr>
      </w:pPr>
      <w:r w:rsidRPr="00562660">
        <w:rPr>
          <w:rFonts w:hint="eastAsia"/>
          <w:rtl/>
        </w:rPr>
        <w:lastRenderedPageBreak/>
        <w:t>תרשים</w:t>
      </w:r>
      <w:r w:rsidRPr="00562660">
        <w:rPr>
          <w:rtl/>
        </w:rPr>
        <w:t xml:space="preserve"> 4:</w:t>
      </w:r>
      <w:r w:rsidRPr="00562660">
        <w:t xml:space="preserve"> </w:t>
      </w:r>
      <w:r w:rsidRPr="00B351A7">
        <w:rPr>
          <w:rFonts w:hint="eastAsia"/>
          <w:b/>
          <w:bCs/>
          <w:rtl/>
        </w:rPr>
        <w:t>שיעור</w:t>
      </w:r>
      <w:r w:rsidRPr="00B351A7">
        <w:rPr>
          <w:b/>
          <w:bCs/>
        </w:rPr>
        <w:t xml:space="preserve"> </w:t>
      </w:r>
      <w:r w:rsidRPr="00B351A7">
        <w:rPr>
          <w:rFonts w:hint="eastAsia"/>
          <w:b/>
          <w:bCs/>
          <w:rtl/>
        </w:rPr>
        <w:t>הדירות</w:t>
      </w:r>
      <w:r w:rsidRPr="00B351A7">
        <w:rPr>
          <w:b/>
          <w:bCs/>
          <w:rtl/>
        </w:rPr>
        <w:t xml:space="preserve"> הציבוריות </w:t>
      </w:r>
      <w:r w:rsidRPr="00B351A7">
        <w:rPr>
          <w:rFonts w:hint="eastAsia"/>
          <w:b/>
          <w:bCs/>
          <w:rtl/>
        </w:rPr>
        <w:t>ויחידות</w:t>
      </w:r>
      <w:r w:rsidRPr="00B351A7">
        <w:rPr>
          <w:b/>
          <w:bCs/>
          <w:rtl/>
        </w:rPr>
        <w:t xml:space="preserve"> הדיור לקשישים שבניהול </w:t>
      </w:r>
      <w:r w:rsidRPr="00B351A7">
        <w:rPr>
          <w:rFonts w:hint="eastAsia"/>
          <w:b/>
          <w:bCs/>
          <w:rtl/>
        </w:rPr>
        <w:t>משרד</w:t>
      </w:r>
      <w:r w:rsidRPr="00B351A7">
        <w:rPr>
          <w:b/>
          <w:bCs/>
          <w:rtl/>
        </w:rPr>
        <w:t xml:space="preserve"> </w:t>
      </w:r>
      <w:r w:rsidRPr="00B351A7">
        <w:rPr>
          <w:rFonts w:hint="eastAsia"/>
          <w:b/>
          <w:bCs/>
          <w:rtl/>
        </w:rPr>
        <w:t>הבינוי</w:t>
      </w:r>
      <w:r w:rsidRPr="00B351A7">
        <w:rPr>
          <w:b/>
          <w:bCs/>
          <w:rtl/>
        </w:rPr>
        <w:t xml:space="preserve"> </w:t>
      </w:r>
      <w:r w:rsidRPr="00B351A7">
        <w:rPr>
          <w:rFonts w:hint="eastAsia"/>
          <w:b/>
          <w:bCs/>
          <w:rtl/>
        </w:rPr>
        <w:t>מתוך</w:t>
      </w:r>
      <w:r w:rsidRPr="00B351A7">
        <w:rPr>
          <w:b/>
          <w:bCs/>
          <w:rtl/>
        </w:rPr>
        <w:t xml:space="preserve"> </w:t>
      </w:r>
      <w:r w:rsidRPr="00B351A7">
        <w:rPr>
          <w:rFonts w:hint="eastAsia"/>
          <w:b/>
          <w:bCs/>
          <w:rtl/>
        </w:rPr>
        <w:t>כלל</w:t>
      </w:r>
      <w:r w:rsidRPr="00B351A7">
        <w:rPr>
          <w:b/>
          <w:bCs/>
          <w:rtl/>
        </w:rPr>
        <w:t xml:space="preserve"> </w:t>
      </w:r>
      <w:r w:rsidRPr="00B351A7">
        <w:rPr>
          <w:rFonts w:hint="eastAsia"/>
          <w:b/>
          <w:bCs/>
          <w:rtl/>
        </w:rPr>
        <w:t>הדירות</w:t>
      </w:r>
      <w:r w:rsidRPr="00B351A7">
        <w:rPr>
          <w:b/>
          <w:bCs/>
          <w:rtl/>
        </w:rPr>
        <w:t xml:space="preserve"> </w:t>
      </w:r>
      <w:r w:rsidRPr="00B351A7">
        <w:rPr>
          <w:rFonts w:hint="eastAsia"/>
          <w:b/>
          <w:bCs/>
          <w:rtl/>
        </w:rPr>
        <w:t>במדינה</w:t>
      </w:r>
      <w:r w:rsidRPr="00B351A7">
        <w:rPr>
          <w:b/>
          <w:bCs/>
          <w:rtl/>
        </w:rPr>
        <w:t xml:space="preserve"> </w:t>
      </w:r>
      <w:r w:rsidRPr="00B351A7">
        <w:rPr>
          <w:rFonts w:hint="eastAsia"/>
          <w:b/>
          <w:bCs/>
          <w:rtl/>
        </w:rPr>
        <w:t>בשנים</w:t>
      </w:r>
      <w:r w:rsidRPr="00B351A7">
        <w:rPr>
          <w:b/>
          <w:bCs/>
          <w:rtl/>
        </w:rPr>
        <w:t xml:space="preserve"> </w:t>
      </w:r>
      <w:r w:rsidRPr="00B351A7">
        <w:rPr>
          <w:rFonts w:hint="eastAsia"/>
          <w:b/>
          <w:bCs/>
          <w:rtl/>
        </w:rPr>
        <w:t>נבחרות</w:t>
      </w:r>
    </w:p>
    <w:p w14:paraId="57BB8A64" w14:textId="77777777" w:rsidR="00C218DA" w:rsidRDefault="00C218DA" w:rsidP="00C218DA">
      <w:pPr>
        <w:spacing w:line="269" w:lineRule="auto"/>
        <w:jc w:val="center"/>
        <w:rPr>
          <w:b/>
          <w:bCs/>
          <w:sz w:val="24"/>
          <w:rtl/>
        </w:rPr>
      </w:pPr>
      <w:r>
        <w:rPr>
          <w:noProof/>
        </w:rPr>
        <w:drawing>
          <wp:inline distT="0" distB="0" distL="0" distR="0" wp14:anchorId="4B044671" wp14:editId="7E0F3E01">
            <wp:extent cx="4298867" cy="2167246"/>
            <wp:effectExtent l="0" t="0" r="6985" b="5080"/>
            <wp:docPr id="5" name="תרשים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B8FF0F" w14:textId="77777777" w:rsidR="00C218DA" w:rsidRPr="009747FD" w:rsidRDefault="00C218DA" w:rsidP="00B351A7">
      <w:pPr>
        <w:pStyle w:val="ac"/>
        <w:rPr>
          <w:rtl/>
        </w:rPr>
      </w:pPr>
      <w:r w:rsidRPr="009747FD">
        <w:rPr>
          <w:rFonts w:hint="eastAsia"/>
          <w:rtl/>
        </w:rPr>
        <w:t>המקור</w:t>
      </w:r>
      <w:r w:rsidRPr="009747FD">
        <w:rPr>
          <w:rtl/>
        </w:rPr>
        <w:t xml:space="preserve">: </w:t>
      </w:r>
      <w:r w:rsidRPr="009747FD">
        <w:rPr>
          <w:rFonts w:hint="eastAsia"/>
          <w:rtl/>
        </w:rPr>
        <w:t>משרד</w:t>
      </w:r>
      <w:r w:rsidRPr="009747FD">
        <w:rPr>
          <w:rtl/>
        </w:rPr>
        <w:t xml:space="preserve"> הבינוי, תוכנית "לגור בכבוד! </w:t>
      </w:r>
      <w:r w:rsidRPr="009747FD">
        <w:rPr>
          <w:rFonts w:hint="eastAsia"/>
          <w:rtl/>
        </w:rPr>
        <w:t>מצילים</w:t>
      </w:r>
      <w:r w:rsidRPr="009747FD">
        <w:rPr>
          <w:rtl/>
        </w:rPr>
        <w:t xml:space="preserve"> </w:t>
      </w:r>
      <w:r w:rsidRPr="009747FD">
        <w:rPr>
          <w:rFonts w:hint="eastAsia"/>
          <w:rtl/>
        </w:rPr>
        <w:t>את</w:t>
      </w:r>
      <w:r w:rsidRPr="009747FD">
        <w:rPr>
          <w:rtl/>
        </w:rPr>
        <w:t xml:space="preserve"> </w:t>
      </w:r>
      <w:r w:rsidRPr="009747FD">
        <w:rPr>
          <w:rFonts w:hint="eastAsia"/>
          <w:rtl/>
        </w:rPr>
        <w:t>הדיור</w:t>
      </w:r>
      <w:r w:rsidRPr="009747FD">
        <w:rPr>
          <w:rtl/>
        </w:rPr>
        <w:t xml:space="preserve"> </w:t>
      </w:r>
      <w:r w:rsidRPr="009747FD">
        <w:rPr>
          <w:rFonts w:hint="eastAsia"/>
          <w:rtl/>
        </w:rPr>
        <w:t>הציבורי</w:t>
      </w:r>
      <w:r w:rsidRPr="009747FD">
        <w:rPr>
          <w:rtl/>
        </w:rPr>
        <w:t>" (2018).</w:t>
      </w:r>
    </w:p>
    <w:p w14:paraId="351BE761" w14:textId="77777777" w:rsidR="00B351A7" w:rsidRDefault="00B351A7" w:rsidP="00B351A7">
      <w:pPr>
        <w:pStyle w:val="100"/>
        <w:rPr>
          <w:rtl/>
        </w:rPr>
      </w:pPr>
    </w:p>
    <w:p w14:paraId="66AA3393" w14:textId="77777777" w:rsidR="00C218DA" w:rsidRDefault="00C218DA" w:rsidP="00B351A7">
      <w:pPr>
        <w:pStyle w:val="100"/>
        <w:rPr>
          <w:rtl/>
        </w:rPr>
      </w:pPr>
      <w:r>
        <w:rPr>
          <w:rFonts w:hint="cs"/>
          <w:rtl/>
        </w:rPr>
        <w:t xml:space="preserve">משרד הבינוי ערך השוואה בין-לאומית בנושא שיעור הדירות להשכרה ששכר הדירה שלהן מפוקח ונמוך ממחיר השוק (להלן - דיור סוציאלי) מתוך כלל הדירות במשק. לצורך ההשוואה, הדיור הסוציאלי בישראל כולל את דירות הדיור הציבורי, </w:t>
      </w:r>
      <w:r>
        <w:rPr>
          <w:rFonts w:hint="cs"/>
          <w:sz w:val="24"/>
          <w:rtl/>
        </w:rPr>
        <w:t>מלאי יח"ד בבתי הדיור לקשישים שבניהול המשרד וכן הדירות שבניהול משרד הקליטה (כ-13,000 יח"ד) ואינו כולל את השתתפות המדינה בתשלום שכר דירה בשוק החופשי</w:t>
      </w:r>
      <w:r>
        <w:rPr>
          <w:rFonts w:hint="cs"/>
          <w:rtl/>
        </w:rPr>
        <w:t>, כמפורט לעיל; במדינות אחרות הוא כולל דירות להשכרה במודלים שונים (</w:t>
      </w:r>
      <w:r>
        <w:rPr>
          <w:rtl/>
        </w:rPr>
        <w:t>אופן ההפעלה, אוכלוסיית</w:t>
      </w:r>
      <w:r>
        <w:rPr>
          <w:rFonts w:hint="cs"/>
          <w:rtl/>
        </w:rPr>
        <w:t xml:space="preserve"> </w:t>
      </w:r>
      <w:r>
        <w:rPr>
          <w:rtl/>
        </w:rPr>
        <w:t xml:space="preserve">היעד, מבנה הבעלות </w:t>
      </w:r>
      <w:r>
        <w:rPr>
          <w:rFonts w:hint="cs"/>
          <w:rtl/>
        </w:rPr>
        <w:t>ע</w:t>
      </w:r>
      <w:r>
        <w:rPr>
          <w:rtl/>
        </w:rPr>
        <w:t xml:space="preserve">ל </w:t>
      </w:r>
      <w:r>
        <w:rPr>
          <w:rFonts w:hint="cs"/>
          <w:rtl/>
        </w:rPr>
        <w:t>הדירות</w:t>
      </w:r>
      <w:r>
        <w:rPr>
          <w:rtl/>
        </w:rPr>
        <w:t xml:space="preserve">, דרך הסבסוד </w:t>
      </w:r>
      <w:r>
        <w:rPr>
          <w:rFonts w:hint="cs"/>
          <w:rtl/>
        </w:rPr>
        <w:t xml:space="preserve">וגובהו). למשל, בשונה מן המודל הישראלי של דירות ציבוריות שבבעלות המדינה, </w:t>
      </w:r>
      <w:r>
        <w:rPr>
          <w:rtl/>
        </w:rPr>
        <w:t>במרבית המדינות המערביות ה</w:t>
      </w:r>
      <w:r>
        <w:rPr>
          <w:rFonts w:hint="cs"/>
          <w:rtl/>
        </w:rPr>
        <w:t xml:space="preserve">בעלות </w:t>
      </w:r>
      <w:r>
        <w:rPr>
          <w:rtl/>
        </w:rPr>
        <w:t>מבוזר</w:t>
      </w:r>
      <w:r>
        <w:rPr>
          <w:rFonts w:hint="cs"/>
          <w:rtl/>
        </w:rPr>
        <w:t>ת</w:t>
      </w:r>
      <w:r>
        <w:rPr>
          <w:rtl/>
        </w:rPr>
        <w:t xml:space="preserve"> בין</w:t>
      </w:r>
      <w:r>
        <w:rPr>
          <w:rFonts w:hint="cs"/>
          <w:rtl/>
        </w:rPr>
        <w:t xml:space="preserve"> </w:t>
      </w:r>
      <w:r>
        <w:rPr>
          <w:rtl/>
        </w:rPr>
        <w:t xml:space="preserve">בעלי עניין שונים ומרבית הדירות אינן </w:t>
      </w:r>
      <w:r>
        <w:rPr>
          <w:rFonts w:hint="cs"/>
          <w:rtl/>
        </w:rPr>
        <w:t>בבעלות</w:t>
      </w:r>
      <w:r>
        <w:rPr>
          <w:rtl/>
        </w:rPr>
        <w:t xml:space="preserve"> </w:t>
      </w:r>
      <w:r>
        <w:rPr>
          <w:rFonts w:hint="cs"/>
          <w:rtl/>
        </w:rPr>
        <w:t>ה</w:t>
      </w:r>
      <w:r>
        <w:rPr>
          <w:rtl/>
        </w:rPr>
        <w:t>מדינה.</w:t>
      </w:r>
      <w:r>
        <w:rPr>
          <w:rFonts w:hint="cs"/>
          <w:rtl/>
        </w:rPr>
        <w:t xml:space="preserve"> בתרשים שלהלן, הלקוח </w:t>
      </w:r>
      <w:r w:rsidRPr="0014004D">
        <w:rPr>
          <w:rFonts w:hint="cs"/>
          <w:sz w:val="24"/>
          <w:rtl/>
        </w:rPr>
        <w:t>מתוך</w:t>
      </w:r>
      <w:r>
        <w:rPr>
          <w:rFonts w:hint="cs"/>
          <w:sz w:val="24"/>
          <w:rtl/>
        </w:rPr>
        <w:t xml:space="preserve"> תוכנית של משרד הבינוי</w:t>
      </w:r>
      <w:r>
        <w:rPr>
          <w:rStyle w:val="FootnoteReference"/>
          <w:sz w:val="24"/>
          <w:rtl/>
        </w:rPr>
        <w:footnoteReference w:id="8"/>
      </w:r>
      <w:r>
        <w:rPr>
          <w:rFonts w:hint="cs"/>
          <w:sz w:val="24"/>
          <w:rtl/>
        </w:rPr>
        <w:t>,</w:t>
      </w:r>
      <w:r w:rsidRPr="0014004D">
        <w:rPr>
          <w:rFonts w:hint="cs"/>
          <w:sz w:val="24"/>
          <w:rtl/>
        </w:rPr>
        <w:t xml:space="preserve"> </w:t>
      </w:r>
      <w:r>
        <w:rPr>
          <w:rFonts w:hint="cs"/>
          <w:rtl/>
        </w:rPr>
        <w:t>מובאים נתונים על שיעור הדיור הסוציאלי מתוך כלל הדירות בישראל ועל שיעור הדיור הסוציאלי במדינות אחרות החברות ב-</w:t>
      </w:r>
      <w:r>
        <w:rPr>
          <w:rFonts w:hint="cs"/>
        </w:rPr>
        <w:t>OECD</w:t>
      </w:r>
      <w:r>
        <w:rPr>
          <w:rFonts w:hint="cs"/>
          <w:rtl/>
        </w:rPr>
        <w:t>.</w:t>
      </w:r>
    </w:p>
    <w:p w14:paraId="2A897F19" w14:textId="77777777" w:rsidR="00C218DA" w:rsidRDefault="00C218DA" w:rsidP="00C218DA">
      <w:pPr>
        <w:spacing w:line="269" w:lineRule="auto"/>
        <w:rPr>
          <w:rtl/>
        </w:rPr>
      </w:pPr>
    </w:p>
    <w:p w14:paraId="77DD9CBF" w14:textId="77777777" w:rsidR="00C218DA" w:rsidRDefault="00C218DA" w:rsidP="00C218DA">
      <w:pPr>
        <w:spacing w:line="269" w:lineRule="auto"/>
        <w:rPr>
          <w:rtl/>
        </w:rPr>
      </w:pPr>
    </w:p>
    <w:p w14:paraId="0BD35436" w14:textId="77777777" w:rsidR="00C218DA" w:rsidRDefault="00C218DA" w:rsidP="00C218DA">
      <w:pPr>
        <w:spacing w:line="269" w:lineRule="auto"/>
        <w:rPr>
          <w:rtl/>
        </w:rPr>
      </w:pPr>
    </w:p>
    <w:p w14:paraId="455242CE" w14:textId="77777777" w:rsidR="00C218DA" w:rsidRDefault="00C218DA" w:rsidP="00C218DA">
      <w:pPr>
        <w:spacing w:line="269" w:lineRule="auto"/>
        <w:rPr>
          <w:rtl/>
        </w:rPr>
      </w:pPr>
    </w:p>
    <w:p w14:paraId="7FD9B299" w14:textId="77777777" w:rsidR="00C218DA" w:rsidRDefault="00C218DA" w:rsidP="00C218DA">
      <w:pPr>
        <w:spacing w:line="269" w:lineRule="auto"/>
        <w:rPr>
          <w:rtl/>
        </w:rPr>
      </w:pPr>
    </w:p>
    <w:p w14:paraId="5DA588A6" w14:textId="77777777" w:rsidR="00C218DA" w:rsidRDefault="00C218DA" w:rsidP="00C218DA">
      <w:pPr>
        <w:spacing w:line="269" w:lineRule="auto"/>
        <w:rPr>
          <w:rtl/>
        </w:rPr>
      </w:pPr>
    </w:p>
    <w:p w14:paraId="327825E4" w14:textId="77777777" w:rsidR="00C218DA" w:rsidRDefault="00C218DA" w:rsidP="00C218DA">
      <w:pPr>
        <w:spacing w:line="269" w:lineRule="auto"/>
        <w:rPr>
          <w:rtl/>
        </w:rPr>
      </w:pPr>
    </w:p>
    <w:p w14:paraId="465270A6" w14:textId="77777777" w:rsidR="00C218DA" w:rsidRDefault="00C218DA" w:rsidP="00C218DA">
      <w:pPr>
        <w:spacing w:line="269" w:lineRule="auto"/>
        <w:rPr>
          <w:rtl/>
        </w:rPr>
      </w:pPr>
    </w:p>
    <w:p w14:paraId="63B85B75" w14:textId="77777777" w:rsidR="00C218DA" w:rsidRDefault="00C218DA" w:rsidP="00C218DA">
      <w:pPr>
        <w:spacing w:line="269" w:lineRule="auto"/>
        <w:rPr>
          <w:rtl/>
        </w:rPr>
      </w:pPr>
    </w:p>
    <w:p w14:paraId="44AF225B" w14:textId="77777777" w:rsidR="00C218DA" w:rsidRPr="00D52A45" w:rsidRDefault="00C218DA" w:rsidP="00B351A7">
      <w:pPr>
        <w:pStyle w:val="aa"/>
        <w:rPr>
          <w:rtl/>
        </w:rPr>
      </w:pPr>
      <w:r w:rsidRPr="00524CBF">
        <w:rPr>
          <w:rFonts w:hint="eastAsia"/>
          <w:rtl/>
        </w:rPr>
        <w:lastRenderedPageBreak/>
        <w:t>תרשים</w:t>
      </w:r>
      <w:r w:rsidRPr="00524CBF">
        <w:rPr>
          <w:rtl/>
        </w:rPr>
        <w:t xml:space="preserve"> 5: </w:t>
      </w:r>
      <w:r w:rsidRPr="00B351A7">
        <w:rPr>
          <w:rFonts w:hint="eastAsia"/>
          <w:b/>
          <w:bCs/>
          <w:rtl/>
        </w:rPr>
        <w:t>שיעור</w:t>
      </w:r>
      <w:r w:rsidRPr="00B351A7">
        <w:rPr>
          <w:b/>
          <w:bCs/>
          <w:rtl/>
        </w:rPr>
        <w:t xml:space="preserve"> </w:t>
      </w:r>
      <w:r w:rsidRPr="00B351A7">
        <w:rPr>
          <w:rFonts w:hint="eastAsia"/>
          <w:b/>
          <w:bCs/>
          <w:rtl/>
        </w:rPr>
        <w:t>הדיור</w:t>
      </w:r>
      <w:r w:rsidRPr="00B351A7">
        <w:rPr>
          <w:b/>
          <w:bCs/>
          <w:rtl/>
        </w:rPr>
        <w:t xml:space="preserve"> </w:t>
      </w:r>
      <w:r w:rsidRPr="00B351A7">
        <w:rPr>
          <w:rFonts w:hint="eastAsia"/>
          <w:b/>
          <w:bCs/>
          <w:rtl/>
        </w:rPr>
        <w:t>הסוציאלי</w:t>
      </w:r>
      <w:r w:rsidRPr="00B351A7">
        <w:rPr>
          <w:b/>
          <w:bCs/>
          <w:rtl/>
        </w:rPr>
        <w:t xml:space="preserve"> </w:t>
      </w:r>
      <w:r w:rsidRPr="00B351A7">
        <w:rPr>
          <w:rFonts w:hint="eastAsia"/>
          <w:b/>
          <w:bCs/>
          <w:rtl/>
        </w:rPr>
        <w:t>מתוך</w:t>
      </w:r>
      <w:r w:rsidRPr="00B351A7">
        <w:rPr>
          <w:b/>
          <w:bCs/>
          <w:rtl/>
        </w:rPr>
        <w:t xml:space="preserve"> </w:t>
      </w:r>
      <w:r w:rsidRPr="00B351A7">
        <w:rPr>
          <w:rFonts w:hint="eastAsia"/>
          <w:b/>
          <w:bCs/>
          <w:rtl/>
        </w:rPr>
        <w:t>כלל</w:t>
      </w:r>
      <w:r w:rsidRPr="00B351A7">
        <w:rPr>
          <w:b/>
          <w:bCs/>
          <w:rtl/>
        </w:rPr>
        <w:t xml:space="preserve"> </w:t>
      </w:r>
      <w:r w:rsidRPr="00B351A7">
        <w:rPr>
          <w:rFonts w:hint="eastAsia"/>
          <w:b/>
          <w:bCs/>
          <w:rtl/>
        </w:rPr>
        <w:t>הדירות</w:t>
      </w:r>
      <w:r w:rsidRPr="00B351A7">
        <w:rPr>
          <w:b/>
          <w:bCs/>
          <w:rtl/>
        </w:rPr>
        <w:t xml:space="preserve"> </w:t>
      </w:r>
      <w:r w:rsidRPr="00B351A7">
        <w:rPr>
          <w:rFonts w:hint="eastAsia"/>
          <w:b/>
          <w:bCs/>
          <w:rtl/>
        </w:rPr>
        <w:t>במשק</w:t>
      </w:r>
      <w:r w:rsidRPr="00B351A7">
        <w:rPr>
          <w:rFonts w:hint="cs"/>
          <w:b/>
          <w:bCs/>
          <w:rtl/>
        </w:rPr>
        <w:t>, לפי</w:t>
      </w:r>
      <w:r w:rsidRPr="00B351A7">
        <w:rPr>
          <w:b/>
          <w:bCs/>
          <w:rtl/>
        </w:rPr>
        <w:t xml:space="preserve"> </w:t>
      </w:r>
      <w:r w:rsidRPr="00B351A7">
        <w:rPr>
          <w:rFonts w:hint="eastAsia"/>
          <w:b/>
          <w:bCs/>
          <w:rtl/>
        </w:rPr>
        <w:t>מדינות</w:t>
      </w:r>
      <w:r w:rsidRPr="00B351A7">
        <w:rPr>
          <w:b/>
          <w:bCs/>
        </w:rPr>
        <w:t xml:space="preserve"> </w:t>
      </w:r>
      <w:r w:rsidRPr="00B351A7">
        <w:rPr>
          <w:rFonts w:hint="eastAsia"/>
          <w:b/>
          <w:bCs/>
          <w:rtl/>
        </w:rPr>
        <w:t>החברות</w:t>
      </w:r>
      <w:r w:rsidRPr="00B351A7">
        <w:rPr>
          <w:b/>
          <w:bCs/>
          <w:rtl/>
        </w:rPr>
        <w:t xml:space="preserve"> </w:t>
      </w:r>
      <w:r w:rsidRPr="00B351A7">
        <w:rPr>
          <w:rFonts w:hint="eastAsia"/>
          <w:b/>
          <w:bCs/>
          <w:rtl/>
        </w:rPr>
        <w:t>ב</w:t>
      </w:r>
      <w:r w:rsidRPr="00B351A7">
        <w:rPr>
          <w:b/>
          <w:bCs/>
          <w:rtl/>
        </w:rPr>
        <w:noBreakHyphen/>
      </w:r>
      <w:r w:rsidRPr="00B351A7">
        <w:rPr>
          <w:b/>
          <w:bCs/>
        </w:rPr>
        <w:t>OECD</w:t>
      </w:r>
      <w:r w:rsidRPr="00B351A7">
        <w:rPr>
          <w:rStyle w:val="FootnoteReference"/>
          <w:rFonts w:ascii="David" w:hAnsi="David"/>
          <w:b/>
          <w:bCs/>
          <w:sz w:val="24"/>
          <w:rtl/>
        </w:rPr>
        <w:footnoteReference w:id="9"/>
      </w:r>
      <w:r w:rsidRPr="00DB0BE0">
        <w:rPr>
          <w:sz w:val="22"/>
          <w:szCs w:val="22"/>
          <w:rtl/>
        </w:rPr>
        <w:t xml:space="preserve"> </w:t>
      </w:r>
    </w:p>
    <w:p w14:paraId="0DC5CE95" w14:textId="77777777" w:rsidR="00C218DA" w:rsidRDefault="00C218DA" w:rsidP="00C218DA">
      <w:pPr>
        <w:spacing w:line="269" w:lineRule="auto"/>
        <w:rPr>
          <w:sz w:val="22"/>
          <w:szCs w:val="22"/>
          <w:rtl/>
        </w:rPr>
      </w:pPr>
      <w:r>
        <w:rPr>
          <w:noProof/>
        </w:rPr>
        <w:drawing>
          <wp:inline distT="0" distB="0" distL="0" distR="0" wp14:anchorId="29CAAE37" wp14:editId="5F8A4593">
            <wp:extent cx="5041342" cy="3862425"/>
            <wp:effectExtent l="0" t="0" r="6985" b="5080"/>
            <wp:docPr id="13" name="תרשים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92F594" w14:textId="77777777" w:rsidR="00C218DA" w:rsidRPr="009747FD" w:rsidRDefault="00C218DA" w:rsidP="00B351A7">
      <w:pPr>
        <w:pStyle w:val="ac"/>
        <w:rPr>
          <w:rtl/>
        </w:rPr>
      </w:pPr>
      <w:r w:rsidRPr="009747FD">
        <w:rPr>
          <w:rFonts w:hint="eastAsia"/>
          <w:rtl/>
        </w:rPr>
        <w:t>המקור</w:t>
      </w:r>
      <w:r w:rsidRPr="009747FD">
        <w:rPr>
          <w:rtl/>
        </w:rPr>
        <w:t xml:space="preserve">: </w:t>
      </w:r>
      <w:r w:rsidRPr="009747FD">
        <w:rPr>
          <w:rFonts w:hint="eastAsia"/>
          <w:rtl/>
        </w:rPr>
        <w:t>משרד</w:t>
      </w:r>
      <w:r w:rsidRPr="009747FD">
        <w:rPr>
          <w:rtl/>
        </w:rPr>
        <w:t xml:space="preserve"> הבינוי, תוכנית "לגור בכבוד! </w:t>
      </w:r>
      <w:r w:rsidRPr="009747FD">
        <w:rPr>
          <w:rFonts w:hint="eastAsia"/>
          <w:rtl/>
        </w:rPr>
        <w:t>מצילים</w:t>
      </w:r>
      <w:r w:rsidRPr="009747FD">
        <w:rPr>
          <w:rtl/>
        </w:rPr>
        <w:t xml:space="preserve"> </w:t>
      </w:r>
      <w:r w:rsidRPr="009747FD">
        <w:rPr>
          <w:rFonts w:hint="eastAsia"/>
          <w:rtl/>
        </w:rPr>
        <w:t>את</w:t>
      </w:r>
      <w:r w:rsidRPr="009747FD">
        <w:rPr>
          <w:rtl/>
        </w:rPr>
        <w:t xml:space="preserve"> </w:t>
      </w:r>
      <w:r w:rsidRPr="009747FD">
        <w:rPr>
          <w:rFonts w:hint="eastAsia"/>
          <w:rtl/>
        </w:rPr>
        <w:t>הדיור</w:t>
      </w:r>
      <w:r w:rsidRPr="009747FD">
        <w:rPr>
          <w:rtl/>
        </w:rPr>
        <w:t xml:space="preserve"> </w:t>
      </w:r>
      <w:r w:rsidRPr="009747FD">
        <w:rPr>
          <w:rFonts w:hint="eastAsia"/>
          <w:rtl/>
        </w:rPr>
        <w:t>הציבורי</w:t>
      </w:r>
      <w:r w:rsidRPr="009747FD">
        <w:rPr>
          <w:rtl/>
        </w:rPr>
        <w:t>" (2018).</w:t>
      </w:r>
    </w:p>
    <w:p w14:paraId="0A88429E" w14:textId="77777777" w:rsidR="00B351A7" w:rsidRDefault="00B351A7" w:rsidP="00B351A7">
      <w:pPr>
        <w:pStyle w:val="100"/>
        <w:rPr>
          <w:rtl/>
        </w:rPr>
      </w:pPr>
    </w:p>
    <w:p w14:paraId="246957BD" w14:textId="77777777" w:rsidR="00C218DA" w:rsidRDefault="00C218DA" w:rsidP="00B351A7">
      <w:pPr>
        <w:pStyle w:val="100"/>
        <w:rPr>
          <w:rtl/>
        </w:rPr>
      </w:pPr>
      <w:r>
        <w:rPr>
          <w:rFonts w:hint="cs"/>
          <w:rtl/>
        </w:rPr>
        <w:t xml:space="preserve">מתרשים 5 עולה כי </w:t>
      </w:r>
      <w:r>
        <w:rPr>
          <w:rtl/>
        </w:rPr>
        <w:t xml:space="preserve">שיעור </w:t>
      </w:r>
      <w:r>
        <w:rPr>
          <w:rFonts w:hint="cs"/>
          <w:rtl/>
        </w:rPr>
        <w:t xml:space="preserve">הדיור הסוציאלי </w:t>
      </w:r>
      <w:r>
        <w:rPr>
          <w:rtl/>
        </w:rPr>
        <w:t>בישראל</w:t>
      </w:r>
      <w:r>
        <w:rPr>
          <w:rFonts w:hint="cs"/>
          <w:rtl/>
        </w:rPr>
        <w:t xml:space="preserve"> מתוך כלל הדירות במשק נמוך בהשוואה לרוב המדינות החברות ב-</w:t>
      </w:r>
      <w:r>
        <w:rPr>
          <w:rFonts w:hint="cs"/>
        </w:rPr>
        <w:t>OECD</w:t>
      </w:r>
      <w:r>
        <w:rPr>
          <w:rFonts w:hint="cs"/>
          <w:rtl/>
        </w:rPr>
        <w:t>, אם כי כאמור מודל הדיור הסוציאלי בישראל שונה מזה שבמדינות אחרות.</w:t>
      </w:r>
      <w:r>
        <w:rPr>
          <w:rtl/>
        </w:rPr>
        <w:t xml:space="preserve"> </w:t>
      </w:r>
      <w:r>
        <w:rPr>
          <w:rFonts w:hint="cs"/>
          <w:rtl/>
        </w:rPr>
        <w:t>יש לציין כי אם מספרן של הדירות הציבוריות היה כיום כ-90,000, בדומה למספרן בסוף שנות התשעים, הרי שניתן להעריך ששיעור הדיור הסוציאלי במדינה היה גבוה יותר בכ-45% (כ-4.5% לעומת 3.1% בשנת 2019).</w:t>
      </w:r>
    </w:p>
    <w:p w14:paraId="55DEA11A" w14:textId="77777777" w:rsidR="00C218DA" w:rsidRDefault="00C218DA" w:rsidP="00B351A7">
      <w:pPr>
        <w:pStyle w:val="100"/>
        <w:rPr>
          <w:sz w:val="24"/>
          <w:rtl/>
        </w:rPr>
      </w:pPr>
      <w:r w:rsidRPr="00B351A7">
        <w:rPr>
          <w:rStyle w:val="Heading7Char"/>
          <w:rFonts w:hint="eastAsia"/>
          <w:color w:val="004E6C"/>
          <w:spacing w:val="0"/>
          <w:rtl/>
        </w:rPr>
        <w:t>מכירת</w:t>
      </w:r>
      <w:r w:rsidRPr="00B351A7">
        <w:rPr>
          <w:rStyle w:val="Heading7Char"/>
          <w:color w:val="004E6C"/>
          <w:spacing w:val="0"/>
          <w:rtl/>
        </w:rPr>
        <w:t xml:space="preserve"> </w:t>
      </w:r>
      <w:r w:rsidRPr="00B351A7">
        <w:rPr>
          <w:rStyle w:val="Heading7Char"/>
          <w:rFonts w:hint="eastAsia"/>
          <w:color w:val="004E6C"/>
          <w:spacing w:val="0"/>
          <w:rtl/>
        </w:rPr>
        <w:t>הדירות</w:t>
      </w:r>
      <w:r w:rsidRPr="00B351A7">
        <w:rPr>
          <w:rStyle w:val="Heading7Char"/>
          <w:color w:val="004E6C"/>
          <w:spacing w:val="0"/>
          <w:rtl/>
        </w:rPr>
        <w:t xml:space="preserve"> </w:t>
      </w:r>
      <w:r w:rsidRPr="00B351A7">
        <w:rPr>
          <w:rStyle w:val="Heading7Char"/>
          <w:rFonts w:hint="eastAsia"/>
          <w:color w:val="004E6C"/>
          <w:spacing w:val="0"/>
          <w:rtl/>
        </w:rPr>
        <w:t>הציבוריות</w:t>
      </w:r>
      <w:r w:rsidRPr="00B351A7">
        <w:rPr>
          <w:rStyle w:val="Heading7Char"/>
          <w:color w:val="004E6C"/>
          <w:spacing w:val="0"/>
          <w:rtl/>
        </w:rPr>
        <w:t>:</w:t>
      </w:r>
      <w:r w:rsidRPr="00B351A7">
        <w:rPr>
          <w:rFonts w:hint="cs"/>
          <w:color w:val="004E6C"/>
          <w:rtl/>
        </w:rPr>
        <w:t xml:space="preserve"> </w:t>
      </w:r>
      <w:r w:rsidRPr="00847E36">
        <w:rPr>
          <w:rFonts w:hint="cs"/>
          <w:rtl/>
        </w:rPr>
        <w:t>הסיבה העיקרית לצמצום מלאי הדירות היא מכירת הדירות לדיירי הדיור הציבורי</w:t>
      </w:r>
      <w:r>
        <w:rPr>
          <w:rFonts w:hint="cs"/>
          <w:rtl/>
        </w:rPr>
        <w:t xml:space="preserve">. </w:t>
      </w:r>
      <w:r>
        <w:rPr>
          <w:rFonts w:hint="cs"/>
          <w:sz w:val="24"/>
          <w:rtl/>
        </w:rPr>
        <w:t>ב</w:t>
      </w:r>
      <w:r w:rsidRPr="00592405">
        <w:rPr>
          <w:rFonts w:hint="cs"/>
          <w:sz w:val="24"/>
          <w:rtl/>
        </w:rPr>
        <w:t>שנים</w:t>
      </w:r>
      <w:r>
        <w:rPr>
          <w:rFonts w:hint="cs"/>
          <w:sz w:val="24"/>
          <w:rtl/>
        </w:rPr>
        <w:t xml:space="preserve"> 1999 - 2012 </w:t>
      </w:r>
      <w:r w:rsidRPr="00592405">
        <w:rPr>
          <w:sz w:val="24"/>
          <w:rtl/>
        </w:rPr>
        <w:t xml:space="preserve">מכר </w:t>
      </w:r>
      <w:r>
        <w:rPr>
          <w:rFonts w:hint="cs"/>
          <w:sz w:val="24"/>
          <w:rtl/>
        </w:rPr>
        <w:t xml:space="preserve">משרד הבינוי לדיירים כ-30,000 </w:t>
      </w:r>
      <w:r w:rsidRPr="00592405">
        <w:rPr>
          <w:sz w:val="24"/>
          <w:rtl/>
        </w:rPr>
        <w:t>דירות</w:t>
      </w:r>
      <w:r>
        <w:rPr>
          <w:rFonts w:hint="cs"/>
          <w:sz w:val="24"/>
          <w:rtl/>
        </w:rPr>
        <w:t xml:space="preserve"> במסגרת מבצעי מכר, שבוצעו מכוח החלטות ממשלה שהתקבלו בנושא</w:t>
      </w:r>
      <w:r w:rsidRPr="00592405">
        <w:rPr>
          <w:sz w:val="24"/>
          <w:rtl/>
        </w:rPr>
        <w:t>.</w:t>
      </w:r>
      <w:r w:rsidRPr="00847E36">
        <w:rPr>
          <w:rFonts w:hint="cs"/>
          <w:rtl/>
        </w:rPr>
        <w:t xml:space="preserve"> </w:t>
      </w:r>
      <w:r>
        <w:rPr>
          <w:rFonts w:hint="cs"/>
          <w:rtl/>
        </w:rPr>
        <w:t xml:space="preserve">עוד קודם, ב-1998, נחקק </w:t>
      </w:r>
      <w:r w:rsidRPr="00847E36">
        <w:rPr>
          <w:rFonts w:hint="eastAsia"/>
          <w:rtl/>
        </w:rPr>
        <w:t>חוק</w:t>
      </w:r>
      <w:r w:rsidRPr="00847E36">
        <w:rPr>
          <w:rtl/>
        </w:rPr>
        <w:t xml:space="preserve"> </w:t>
      </w:r>
      <w:r w:rsidRPr="00847E36">
        <w:rPr>
          <w:rFonts w:hint="eastAsia"/>
          <w:rtl/>
        </w:rPr>
        <w:t>הדיור</w:t>
      </w:r>
      <w:r w:rsidRPr="00847E36">
        <w:rPr>
          <w:rtl/>
        </w:rPr>
        <w:t xml:space="preserve"> </w:t>
      </w:r>
      <w:r w:rsidRPr="00847E36">
        <w:rPr>
          <w:rFonts w:hint="eastAsia"/>
          <w:rtl/>
        </w:rPr>
        <w:t>הציבורי</w:t>
      </w:r>
      <w:r w:rsidRPr="00847E36">
        <w:rPr>
          <w:rtl/>
        </w:rPr>
        <w:t xml:space="preserve"> (זכויות </w:t>
      </w:r>
      <w:r w:rsidRPr="00847E36">
        <w:rPr>
          <w:rFonts w:hint="eastAsia"/>
          <w:rtl/>
        </w:rPr>
        <w:t>רכישה</w:t>
      </w:r>
      <w:r w:rsidRPr="00847E36">
        <w:rPr>
          <w:rtl/>
        </w:rPr>
        <w:t>),</w:t>
      </w:r>
      <w:r w:rsidRPr="00316AFB">
        <w:rPr>
          <w:rtl/>
        </w:rPr>
        <w:t xml:space="preserve"> </w:t>
      </w:r>
      <w:r w:rsidRPr="00A96044">
        <w:rPr>
          <w:rFonts w:hint="eastAsia"/>
          <w:rtl/>
        </w:rPr>
        <w:t>התשנ</w:t>
      </w:r>
      <w:r w:rsidRPr="00A96044">
        <w:rPr>
          <w:rtl/>
        </w:rPr>
        <w:t xml:space="preserve">"ט-1998 (להלן - </w:t>
      </w:r>
      <w:r w:rsidRPr="00A96044">
        <w:rPr>
          <w:rFonts w:hint="eastAsia"/>
          <w:rtl/>
        </w:rPr>
        <w:t>חוק</w:t>
      </w:r>
      <w:r w:rsidRPr="00A96044">
        <w:rPr>
          <w:rtl/>
        </w:rPr>
        <w:t xml:space="preserve"> </w:t>
      </w:r>
      <w:r w:rsidRPr="00A96044">
        <w:rPr>
          <w:rFonts w:hint="eastAsia"/>
          <w:rtl/>
        </w:rPr>
        <w:t>הדיור</w:t>
      </w:r>
      <w:r w:rsidRPr="00A96044">
        <w:rPr>
          <w:rtl/>
        </w:rPr>
        <w:t xml:space="preserve"> </w:t>
      </w:r>
      <w:r w:rsidRPr="00A96044">
        <w:rPr>
          <w:rFonts w:hint="eastAsia"/>
          <w:rtl/>
        </w:rPr>
        <w:t>הציבורי</w:t>
      </w:r>
      <w:r w:rsidRPr="00A96044">
        <w:rPr>
          <w:rtl/>
        </w:rPr>
        <w:t>)</w:t>
      </w:r>
      <w:r>
        <w:rPr>
          <w:rFonts w:hint="cs"/>
          <w:rtl/>
        </w:rPr>
        <w:t xml:space="preserve">, אולם מועד יישומו נדחה פעם </w:t>
      </w:r>
      <w:r w:rsidRPr="00EA2475">
        <w:rPr>
          <w:rFonts w:hint="cs"/>
          <w:sz w:val="24"/>
          <w:rtl/>
        </w:rPr>
        <w:t>אחר פעם במסגרת "חוק ההסדרים"</w:t>
      </w:r>
      <w:r>
        <w:rPr>
          <w:rStyle w:val="FootnoteReference"/>
          <w:rFonts w:cs="FrankRuehl"/>
          <w:szCs w:val="22"/>
          <w:rtl/>
        </w:rPr>
        <w:footnoteReference w:id="10"/>
      </w:r>
      <w:r w:rsidRPr="00EA2475">
        <w:rPr>
          <w:rFonts w:hint="cs"/>
          <w:sz w:val="24"/>
          <w:rtl/>
        </w:rPr>
        <w:t>, ובסופו</w:t>
      </w:r>
      <w:r>
        <w:rPr>
          <w:rFonts w:hint="cs"/>
          <w:rtl/>
        </w:rPr>
        <w:t xml:space="preserve"> של דבר הוא נכנס לתוקף ב-</w:t>
      </w:r>
      <w:r w:rsidRPr="00A96044">
        <w:rPr>
          <w:rFonts w:hint="cs"/>
          <w:rtl/>
        </w:rPr>
        <w:t>2013</w:t>
      </w:r>
      <w:r>
        <w:rPr>
          <w:rFonts w:hint="cs"/>
          <w:rtl/>
        </w:rPr>
        <w:t xml:space="preserve">. </w:t>
      </w:r>
      <w:r>
        <w:rPr>
          <w:rFonts w:hint="cs"/>
          <w:sz w:val="24"/>
          <w:rtl/>
        </w:rPr>
        <w:lastRenderedPageBreak/>
        <w:t xml:space="preserve">חוק הדיור הציבורי קבע שדיירי הדיור הציבורי שצברו ותק מגורים של חמש שנים זכאים לרכוש את הדירות שבהן הם מתגוררים במחיר מופחת. מטרת החוק הייתה </w:t>
      </w:r>
      <w:r w:rsidRPr="00634244">
        <w:rPr>
          <w:sz w:val="24"/>
          <w:rtl/>
        </w:rPr>
        <w:t xml:space="preserve">לצמצם את העוני </w:t>
      </w:r>
      <w:r>
        <w:rPr>
          <w:rFonts w:hint="cs"/>
          <w:sz w:val="24"/>
          <w:rtl/>
        </w:rPr>
        <w:t>באמצעות</w:t>
      </w:r>
      <w:r w:rsidRPr="00634244">
        <w:rPr>
          <w:sz w:val="24"/>
          <w:rtl/>
        </w:rPr>
        <w:t xml:space="preserve"> </w:t>
      </w:r>
      <w:r>
        <w:rPr>
          <w:rFonts w:hint="cs"/>
          <w:sz w:val="24"/>
          <w:rtl/>
        </w:rPr>
        <w:t xml:space="preserve">העברת </w:t>
      </w:r>
      <w:r w:rsidRPr="00634244">
        <w:rPr>
          <w:sz w:val="24"/>
          <w:rtl/>
        </w:rPr>
        <w:t xml:space="preserve">הון </w:t>
      </w:r>
      <w:r>
        <w:rPr>
          <w:rFonts w:hint="cs"/>
          <w:sz w:val="24"/>
          <w:rtl/>
        </w:rPr>
        <w:t xml:space="preserve">לידי משפחות הזכאים, כדי </w:t>
      </w:r>
      <w:r w:rsidRPr="00634244">
        <w:rPr>
          <w:sz w:val="24"/>
          <w:rtl/>
        </w:rPr>
        <w:t>שיוכלו להוריש</w:t>
      </w:r>
      <w:r>
        <w:rPr>
          <w:rFonts w:hint="cs"/>
          <w:sz w:val="24"/>
          <w:rtl/>
        </w:rPr>
        <w:t xml:space="preserve"> אותו </w:t>
      </w:r>
      <w:r w:rsidRPr="00634244">
        <w:rPr>
          <w:sz w:val="24"/>
          <w:rtl/>
        </w:rPr>
        <w:t>לילדיה</w:t>
      </w:r>
      <w:r>
        <w:rPr>
          <w:rFonts w:hint="cs"/>
          <w:sz w:val="24"/>
          <w:rtl/>
        </w:rPr>
        <w:t>ן,</w:t>
      </w:r>
      <w:r w:rsidRPr="00634244">
        <w:rPr>
          <w:sz w:val="24"/>
          <w:rtl/>
        </w:rPr>
        <w:t xml:space="preserve"> </w:t>
      </w:r>
      <w:r>
        <w:rPr>
          <w:rFonts w:hint="cs"/>
          <w:sz w:val="24"/>
          <w:rtl/>
        </w:rPr>
        <w:t>וגם</w:t>
      </w:r>
      <w:r w:rsidRPr="00634244">
        <w:rPr>
          <w:sz w:val="24"/>
          <w:rtl/>
        </w:rPr>
        <w:t xml:space="preserve"> לתמוך בבעלות פרטית על דירות</w:t>
      </w:r>
      <w:r>
        <w:rPr>
          <w:rStyle w:val="FootnoteReference"/>
          <w:sz w:val="24"/>
          <w:rtl/>
        </w:rPr>
        <w:footnoteReference w:id="11"/>
      </w:r>
      <w:r>
        <w:rPr>
          <w:rFonts w:hint="cs"/>
          <w:sz w:val="24"/>
          <w:rtl/>
        </w:rPr>
        <w:t xml:space="preserve">. לפי החוק, גובה ההנחה נקבע, בין היתר, על פי </w:t>
      </w:r>
      <w:r w:rsidRPr="00A3477C">
        <w:rPr>
          <w:sz w:val="24"/>
          <w:rtl/>
        </w:rPr>
        <w:t xml:space="preserve">ותק </w:t>
      </w:r>
      <w:r>
        <w:rPr>
          <w:rFonts w:hint="cs"/>
          <w:sz w:val="24"/>
          <w:rtl/>
        </w:rPr>
        <w:t>ה</w:t>
      </w:r>
      <w:r w:rsidRPr="00A3477C">
        <w:rPr>
          <w:sz w:val="24"/>
          <w:rtl/>
        </w:rPr>
        <w:t xml:space="preserve">מגורים </w:t>
      </w:r>
      <w:r>
        <w:rPr>
          <w:rFonts w:hint="cs"/>
          <w:sz w:val="24"/>
          <w:rtl/>
        </w:rPr>
        <w:t xml:space="preserve">בדיור הציבורי ועל פי </w:t>
      </w:r>
      <w:r w:rsidRPr="00A3477C">
        <w:rPr>
          <w:sz w:val="24"/>
          <w:rtl/>
        </w:rPr>
        <w:t xml:space="preserve">מספר </w:t>
      </w:r>
      <w:r>
        <w:rPr>
          <w:rFonts w:hint="cs"/>
          <w:sz w:val="24"/>
          <w:rtl/>
        </w:rPr>
        <w:t xml:space="preserve">הילדים שיש לדייר, והוא יכול להגיע </w:t>
      </w:r>
      <w:r w:rsidRPr="00B221BF">
        <w:rPr>
          <w:sz w:val="24"/>
          <w:rtl/>
        </w:rPr>
        <w:t>עד 90%</w:t>
      </w:r>
      <w:r>
        <w:rPr>
          <w:rFonts w:hint="cs"/>
          <w:sz w:val="24"/>
          <w:rtl/>
        </w:rPr>
        <w:t xml:space="preserve"> ממחיר הדירה בשוק החופשי ועד תקרת מחיר דירה מרבית </w:t>
      </w:r>
      <w:r>
        <w:rPr>
          <w:rFonts w:hint="cs"/>
          <w:rtl/>
        </w:rPr>
        <w:t>של כמיליון ש"ח</w:t>
      </w:r>
      <w:r>
        <w:rPr>
          <w:rStyle w:val="FootnoteReference"/>
          <w:rtl/>
        </w:rPr>
        <w:footnoteReference w:id="12"/>
      </w:r>
      <w:r>
        <w:rPr>
          <w:rFonts w:hint="cs"/>
          <w:rtl/>
        </w:rPr>
        <w:t xml:space="preserve">. </w:t>
      </w:r>
      <w:r>
        <w:rPr>
          <w:rFonts w:hint="cs"/>
          <w:sz w:val="24"/>
          <w:rtl/>
        </w:rPr>
        <w:t>ע</w:t>
      </w:r>
      <w:r w:rsidRPr="00CE4B25">
        <w:rPr>
          <w:rFonts w:hint="cs"/>
          <w:sz w:val="24"/>
          <w:rtl/>
        </w:rPr>
        <w:t>ל</w:t>
      </w:r>
      <w:r>
        <w:rPr>
          <w:rFonts w:hint="cs"/>
          <w:sz w:val="24"/>
          <w:rtl/>
        </w:rPr>
        <w:t xml:space="preserve"> </w:t>
      </w:r>
      <w:r w:rsidRPr="00CE4B25">
        <w:rPr>
          <w:rFonts w:hint="cs"/>
          <w:sz w:val="24"/>
          <w:rtl/>
        </w:rPr>
        <w:t>פי נתוני משרד</w:t>
      </w:r>
      <w:r>
        <w:rPr>
          <w:rFonts w:hint="cs"/>
          <w:sz w:val="24"/>
          <w:rtl/>
        </w:rPr>
        <w:t xml:space="preserve"> הבינוי</w:t>
      </w:r>
      <w:r w:rsidRPr="00CE4B25">
        <w:rPr>
          <w:rFonts w:hint="cs"/>
          <w:sz w:val="24"/>
          <w:rtl/>
        </w:rPr>
        <w:t xml:space="preserve">, </w:t>
      </w:r>
      <w:r>
        <w:rPr>
          <w:rFonts w:hint="cs"/>
          <w:sz w:val="24"/>
          <w:rtl/>
        </w:rPr>
        <w:t xml:space="preserve">מאז שנת 2014 ועד סוף 2019 (שש </w:t>
      </w:r>
      <w:r w:rsidRPr="00652F7B">
        <w:rPr>
          <w:sz w:val="24"/>
          <w:rtl/>
        </w:rPr>
        <w:t xml:space="preserve">שנים) </w:t>
      </w:r>
      <w:r w:rsidRPr="004B63BE">
        <w:rPr>
          <w:rFonts w:hint="cs"/>
          <w:rtl/>
        </w:rPr>
        <w:t>מכר המשרד לדיירים, באמצעות החברות המאכלסות</w:t>
      </w:r>
      <w:r>
        <w:rPr>
          <w:rFonts w:hint="cs"/>
          <w:sz w:val="24"/>
          <w:rtl/>
        </w:rPr>
        <w:t>, כ-10,000 דירות ותמורתן התקבלו כ-2.5 מיליאר</w:t>
      </w:r>
      <w:r>
        <w:rPr>
          <w:rFonts w:hint="eastAsia"/>
          <w:sz w:val="24"/>
          <w:rtl/>
        </w:rPr>
        <w:t>ד</w:t>
      </w:r>
      <w:r>
        <w:rPr>
          <w:rFonts w:hint="cs"/>
          <w:sz w:val="24"/>
          <w:rtl/>
        </w:rPr>
        <w:t xml:space="preserve"> ש"ח. מניתוח הנתונים </w:t>
      </w:r>
      <w:r w:rsidRPr="007A6F8E">
        <w:rPr>
          <w:rFonts w:hint="cs"/>
          <w:sz w:val="24"/>
          <w:rtl/>
        </w:rPr>
        <w:t>עולה כי ההנחה הממוצעת שניתנה לרוכשים הייתה כ-3</w:t>
      </w:r>
      <w:r>
        <w:rPr>
          <w:rFonts w:hint="cs"/>
          <w:sz w:val="24"/>
          <w:rtl/>
        </w:rPr>
        <w:t>17</w:t>
      </w:r>
      <w:r w:rsidRPr="007A6F8E">
        <w:rPr>
          <w:rFonts w:hint="cs"/>
          <w:sz w:val="24"/>
          <w:rtl/>
        </w:rPr>
        <w:t xml:space="preserve">,000 ש"ח </w:t>
      </w:r>
      <w:r w:rsidRPr="009C5D4C">
        <w:rPr>
          <w:rFonts w:hint="cs"/>
          <w:sz w:val="24"/>
          <w:rtl/>
        </w:rPr>
        <w:t>(כ-</w:t>
      </w:r>
      <w:r>
        <w:rPr>
          <w:rFonts w:hint="cs"/>
          <w:sz w:val="24"/>
          <w:rtl/>
        </w:rPr>
        <w:t>55</w:t>
      </w:r>
      <w:r w:rsidRPr="00B5672A">
        <w:rPr>
          <w:rFonts w:hint="cs"/>
          <w:sz w:val="24"/>
          <w:rtl/>
        </w:rPr>
        <w:t>% מהשווי הממוצע של</w:t>
      </w:r>
      <w:r w:rsidRPr="00CE4B25">
        <w:rPr>
          <w:rFonts w:hint="cs"/>
          <w:sz w:val="24"/>
          <w:rtl/>
        </w:rPr>
        <w:t xml:space="preserve"> הדיר</w:t>
      </w:r>
      <w:r>
        <w:rPr>
          <w:rFonts w:hint="cs"/>
          <w:sz w:val="24"/>
          <w:rtl/>
        </w:rPr>
        <w:t>ות, בהתאם לשומות שבוצעו לדירות</w:t>
      </w:r>
      <w:r w:rsidRPr="00CE4B25">
        <w:rPr>
          <w:rFonts w:hint="cs"/>
          <w:sz w:val="24"/>
          <w:rtl/>
        </w:rPr>
        <w:t xml:space="preserve">), וסך ההנחות שניתנו </w:t>
      </w:r>
      <w:r>
        <w:rPr>
          <w:rFonts w:hint="cs"/>
          <w:sz w:val="24"/>
          <w:rtl/>
        </w:rPr>
        <w:t>לרוכשים היה</w:t>
      </w:r>
      <w:r w:rsidRPr="00CE4B25">
        <w:rPr>
          <w:rFonts w:hint="cs"/>
          <w:sz w:val="24"/>
          <w:rtl/>
        </w:rPr>
        <w:t xml:space="preserve"> כ-</w:t>
      </w:r>
      <w:r>
        <w:rPr>
          <w:rFonts w:hint="cs"/>
          <w:sz w:val="24"/>
          <w:rtl/>
        </w:rPr>
        <w:t>3.2</w:t>
      </w:r>
      <w:r w:rsidRPr="00CE4B25">
        <w:rPr>
          <w:rFonts w:hint="cs"/>
          <w:sz w:val="24"/>
          <w:rtl/>
        </w:rPr>
        <w:t xml:space="preserve"> מיליאר</w:t>
      </w:r>
      <w:r w:rsidRPr="00CE4B25">
        <w:rPr>
          <w:rFonts w:hint="eastAsia"/>
          <w:sz w:val="24"/>
          <w:rtl/>
        </w:rPr>
        <w:t>ד</w:t>
      </w:r>
      <w:r w:rsidRPr="00CE4B25">
        <w:rPr>
          <w:rFonts w:hint="cs"/>
          <w:sz w:val="24"/>
          <w:rtl/>
        </w:rPr>
        <w:t xml:space="preserve"> ש"ח. </w:t>
      </w:r>
      <w:r w:rsidRPr="0091717C">
        <w:rPr>
          <w:sz w:val="24"/>
          <w:rtl/>
        </w:rPr>
        <w:t xml:space="preserve">אגף </w:t>
      </w:r>
      <w:r w:rsidRPr="00F47CA7">
        <w:rPr>
          <w:sz w:val="24"/>
          <w:rtl/>
        </w:rPr>
        <w:t>תקציבים</w:t>
      </w:r>
      <w:r>
        <w:rPr>
          <w:rFonts w:hint="cs"/>
          <w:sz w:val="24"/>
          <w:rtl/>
        </w:rPr>
        <w:t xml:space="preserve"> במשרד האוצר (להלן - אגף תקציבים) ציין בפני משרד מבקר המדינה כי</w:t>
      </w:r>
      <w:r w:rsidRPr="0091717C">
        <w:rPr>
          <w:sz w:val="24"/>
          <w:rtl/>
        </w:rPr>
        <w:t xml:space="preserve"> </w:t>
      </w:r>
      <w:r w:rsidRPr="0091717C">
        <w:rPr>
          <w:rFonts w:hint="eastAsia"/>
          <w:sz w:val="24"/>
          <w:rtl/>
        </w:rPr>
        <w:t>סך</w:t>
      </w:r>
      <w:r w:rsidRPr="0091717C">
        <w:rPr>
          <w:sz w:val="24"/>
          <w:rtl/>
        </w:rPr>
        <w:t xml:space="preserve"> </w:t>
      </w:r>
      <w:r w:rsidRPr="0091717C">
        <w:rPr>
          <w:rFonts w:hint="eastAsia"/>
          <w:sz w:val="24"/>
          <w:rtl/>
        </w:rPr>
        <w:t>ההנחות</w:t>
      </w:r>
      <w:r>
        <w:rPr>
          <w:sz w:val="24"/>
          <w:rtl/>
        </w:rPr>
        <w:t xml:space="preserve"> </w:t>
      </w:r>
      <w:r w:rsidRPr="0091717C">
        <w:rPr>
          <w:rFonts w:hint="eastAsia"/>
          <w:sz w:val="24"/>
          <w:rtl/>
        </w:rPr>
        <w:t>אינו</w:t>
      </w:r>
      <w:r w:rsidRPr="0091717C">
        <w:rPr>
          <w:sz w:val="24"/>
          <w:rtl/>
        </w:rPr>
        <w:t xml:space="preserve"> "משוקף" </w:t>
      </w:r>
      <w:r w:rsidRPr="0091717C">
        <w:rPr>
          <w:rFonts w:hint="eastAsia"/>
          <w:sz w:val="24"/>
          <w:rtl/>
        </w:rPr>
        <w:t>בתקציב</w:t>
      </w:r>
      <w:r w:rsidRPr="0091717C">
        <w:rPr>
          <w:sz w:val="24"/>
          <w:rtl/>
        </w:rPr>
        <w:t xml:space="preserve"> </w:t>
      </w:r>
      <w:r w:rsidRPr="0091717C">
        <w:rPr>
          <w:rFonts w:hint="eastAsia"/>
          <w:sz w:val="24"/>
          <w:rtl/>
        </w:rPr>
        <w:t>המדינה</w:t>
      </w:r>
      <w:r w:rsidRPr="0091717C">
        <w:rPr>
          <w:sz w:val="24"/>
          <w:rtl/>
        </w:rPr>
        <w:t>.</w:t>
      </w:r>
      <w:r>
        <w:rPr>
          <w:rFonts w:hint="cs"/>
          <w:sz w:val="24"/>
          <w:rtl/>
        </w:rPr>
        <w:t xml:space="preserve"> </w:t>
      </w:r>
    </w:p>
    <w:p w14:paraId="52F45C6B" w14:textId="77777777" w:rsidR="00C218DA" w:rsidRDefault="00C218DA" w:rsidP="006E5FF4">
      <w:pPr>
        <w:pStyle w:val="100"/>
        <w:rPr>
          <w:rtl/>
        </w:rPr>
      </w:pPr>
      <w:r>
        <w:rPr>
          <w:rFonts w:hint="cs"/>
          <w:rtl/>
        </w:rPr>
        <w:t xml:space="preserve">על פי </w:t>
      </w:r>
      <w:r w:rsidRPr="006E5FF4">
        <w:rPr>
          <w:rFonts w:hint="cs"/>
          <w:rtl/>
        </w:rPr>
        <w:t>הוראות</w:t>
      </w:r>
      <w:r>
        <w:rPr>
          <w:rFonts w:hint="cs"/>
          <w:rtl/>
        </w:rPr>
        <w:t xml:space="preserve"> החוק, </w:t>
      </w:r>
      <w:r w:rsidRPr="00721E8F">
        <w:rPr>
          <w:rtl/>
        </w:rPr>
        <w:t xml:space="preserve">הכספים </w:t>
      </w:r>
      <w:r>
        <w:rPr>
          <w:rFonts w:hint="cs"/>
          <w:rtl/>
        </w:rPr>
        <w:t xml:space="preserve">המתקבלים </w:t>
      </w:r>
      <w:r w:rsidRPr="00721E8F">
        <w:rPr>
          <w:rtl/>
        </w:rPr>
        <w:t>ממכירת הדירות הציב</w:t>
      </w:r>
      <w:r>
        <w:rPr>
          <w:rtl/>
        </w:rPr>
        <w:t xml:space="preserve">וריות יופקדו ב"קרן </w:t>
      </w:r>
      <w:r>
        <w:rPr>
          <w:rFonts w:hint="cs"/>
          <w:rtl/>
        </w:rPr>
        <w:t>ל</w:t>
      </w:r>
      <w:r>
        <w:rPr>
          <w:rtl/>
        </w:rPr>
        <w:t xml:space="preserve">דיור </w:t>
      </w:r>
      <w:r>
        <w:rPr>
          <w:rFonts w:hint="cs"/>
          <w:rtl/>
        </w:rPr>
        <w:t>ציבורי", וישמשו ל</w:t>
      </w:r>
      <w:r w:rsidRPr="001045CC">
        <w:rPr>
          <w:rFonts w:hint="cs"/>
          <w:rtl/>
        </w:rPr>
        <w:t>רכישת דירות</w:t>
      </w:r>
      <w:r>
        <w:rPr>
          <w:rFonts w:hint="cs"/>
          <w:rtl/>
        </w:rPr>
        <w:t xml:space="preserve"> ציבוריות. נכון לסוף 2019 נוצל כל התקציב בקרן. בלוח 1 שלהלן מובא פירוט סך הכספים שהתקבלו בקרן בשנים 2014 - 2019 לפי נתוני משרד הבינוי: </w:t>
      </w:r>
    </w:p>
    <w:p w14:paraId="038A4739" w14:textId="01E7E26C" w:rsidR="00C218DA" w:rsidRDefault="00C218DA" w:rsidP="00C218DA">
      <w:pPr>
        <w:pStyle w:val="aff8"/>
        <w:spacing w:line="269" w:lineRule="auto"/>
        <w:rPr>
          <w:rtl/>
        </w:rPr>
      </w:pPr>
    </w:p>
    <w:p w14:paraId="6ADAFAB8" w14:textId="566723ED" w:rsidR="00C218DA" w:rsidRPr="00E3253B" w:rsidRDefault="00C218DA" w:rsidP="00505AEC">
      <w:pPr>
        <w:pStyle w:val="aa"/>
        <w:spacing w:after="120"/>
        <w:rPr>
          <w:b/>
          <w:bCs/>
          <w:rtl/>
        </w:rPr>
      </w:pPr>
      <w:r w:rsidRPr="00642DEA">
        <w:rPr>
          <w:rFonts w:hint="eastAsia"/>
          <w:rtl/>
        </w:rPr>
        <w:t>לוח</w:t>
      </w:r>
      <w:r w:rsidRPr="00642DEA">
        <w:rPr>
          <w:rtl/>
        </w:rPr>
        <w:t xml:space="preserve"> 1: </w:t>
      </w:r>
      <w:r w:rsidRPr="00E3253B">
        <w:rPr>
          <w:b/>
          <w:bCs/>
          <w:rtl/>
        </w:rPr>
        <w:t xml:space="preserve">סך הכספים שהתקבלו בקרן </w:t>
      </w:r>
      <w:r w:rsidRPr="00E3253B">
        <w:rPr>
          <w:rFonts w:hint="cs"/>
          <w:b/>
          <w:bCs/>
          <w:rtl/>
        </w:rPr>
        <w:t>ל</w:t>
      </w:r>
      <w:r w:rsidRPr="00E3253B">
        <w:rPr>
          <w:b/>
          <w:bCs/>
          <w:rtl/>
        </w:rPr>
        <w:t xml:space="preserve">דיור ציבורי בשנים 2014 </w:t>
      </w:r>
      <w:r w:rsidR="00505AEC">
        <w:rPr>
          <w:b/>
          <w:bCs/>
          <w:rtl/>
        </w:rPr>
        <w:t>–</w:t>
      </w:r>
      <w:r w:rsidRPr="00E3253B">
        <w:rPr>
          <w:b/>
          <w:bCs/>
          <w:rtl/>
        </w:rPr>
        <w:t xml:space="preserve"> 201</w:t>
      </w:r>
      <w:r w:rsidRPr="00E3253B">
        <w:rPr>
          <w:rFonts w:hint="cs"/>
          <w:b/>
          <w:bCs/>
          <w:rtl/>
        </w:rPr>
        <w:t>9</w:t>
      </w:r>
      <w:r w:rsidR="00505AEC">
        <w:rPr>
          <w:b/>
          <w:bCs/>
          <w:rtl/>
        </w:rPr>
        <w:br/>
      </w:r>
      <w:r w:rsidRPr="00E3253B">
        <w:rPr>
          <w:rFonts w:hint="cs"/>
          <w:b/>
          <w:bCs/>
          <w:rtl/>
        </w:rPr>
        <w:t>(</w:t>
      </w:r>
      <w:r w:rsidRPr="00E3253B">
        <w:rPr>
          <w:b/>
          <w:bCs/>
          <w:rtl/>
        </w:rPr>
        <w:t>במיליוני ש"ח</w:t>
      </w:r>
      <w:r w:rsidRPr="00E3253B">
        <w:rPr>
          <w:rFonts w:hint="cs"/>
          <w:b/>
          <w:bCs/>
          <w:rtl/>
        </w:rPr>
        <w:t>,</w:t>
      </w:r>
      <w:r w:rsidRPr="00E3253B">
        <w:rPr>
          <w:b/>
          <w:bCs/>
          <w:rtl/>
        </w:rPr>
        <w:t xml:space="preserve"> בקירוב)</w:t>
      </w:r>
    </w:p>
    <w:tbl>
      <w:tblPr>
        <w:tblStyle w:val="TableGrid"/>
        <w:bidiVisual/>
        <w:tblW w:w="0" w:type="auto"/>
        <w:jc w:val="center"/>
        <w:tblLook w:val="04A0" w:firstRow="1" w:lastRow="0" w:firstColumn="1" w:lastColumn="0" w:noHBand="0" w:noVBand="1"/>
      </w:tblPr>
      <w:tblGrid>
        <w:gridCol w:w="1267"/>
        <w:gridCol w:w="1701"/>
      </w:tblGrid>
      <w:tr w:rsidR="00E3253B" w:rsidRPr="00E3253B" w14:paraId="123FA29E" w14:textId="77777777" w:rsidTr="00505AEC">
        <w:trPr>
          <w:jc w:val="center"/>
        </w:trPr>
        <w:tc>
          <w:tcPr>
            <w:tcW w:w="1267" w:type="dxa"/>
            <w:shd w:val="clear" w:color="auto" w:fill="C6D9F1"/>
          </w:tcPr>
          <w:p w14:paraId="1391A0F5" w14:textId="77777777" w:rsidR="00C218DA" w:rsidRPr="00E3253B" w:rsidRDefault="00C218DA" w:rsidP="00E3253B">
            <w:pPr>
              <w:pStyle w:val="af1"/>
              <w:rPr>
                <w:rtl/>
              </w:rPr>
            </w:pPr>
            <w:r w:rsidRPr="00E3253B">
              <w:rPr>
                <w:rFonts w:hint="eastAsia"/>
                <w:rtl/>
              </w:rPr>
              <w:t>השנה</w:t>
            </w:r>
          </w:p>
        </w:tc>
        <w:tc>
          <w:tcPr>
            <w:tcW w:w="1701" w:type="dxa"/>
            <w:shd w:val="clear" w:color="auto" w:fill="C6D9F1"/>
          </w:tcPr>
          <w:p w14:paraId="54D88A54" w14:textId="77777777" w:rsidR="00C218DA" w:rsidRPr="00E3253B" w:rsidRDefault="00C218DA" w:rsidP="00E3253B">
            <w:pPr>
              <w:pStyle w:val="af1"/>
              <w:rPr>
                <w:rtl/>
              </w:rPr>
            </w:pPr>
            <w:r w:rsidRPr="00E3253B">
              <w:rPr>
                <w:rFonts w:hint="eastAsia"/>
                <w:rtl/>
              </w:rPr>
              <w:t>סך</w:t>
            </w:r>
            <w:r w:rsidRPr="00E3253B">
              <w:rPr>
                <w:rtl/>
              </w:rPr>
              <w:t xml:space="preserve"> הכספים </w:t>
            </w:r>
          </w:p>
        </w:tc>
      </w:tr>
      <w:tr w:rsidR="00C218DA" w:rsidRPr="007D55FC" w14:paraId="0C732B62" w14:textId="77777777" w:rsidTr="00505AEC">
        <w:trPr>
          <w:jc w:val="center"/>
        </w:trPr>
        <w:tc>
          <w:tcPr>
            <w:tcW w:w="1267" w:type="dxa"/>
          </w:tcPr>
          <w:p w14:paraId="2E4E42AB" w14:textId="77777777" w:rsidR="00C218DA" w:rsidRPr="00107829" w:rsidRDefault="00C218DA" w:rsidP="00E3253B">
            <w:pPr>
              <w:pStyle w:val="R"/>
              <w:rPr>
                <w:rtl/>
              </w:rPr>
            </w:pPr>
            <w:r w:rsidRPr="00107829">
              <w:rPr>
                <w:rtl/>
              </w:rPr>
              <w:t>2014</w:t>
            </w:r>
          </w:p>
        </w:tc>
        <w:tc>
          <w:tcPr>
            <w:tcW w:w="1701" w:type="dxa"/>
          </w:tcPr>
          <w:p w14:paraId="0B60679A" w14:textId="77777777" w:rsidR="00C218DA" w:rsidRPr="00107829" w:rsidRDefault="00C218DA" w:rsidP="00E3253B">
            <w:pPr>
              <w:pStyle w:val="R"/>
              <w:rPr>
                <w:rtl/>
              </w:rPr>
            </w:pPr>
            <w:r w:rsidRPr="00107829">
              <w:rPr>
                <w:rtl/>
              </w:rPr>
              <w:t>490</w:t>
            </w:r>
          </w:p>
        </w:tc>
      </w:tr>
      <w:tr w:rsidR="00C218DA" w:rsidRPr="007D55FC" w14:paraId="7CD024A5" w14:textId="77777777" w:rsidTr="00505AEC">
        <w:trPr>
          <w:jc w:val="center"/>
        </w:trPr>
        <w:tc>
          <w:tcPr>
            <w:tcW w:w="1267" w:type="dxa"/>
          </w:tcPr>
          <w:p w14:paraId="3953F710" w14:textId="77777777" w:rsidR="00C218DA" w:rsidRPr="00107829" w:rsidRDefault="00C218DA" w:rsidP="00E3253B">
            <w:pPr>
              <w:pStyle w:val="R"/>
              <w:rPr>
                <w:rtl/>
              </w:rPr>
            </w:pPr>
            <w:r w:rsidRPr="00107829">
              <w:rPr>
                <w:rtl/>
              </w:rPr>
              <w:t>2015</w:t>
            </w:r>
          </w:p>
        </w:tc>
        <w:tc>
          <w:tcPr>
            <w:tcW w:w="1701" w:type="dxa"/>
          </w:tcPr>
          <w:p w14:paraId="6539FDF2" w14:textId="77777777" w:rsidR="00C218DA" w:rsidRPr="00107829" w:rsidRDefault="00C218DA" w:rsidP="00E3253B">
            <w:pPr>
              <w:pStyle w:val="R"/>
              <w:rPr>
                <w:rtl/>
              </w:rPr>
            </w:pPr>
            <w:r w:rsidRPr="00107829">
              <w:rPr>
                <w:rtl/>
              </w:rPr>
              <w:t>445</w:t>
            </w:r>
          </w:p>
        </w:tc>
      </w:tr>
      <w:tr w:rsidR="00C218DA" w:rsidRPr="007D55FC" w14:paraId="0C8B0626" w14:textId="77777777" w:rsidTr="00505AEC">
        <w:trPr>
          <w:jc w:val="center"/>
        </w:trPr>
        <w:tc>
          <w:tcPr>
            <w:tcW w:w="1267" w:type="dxa"/>
          </w:tcPr>
          <w:p w14:paraId="581AD82F" w14:textId="77777777" w:rsidR="00C218DA" w:rsidRPr="00652F7B" w:rsidRDefault="00C218DA" w:rsidP="00E3253B">
            <w:pPr>
              <w:pStyle w:val="R"/>
              <w:rPr>
                <w:rtl/>
              </w:rPr>
            </w:pPr>
            <w:r w:rsidRPr="00652F7B">
              <w:rPr>
                <w:rtl/>
              </w:rPr>
              <w:t>2016</w:t>
            </w:r>
          </w:p>
        </w:tc>
        <w:tc>
          <w:tcPr>
            <w:tcW w:w="1701" w:type="dxa"/>
          </w:tcPr>
          <w:p w14:paraId="18E461DC" w14:textId="77777777" w:rsidR="00C218DA" w:rsidRPr="00652F7B" w:rsidRDefault="00C218DA" w:rsidP="00E3253B">
            <w:pPr>
              <w:pStyle w:val="R"/>
              <w:rPr>
                <w:rtl/>
              </w:rPr>
            </w:pPr>
            <w:r w:rsidRPr="00652F7B">
              <w:rPr>
                <w:rtl/>
              </w:rPr>
              <w:t>331</w:t>
            </w:r>
          </w:p>
        </w:tc>
      </w:tr>
      <w:tr w:rsidR="00C218DA" w:rsidRPr="007D55FC" w14:paraId="0BDDD618" w14:textId="77777777" w:rsidTr="00505AEC">
        <w:trPr>
          <w:jc w:val="center"/>
        </w:trPr>
        <w:tc>
          <w:tcPr>
            <w:tcW w:w="1267" w:type="dxa"/>
          </w:tcPr>
          <w:p w14:paraId="4C778F62" w14:textId="77777777" w:rsidR="00C218DA" w:rsidRPr="00107829" w:rsidRDefault="00C218DA" w:rsidP="00E3253B">
            <w:pPr>
              <w:pStyle w:val="R"/>
              <w:rPr>
                <w:rtl/>
              </w:rPr>
            </w:pPr>
            <w:r w:rsidRPr="00107829">
              <w:rPr>
                <w:rtl/>
              </w:rPr>
              <w:t>2017</w:t>
            </w:r>
          </w:p>
        </w:tc>
        <w:tc>
          <w:tcPr>
            <w:tcW w:w="1701" w:type="dxa"/>
          </w:tcPr>
          <w:p w14:paraId="21C4898E" w14:textId="77777777" w:rsidR="00C218DA" w:rsidRPr="00107829" w:rsidRDefault="00C218DA" w:rsidP="00E3253B">
            <w:pPr>
              <w:pStyle w:val="R"/>
              <w:rPr>
                <w:rtl/>
              </w:rPr>
            </w:pPr>
            <w:r w:rsidRPr="00107829">
              <w:rPr>
                <w:rtl/>
              </w:rPr>
              <w:t>498</w:t>
            </w:r>
          </w:p>
        </w:tc>
      </w:tr>
      <w:tr w:rsidR="00C218DA" w:rsidRPr="007D55FC" w14:paraId="26629787" w14:textId="77777777" w:rsidTr="00505AEC">
        <w:trPr>
          <w:jc w:val="center"/>
        </w:trPr>
        <w:tc>
          <w:tcPr>
            <w:tcW w:w="1267" w:type="dxa"/>
          </w:tcPr>
          <w:p w14:paraId="586B1176" w14:textId="77777777" w:rsidR="00C218DA" w:rsidRPr="00107829" w:rsidRDefault="00C218DA" w:rsidP="00E3253B">
            <w:pPr>
              <w:pStyle w:val="R"/>
              <w:rPr>
                <w:rtl/>
              </w:rPr>
            </w:pPr>
            <w:r w:rsidRPr="00107829">
              <w:rPr>
                <w:rtl/>
              </w:rPr>
              <w:t>2018</w:t>
            </w:r>
          </w:p>
        </w:tc>
        <w:tc>
          <w:tcPr>
            <w:tcW w:w="1701" w:type="dxa"/>
          </w:tcPr>
          <w:p w14:paraId="1E89C54B" w14:textId="77777777" w:rsidR="00C218DA" w:rsidRPr="00107829" w:rsidRDefault="00C218DA" w:rsidP="00E3253B">
            <w:pPr>
              <w:pStyle w:val="R"/>
              <w:rPr>
                <w:rtl/>
              </w:rPr>
            </w:pPr>
            <w:r w:rsidRPr="00107829">
              <w:rPr>
                <w:rtl/>
              </w:rPr>
              <w:t>406</w:t>
            </w:r>
          </w:p>
        </w:tc>
      </w:tr>
      <w:tr w:rsidR="00C218DA" w:rsidRPr="007D55FC" w14:paraId="62AC7737" w14:textId="77777777" w:rsidTr="00505AEC">
        <w:trPr>
          <w:jc w:val="center"/>
        </w:trPr>
        <w:tc>
          <w:tcPr>
            <w:tcW w:w="1267" w:type="dxa"/>
          </w:tcPr>
          <w:p w14:paraId="2F5BE23F" w14:textId="77777777" w:rsidR="00C218DA" w:rsidRPr="00604A6F" w:rsidRDefault="00C218DA" w:rsidP="00E3253B">
            <w:pPr>
              <w:pStyle w:val="R"/>
              <w:rPr>
                <w:rtl/>
              </w:rPr>
            </w:pPr>
            <w:r w:rsidRPr="00604A6F">
              <w:rPr>
                <w:rtl/>
              </w:rPr>
              <w:t>2019</w:t>
            </w:r>
          </w:p>
        </w:tc>
        <w:tc>
          <w:tcPr>
            <w:tcW w:w="1701" w:type="dxa"/>
          </w:tcPr>
          <w:p w14:paraId="73035A4F" w14:textId="77777777" w:rsidR="00C218DA" w:rsidRPr="00604A6F" w:rsidRDefault="00C218DA" w:rsidP="00E3253B">
            <w:pPr>
              <w:pStyle w:val="R"/>
              <w:rPr>
                <w:rtl/>
              </w:rPr>
            </w:pPr>
            <w:r w:rsidRPr="00604A6F">
              <w:rPr>
                <w:rtl/>
              </w:rPr>
              <w:t>344</w:t>
            </w:r>
          </w:p>
        </w:tc>
      </w:tr>
      <w:tr w:rsidR="00C218DA" w:rsidRPr="007D55FC" w14:paraId="1CD1DA27" w14:textId="77777777" w:rsidTr="00505AEC">
        <w:trPr>
          <w:jc w:val="center"/>
        </w:trPr>
        <w:tc>
          <w:tcPr>
            <w:tcW w:w="1267" w:type="dxa"/>
            <w:shd w:val="clear" w:color="auto" w:fill="C6D9F1"/>
          </w:tcPr>
          <w:p w14:paraId="0D667630" w14:textId="77777777" w:rsidR="00C218DA" w:rsidRPr="00E3253B" w:rsidRDefault="00C218DA" w:rsidP="00E3253B">
            <w:pPr>
              <w:pStyle w:val="B"/>
              <w:rPr>
                <w:szCs w:val="20"/>
                <w:rtl/>
              </w:rPr>
            </w:pPr>
            <w:r w:rsidRPr="00E3253B">
              <w:rPr>
                <w:rFonts w:hint="eastAsia"/>
                <w:szCs w:val="20"/>
                <w:rtl/>
              </w:rPr>
              <w:t>סה</w:t>
            </w:r>
            <w:r w:rsidRPr="00E3253B">
              <w:rPr>
                <w:szCs w:val="20"/>
                <w:rtl/>
              </w:rPr>
              <w:t>"כ</w:t>
            </w:r>
          </w:p>
        </w:tc>
        <w:tc>
          <w:tcPr>
            <w:tcW w:w="1701" w:type="dxa"/>
            <w:shd w:val="clear" w:color="auto" w:fill="C6D9F1"/>
          </w:tcPr>
          <w:p w14:paraId="2ED0D6EC" w14:textId="77777777" w:rsidR="00C218DA" w:rsidRPr="00E3253B" w:rsidRDefault="00C218DA" w:rsidP="00E3253B">
            <w:pPr>
              <w:pStyle w:val="B"/>
              <w:rPr>
                <w:szCs w:val="20"/>
                <w:rtl/>
              </w:rPr>
            </w:pPr>
            <w:r w:rsidRPr="00E3253B">
              <w:rPr>
                <w:szCs w:val="20"/>
                <w:rtl/>
              </w:rPr>
              <w:t>2,514</w:t>
            </w:r>
          </w:p>
        </w:tc>
      </w:tr>
    </w:tbl>
    <w:p w14:paraId="1277D581" w14:textId="77777777" w:rsidR="00E3253B" w:rsidRDefault="00E3253B" w:rsidP="00E3253B">
      <w:pPr>
        <w:pStyle w:val="100"/>
        <w:rPr>
          <w:rStyle w:val="Heading7Char"/>
          <w:rtl/>
        </w:rPr>
      </w:pPr>
    </w:p>
    <w:p w14:paraId="67FD804F" w14:textId="77777777" w:rsidR="00C218DA" w:rsidRDefault="00C218DA" w:rsidP="00E3253B">
      <w:pPr>
        <w:pStyle w:val="100"/>
        <w:rPr>
          <w:rtl/>
        </w:rPr>
      </w:pPr>
      <w:r w:rsidRPr="00E3253B">
        <w:rPr>
          <w:rStyle w:val="Heading7Char"/>
          <w:rFonts w:hint="cs"/>
          <w:color w:val="004E6C"/>
          <w:spacing w:val="0"/>
          <w:rtl/>
        </w:rPr>
        <w:t>רכישת הדירות הציבוריות:</w:t>
      </w:r>
      <w:r w:rsidRPr="00E3253B">
        <w:rPr>
          <w:rFonts w:hint="cs"/>
          <w:color w:val="004E6C"/>
          <w:rtl/>
        </w:rPr>
        <w:t xml:space="preserve"> </w:t>
      </w:r>
      <w:r>
        <w:rPr>
          <w:rFonts w:hint="cs"/>
          <w:rtl/>
        </w:rPr>
        <w:t>על פי נתוני משרד הבינוי, בשנים 2014 - 2019 רכש המשרד כ-2,600 דירות ציבוריות</w:t>
      </w:r>
      <w:r>
        <w:rPr>
          <w:rStyle w:val="FootnoteReference"/>
          <w:sz w:val="24"/>
          <w:rtl/>
        </w:rPr>
        <w:footnoteReference w:id="13"/>
      </w:r>
      <w:r>
        <w:rPr>
          <w:rFonts w:hint="cs"/>
          <w:rtl/>
        </w:rPr>
        <w:t xml:space="preserve"> בעלות כוללת של כ-3.4 מיליאר</w:t>
      </w:r>
      <w:r>
        <w:rPr>
          <w:rFonts w:hint="eastAsia"/>
          <w:rtl/>
        </w:rPr>
        <w:t>ד</w:t>
      </w:r>
      <w:r>
        <w:rPr>
          <w:rFonts w:hint="cs"/>
          <w:rtl/>
        </w:rPr>
        <w:t xml:space="preserve"> ש"ח. נוסף על כך, המשרד נתן הרשאות לרכישת דירות בסך של כ-300 מיליון ש"ח, ובמועד סיום הביקורת התקיימו תהליכי איתור של הדירות לקראת רכישתן. בתרשימים שלהלן מובא פירוט מספר הדירות שנרכשו </w:t>
      </w:r>
      <w:r>
        <w:rPr>
          <w:rFonts w:hint="cs"/>
          <w:rtl/>
        </w:rPr>
        <w:lastRenderedPageBreak/>
        <w:t>לעומת מספר הדירות שנמכרו ועלות הרכישות לעומת התמורה בגין המכירות, בחלוקה לפי שנים.</w:t>
      </w:r>
    </w:p>
    <w:p w14:paraId="6B7807A8" w14:textId="77777777" w:rsidR="00C218DA" w:rsidRPr="00E3253B" w:rsidRDefault="00C218DA" w:rsidP="00E3253B">
      <w:pPr>
        <w:pStyle w:val="aa"/>
        <w:rPr>
          <w:rFonts w:asciiTheme="minorBidi" w:hAnsiTheme="minorBidi"/>
          <w:b/>
          <w:bCs/>
          <w:color w:val="FF0000"/>
          <w:rtl/>
        </w:rPr>
      </w:pPr>
      <w:r w:rsidRPr="00642DEA">
        <w:rPr>
          <w:rFonts w:hint="eastAsia"/>
          <w:rtl/>
        </w:rPr>
        <w:t>תרשים</w:t>
      </w:r>
      <w:r w:rsidRPr="00642DEA">
        <w:rPr>
          <w:rtl/>
        </w:rPr>
        <w:t xml:space="preserve"> 6: </w:t>
      </w:r>
      <w:r w:rsidRPr="00E3253B">
        <w:rPr>
          <w:rFonts w:hint="eastAsia"/>
          <w:b/>
          <w:bCs/>
          <w:rtl/>
        </w:rPr>
        <w:t>מספר</w:t>
      </w:r>
      <w:r w:rsidRPr="00E3253B">
        <w:rPr>
          <w:b/>
          <w:bCs/>
          <w:rtl/>
        </w:rPr>
        <w:t xml:space="preserve"> </w:t>
      </w:r>
      <w:r w:rsidRPr="00E3253B">
        <w:rPr>
          <w:rFonts w:hint="eastAsia"/>
          <w:b/>
          <w:bCs/>
          <w:rtl/>
        </w:rPr>
        <w:t>הדירות</w:t>
      </w:r>
      <w:r w:rsidRPr="00E3253B">
        <w:rPr>
          <w:b/>
          <w:bCs/>
          <w:rtl/>
        </w:rPr>
        <w:t xml:space="preserve"> </w:t>
      </w:r>
      <w:r w:rsidRPr="00E3253B">
        <w:rPr>
          <w:rFonts w:hint="eastAsia"/>
          <w:b/>
          <w:bCs/>
          <w:rtl/>
        </w:rPr>
        <w:t>הציבוריות</w:t>
      </w:r>
      <w:r w:rsidRPr="00E3253B">
        <w:rPr>
          <w:b/>
          <w:bCs/>
          <w:rtl/>
        </w:rPr>
        <w:t xml:space="preserve"> </w:t>
      </w:r>
      <w:r w:rsidRPr="00E3253B">
        <w:rPr>
          <w:rFonts w:hint="eastAsia"/>
          <w:b/>
          <w:bCs/>
          <w:rtl/>
        </w:rPr>
        <w:t>שרכש</w:t>
      </w:r>
      <w:r w:rsidRPr="00E3253B">
        <w:rPr>
          <w:b/>
          <w:bCs/>
          <w:rtl/>
        </w:rPr>
        <w:t xml:space="preserve"> </w:t>
      </w:r>
      <w:r w:rsidRPr="00E3253B">
        <w:rPr>
          <w:rFonts w:hint="eastAsia"/>
          <w:b/>
          <w:bCs/>
          <w:rtl/>
        </w:rPr>
        <w:t>משרד</w:t>
      </w:r>
      <w:r w:rsidRPr="00E3253B">
        <w:rPr>
          <w:b/>
          <w:bCs/>
          <w:rtl/>
        </w:rPr>
        <w:t xml:space="preserve"> </w:t>
      </w:r>
      <w:r w:rsidRPr="00E3253B">
        <w:rPr>
          <w:rFonts w:hint="eastAsia"/>
          <w:b/>
          <w:bCs/>
          <w:rtl/>
        </w:rPr>
        <w:t>ה</w:t>
      </w:r>
      <w:r w:rsidRPr="00E3253B">
        <w:rPr>
          <w:rFonts w:hint="cs"/>
          <w:b/>
          <w:bCs/>
          <w:rtl/>
        </w:rPr>
        <w:t xml:space="preserve">בינוי </w:t>
      </w:r>
      <w:r w:rsidRPr="00E3253B">
        <w:rPr>
          <w:b/>
          <w:bCs/>
          <w:rtl/>
        </w:rPr>
        <w:t>ו</w:t>
      </w:r>
      <w:r w:rsidRPr="00E3253B">
        <w:rPr>
          <w:rFonts w:hint="eastAsia"/>
          <w:b/>
          <w:bCs/>
          <w:rtl/>
        </w:rPr>
        <w:t>מספר</w:t>
      </w:r>
      <w:r w:rsidRPr="00E3253B">
        <w:rPr>
          <w:b/>
          <w:bCs/>
          <w:rtl/>
        </w:rPr>
        <w:t xml:space="preserve"> </w:t>
      </w:r>
      <w:r w:rsidRPr="00E3253B">
        <w:rPr>
          <w:rFonts w:hint="eastAsia"/>
          <w:b/>
          <w:bCs/>
          <w:rtl/>
        </w:rPr>
        <w:t>הדירות</w:t>
      </w:r>
      <w:r w:rsidRPr="00E3253B">
        <w:rPr>
          <w:b/>
          <w:bCs/>
          <w:rtl/>
        </w:rPr>
        <w:t xml:space="preserve"> </w:t>
      </w:r>
      <w:r w:rsidRPr="00E3253B">
        <w:rPr>
          <w:rFonts w:hint="eastAsia"/>
          <w:b/>
          <w:bCs/>
          <w:rtl/>
        </w:rPr>
        <w:t>שמכר</w:t>
      </w:r>
      <w:r w:rsidRPr="00E3253B">
        <w:rPr>
          <w:b/>
          <w:bCs/>
          <w:rtl/>
        </w:rPr>
        <w:t xml:space="preserve"> </w:t>
      </w:r>
      <w:r w:rsidRPr="00E3253B">
        <w:rPr>
          <w:rFonts w:hint="eastAsia"/>
          <w:b/>
          <w:bCs/>
          <w:rtl/>
        </w:rPr>
        <w:t>לדיירים</w:t>
      </w:r>
      <w:r w:rsidRPr="00E3253B">
        <w:rPr>
          <w:b/>
          <w:bCs/>
          <w:rtl/>
        </w:rPr>
        <w:t xml:space="preserve">, </w:t>
      </w:r>
      <w:r w:rsidRPr="00E3253B">
        <w:rPr>
          <w:rFonts w:hint="cs"/>
          <w:b/>
          <w:bCs/>
          <w:rtl/>
        </w:rPr>
        <w:t xml:space="preserve">2014 - 2019 </w:t>
      </w:r>
    </w:p>
    <w:p w14:paraId="76CA9A56" w14:textId="77777777" w:rsidR="00C218DA" w:rsidRPr="00107829" w:rsidRDefault="00C218DA" w:rsidP="00C218DA">
      <w:pPr>
        <w:pStyle w:val="aff8"/>
        <w:spacing w:line="269" w:lineRule="auto"/>
      </w:pPr>
    </w:p>
    <w:p w14:paraId="558FD226" w14:textId="77777777" w:rsidR="00C218DA" w:rsidRDefault="00C218DA" w:rsidP="00C218DA">
      <w:pPr>
        <w:spacing w:line="269" w:lineRule="auto"/>
        <w:rPr>
          <w:sz w:val="24"/>
        </w:rPr>
      </w:pPr>
      <w:r>
        <w:rPr>
          <w:noProof/>
        </w:rPr>
        <w:drawing>
          <wp:inline distT="0" distB="0" distL="0" distR="0" wp14:anchorId="569C1130" wp14:editId="3C4C30C9">
            <wp:extent cx="4829175" cy="2914650"/>
            <wp:effectExtent l="0" t="0" r="9525" b="0"/>
            <wp:docPr id="14" name="תרשים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7DCDDB" w14:textId="77777777" w:rsidR="00C218DA" w:rsidRPr="009747FD" w:rsidRDefault="00C218DA" w:rsidP="00E3253B">
      <w:pPr>
        <w:pStyle w:val="ac"/>
        <w:rPr>
          <w:rtl/>
        </w:rPr>
      </w:pPr>
      <w:r w:rsidRPr="009747FD">
        <w:rPr>
          <w:rFonts w:hint="eastAsia"/>
          <w:rtl/>
        </w:rPr>
        <w:t>על</w:t>
      </w:r>
      <w:r w:rsidRPr="009747FD">
        <w:rPr>
          <w:rtl/>
        </w:rPr>
        <w:t xml:space="preserve"> פי </w:t>
      </w:r>
      <w:r w:rsidRPr="009747FD">
        <w:rPr>
          <w:rFonts w:hint="eastAsia"/>
          <w:rtl/>
        </w:rPr>
        <w:t>נתוני</w:t>
      </w:r>
      <w:r w:rsidRPr="009747FD">
        <w:rPr>
          <w:rtl/>
        </w:rPr>
        <w:t xml:space="preserve"> </w:t>
      </w:r>
      <w:r w:rsidRPr="009747FD">
        <w:rPr>
          <w:rFonts w:hint="eastAsia"/>
          <w:rtl/>
        </w:rPr>
        <w:t>משרד</w:t>
      </w:r>
      <w:r w:rsidRPr="009747FD">
        <w:rPr>
          <w:rtl/>
        </w:rPr>
        <w:t xml:space="preserve"> </w:t>
      </w:r>
      <w:r w:rsidRPr="009747FD">
        <w:rPr>
          <w:rFonts w:hint="eastAsia"/>
          <w:rtl/>
        </w:rPr>
        <w:t>ה</w:t>
      </w:r>
      <w:r w:rsidRPr="009747FD">
        <w:rPr>
          <w:rFonts w:hint="cs"/>
          <w:rtl/>
        </w:rPr>
        <w:t>בינוי,</w:t>
      </w:r>
      <w:r w:rsidRPr="009747FD">
        <w:rPr>
          <w:rtl/>
        </w:rPr>
        <w:t xml:space="preserve"> בעיבוד משרד מבקר המדינה.</w:t>
      </w:r>
    </w:p>
    <w:p w14:paraId="3A4EFA10" w14:textId="77777777" w:rsidR="00C218DA" w:rsidRDefault="00C218DA" w:rsidP="00C218DA">
      <w:pPr>
        <w:bidi w:val="0"/>
        <w:spacing w:after="200" w:line="276" w:lineRule="auto"/>
        <w:rPr>
          <w:szCs w:val="20"/>
          <w:rtl/>
        </w:rPr>
      </w:pPr>
      <w:r>
        <w:rPr>
          <w:rtl/>
        </w:rPr>
        <w:br w:type="page"/>
      </w:r>
    </w:p>
    <w:p w14:paraId="5089BABC" w14:textId="77777777" w:rsidR="00C218DA" w:rsidRPr="009747FD" w:rsidRDefault="00C218DA" w:rsidP="00E3253B">
      <w:pPr>
        <w:pStyle w:val="aa"/>
        <w:rPr>
          <w:rtl/>
        </w:rPr>
      </w:pPr>
      <w:r w:rsidRPr="009747FD">
        <w:rPr>
          <w:rFonts w:hint="eastAsia"/>
          <w:rtl/>
        </w:rPr>
        <w:lastRenderedPageBreak/>
        <w:t>תרשים</w:t>
      </w:r>
      <w:r w:rsidRPr="009747FD">
        <w:rPr>
          <w:rtl/>
        </w:rPr>
        <w:t xml:space="preserve"> 7: </w:t>
      </w:r>
      <w:r w:rsidRPr="00E3253B">
        <w:rPr>
          <w:rFonts w:hint="eastAsia"/>
          <w:b/>
          <w:bCs/>
          <w:rtl/>
        </w:rPr>
        <w:t>עלות</w:t>
      </w:r>
      <w:r w:rsidRPr="00E3253B">
        <w:rPr>
          <w:b/>
          <w:bCs/>
          <w:rtl/>
        </w:rPr>
        <w:t xml:space="preserve"> </w:t>
      </w:r>
      <w:r w:rsidRPr="00E3253B">
        <w:rPr>
          <w:rFonts w:hint="eastAsia"/>
          <w:b/>
          <w:bCs/>
          <w:rtl/>
        </w:rPr>
        <w:t>הדירות</w:t>
      </w:r>
      <w:r w:rsidRPr="00E3253B">
        <w:rPr>
          <w:b/>
          <w:bCs/>
          <w:rtl/>
        </w:rPr>
        <w:t xml:space="preserve"> </w:t>
      </w:r>
      <w:r w:rsidRPr="00E3253B">
        <w:rPr>
          <w:rFonts w:hint="eastAsia"/>
          <w:b/>
          <w:bCs/>
          <w:rtl/>
        </w:rPr>
        <w:t>שנרכשו</w:t>
      </w:r>
      <w:r w:rsidRPr="00E3253B">
        <w:rPr>
          <w:b/>
          <w:bCs/>
          <w:rtl/>
        </w:rPr>
        <w:t xml:space="preserve"> </w:t>
      </w:r>
      <w:r w:rsidRPr="00E3253B">
        <w:rPr>
          <w:rFonts w:hint="eastAsia"/>
          <w:b/>
          <w:bCs/>
          <w:rtl/>
        </w:rPr>
        <w:t>והתמורה</w:t>
      </w:r>
      <w:r w:rsidRPr="00E3253B">
        <w:rPr>
          <w:b/>
          <w:bCs/>
          <w:rtl/>
        </w:rPr>
        <w:t xml:space="preserve"> </w:t>
      </w:r>
      <w:r w:rsidRPr="00E3253B">
        <w:rPr>
          <w:rFonts w:hint="eastAsia"/>
          <w:b/>
          <w:bCs/>
          <w:rtl/>
        </w:rPr>
        <w:t>שהתקבלה</w:t>
      </w:r>
      <w:r w:rsidRPr="00E3253B">
        <w:rPr>
          <w:b/>
          <w:bCs/>
          <w:rtl/>
        </w:rPr>
        <w:t xml:space="preserve"> </w:t>
      </w:r>
      <w:r w:rsidRPr="00E3253B">
        <w:rPr>
          <w:rFonts w:hint="eastAsia"/>
          <w:b/>
          <w:bCs/>
          <w:rtl/>
        </w:rPr>
        <w:t>בגין</w:t>
      </w:r>
      <w:r w:rsidRPr="00E3253B">
        <w:rPr>
          <w:b/>
          <w:bCs/>
          <w:rtl/>
        </w:rPr>
        <w:t xml:space="preserve"> </w:t>
      </w:r>
      <w:r w:rsidRPr="00E3253B">
        <w:rPr>
          <w:rFonts w:hint="eastAsia"/>
          <w:b/>
          <w:bCs/>
          <w:rtl/>
        </w:rPr>
        <w:t>הדירות</w:t>
      </w:r>
      <w:r w:rsidRPr="00E3253B">
        <w:rPr>
          <w:b/>
          <w:bCs/>
          <w:rtl/>
        </w:rPr>
        <w:t xml:space="preserve"> </w:t>
      </w:r>
      <w:r w:rsidRPr="00E3253B">
        <w:rPr>
          <w:rFonts w:hint="eastAsia"/>
          <w:b/>
          <w:bCs/>
          <w:rtl/>
        </w:rPr>
        <w:t>שנמכרו</w:t>
      </w:r>
      <w:r w:rsidRPr="00E3253B">
        <w:rPr>
          <w:rFonts w:hint="cs"/>
          <w:b/>
          <w:bCs/>
          <w:rtl/>
        </w:rPr>
        <w:t>,</w:t>
      </w:r>
      <w:r w:rsidRPr="00E3253B">
        <w:rPr>
          <w:b/>
          <w:bCs/>
          <w:rtl/>
        </w:rPr>
        <w:t xml:space="preserve"> 2014 - 2019</w:t>
      </w:r>
    </w:p>
    <w:p w14:paraId="4ECD9F08" w14:textId="77777777" w:rsidR="00C218DA" w:rsidRDefault="00C218DA" w:rsidP="00C218DA">
      <w:pPr>
        <w:spacing w:line="269" w:lineRule="auto"/>
        <w:jc w:val="center"/>
        <w:rPr>
          <w:sz w:val="24"/>
          <w:rtl/>
        </w:rPr>
      </w:pPr>
      <w:r w:rsidRPr="00D254A0">
        <w:rPr>
          <w:noProof/>
        </w:rPr>
        <w:drawing>
          <wp:inline distT="0" distB="0" distL="0" distR="0" wp14:anchorId="51F85A66" wp14:editId="3FB0CA8E">
            <wp:extent cx="4972685" cy="3046730"/>
            <wp:effectExtent l="0" t="0" r="18415" b="1270"/>
            <wp:docPr id="16" name="תרשים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5AD37E" w14:textId="77777777" w:rsidR="00C218DA" w:rsidRPr="009747FD" w:rsidRDefault="00C218DA" w:rsidP="00E3253B">
      <w:pPr>
        <w:pStyle w:val="ac"/>
        <w:rPr>
          <w:rtl/>
        </w:rPr>
      </w:pPr>
      <w:r w:rsidRPr="009747FD">
        <w:rPr>
          <w:rFonts w:hint="eastAsia"/>
          <w:rtl/>
        </w:rPr>
        <w:t>על</w:t>
      </w:r>
      <w:r w:rsidRPr="009747FD">
        <w:rPr>
          <w:rtl/>
        </w:rPr>
        <w:t xml:space="preserve"> </w:t>
      </w:r>
      <w:r w:rsidRPr="009747FD">
        <w:rPr>
          <w:rFonts w:hint="eastAsia"/>
          <w:rtl/>
        </w:rPr>
        <w:t>פי</w:t>
      </w:r>
      <w:r w:rsidRPr="009747FD">
        <w:rPr>
          <w:rtl/>
        </w:rPr>
        <w:t xml:space="preserve"> </w:t>
      </w:r>
      <w:r w:rsidRPr="009747FD">
        <w:rPr>
          <w:rFonts w:hint="eastAsia"/>
          <w:rtl/>
        </w:rPr>
        <w:t>נתוני</w:t>
      </w:r>
      <w:r w:rsidRPr="009747FD">
        <w:rPr>
          <w:rtl/>
        </w:rPr>
        <w:t xml:space="preserve"> </w:t>
      </w:r>
      <w:r w:rsidRPr="009747FD">
        <w:rPr>
          <w:rFonts w:hint="eastAsia"/>
          <w:rtl/>
        </w:rPr>
        <w:t>משרד</w:t>
      </w:r>
      <w:r w:rsidRPr="009747FD">
        <w:rPr>
          <w:rtl/>
        </w:rPr>
        <w:t xml:space="preserve"> </w:t>
      </w:r>
      <w:r w:rsidRPr="009747FD">
        <w:rPr>
          <w:rFonts w:hint="cs"/>
          <w:rtl/>
        </w:rPr>
        <w:t>הבינוי,</w:t>
      </w:r>
      <w:r w:rsidRPr="009747FD">
        <w:rPr>
          <w:rtl/>
        </w:rPr>
        <w:t xml:space="preserve"> </w:t>
      </w:r>
      <w:r w:rsidRPr="009747FD">
        <w:rPr>
          <w:rFonts w:hint="eastAsia"/>
          <w:rtl/>
        </w:rPr>
        <w:t>בעיבוד</w:t>
      </w:r>
      <w:r w:rsidRPr="009747FD">
        <w:rPr>
          <w:rtl/>
        </w:rPr>
        <w:t xml:space="preserve"> </w:t>
      </w:r>
      <w:r w:rsidRPr="009747FD">
        <w:rPr>
          <w:rFonts w:hint="eastAsia"/>
          <w:rtl/>
        </w:rPr>
        <w:t>משרד</w:t>
      </w:r>
      <w:r w:rsidRPr="009747FD">
        <w:rPr>
          <w:rtl/>
        </w:rPr>
        <w:t xml:space="preserve"> </w:t>
      </w:r>
      <w:r w:rsidRPr="009747FD">
        <w:rPr>
          <w:rFonts w:hint="eastAsia"/>
          <w:rtl/>
        </w:rPr>
        <w:t>מבקר</w:t>
      </w:r>
      <w:r w:rsidRPr="009747FD">
        <w:rPr>
          <w:rtl/>
        </w:rPr>
        <w:t xml:space="preserve"> </w:t>
      </w:r>
      <w:r w:rsidRPr="009747FD">
        <w:rPr>
          <w:rFonts w:hint="eastAsia"/>
          <w:rtl/>
        </w:rPr>
        <w:t>המדינה</w:t>
      </w:r>
      <w:r w:rsidRPr="009747FD">
        <w:rPr>
          <w:rtl/>
        </w:rPr>
        <w:t>.</w:t>
      </w:r>
    </w:p>
    <w:p w14:paraId="77215FF0" w14:textId="77777777" w:rsidR="001A71C9" w:rsidRDefault="001A71C9" w:rsidP="00741781">
      <w:pPr>
        <w:pStyle w:val="100"/>
        <w:rPr>
          <w:rtl/>
        </w:rPr>
      </w:pPr>
    </w:p>
    <w:p w14:paraId="75C35B5E" w14:textId="77777777" w:rsidR="00C218DA" w:rsidRDefault="00C218DA" w:rsidP="00741781">
      <w:pPr>
        <w:pStyle w:val="100"/>
        <w:rPr>
          <w:rtl/>
        </w:rPr>
      </w:pPr>
      <w:r>
        <w:rPr>
          <w:rFonts w:hint="cs"/>
          <w:rtl/>
        </w:rPr>
        <w:t xml:space="preserve">כפי שעולה מתרשימים 6 ו-7, מספר הדירות שנרכשו בכל אחת מהשנים נמוך באופן ניכר ממספר הדירות שנמכרו. זאת גם בשנים 2016 - 2019, שבהן תקציב הרכש היה גבוה מהתמורה שהתקבלה ממכר הדירות בשל תוספות תקציב שהוקצו לרכש הדירות, כמפורט להלן. </w:t>
      </w:r>
    </w:p>
    <w:p w14:paraId="0FD7D33C" w14:textId="1E99E640" w:rsidR="00C218DA" w:rsidRDefault="00C218DA" w:rsidP="00741781">
      <w:pPr>
        <w:pStyle w:val="100"/>
        <w:rPr>
          <w:sz w:val="24"/>
          <w:rtl/>
        </w:rPr>
      </w:pPr>
      <w:r>
        <w:rPr>
          <w:rFonts w:hint="cs"/>
          <w:rtl/>
        </w:rPr>
        <w:t>עוד עולה משני התרשימים כי ניכר שוני רב בתקציב ששימש לרכש הדירות ובמספר הדירות שנרכשו בין השנים שנבדקו, וזאת בגלל השוני במקורות המימון בכל שנה:</w:t>
      </w:r>
      <w:r>
        <w:rPr>
          <w:rFonts w:hint="cs"/>
          <w:sz w:val="24"/>
          <w:rtl/>
        </w:rPr>
        <w:t xml:space="preserve"> לרכישת הדירות שימשו הכספים שהתקבלו ממכירת הדירות</w:t>
      </w:r>
      <w:r>
        <w:rPr>
          <w:rStyle w:val="FootnoteReference"/>
          <w:sz w:val="24"/>
          <w:rtl/>
        </w:rPr>
        <w:footnoteReference w:id="14"/>
      </w:r>
      <w:r>
        <w:rPr>
          <w:rFonts w:hint="cs"/>
          <w:sz w:val="24"/>
          <w:rtl/>
        </w:rPr>
        <w:t xml:space="preserve"> ונצברו בקרן לדיור ציבורי - בין כ-330 מיליון ש"ח לכ-500 מיליון ש"ח לשנה. נוסף על כך, בחלק מן השנים נוספו מקורות תקציביים שונים לרכישת דירות ציבוריות: בשנת 2017 התקבל </w:t>
      </w:r>
      <w:r w:rsidRPr="00C32483">
        <w:rPr>
          <w:rFonts w:hint="cs"/>
          <w:sz w:val="24"/>
          <w:rtl/>
        </w:rPr>
        <w:t xml:space="preserve">תקציב </w:t>
      </w:r>
      <w:r>
        <w:rPr>
          <w:rFonts w:hint="cs"/>
          <w:sz w:val="24"/>
          <w:rtl/>
        </w:rPr>
        <w:t xml:space="preserve">ממשלתי </w:t>
      </w:r>
      <w:r w:rsidRPr="00C32483">
        <w:rPr>
          <w:rFonts w:hint="cs"/>
          <w:sz w:val="24"/>
          <w:rtl/>
        </w:rPr>
        <w:t>חד</w:t>
      </w:r>
      <w:r>
        <w:rPr>
          <w:rFonts w:hint="cs"/>
          <w:sz w:val="24"/>
          <w:rtl/>
        </w:rPr>
        <w:t>-</w:t>
      </w:r>
      <w:r w:rsidRPr="00C32483">
        <w:rPr>
          <w:rFonts w:hint="cs"/>
          <w:sz w:val="24"/>
          <w:rtl/>
        </w:rPr>
        <w:t xml:space="preserve">פעמי בסך 150 מיליון ש"ח </w:t>
      </w:r>
      <w:r>
        <w:rPr>
          <w:rFonts w:hint="cs"/>
          <w:sz w:val="24"/>
          <w:rtl/>
        </w:rPr>
        <w:t xml:space="preserve">לרכישת דירות; בשנים 2016 - 2018 רכשו חברת </w:t>
      </w:r>
      <w:r w:rsidRPr="00EB5A32">
        <w:rPr>
          <w:sz w:val="24"/>
          <w:rtl/>
        </w:rPr>
        <w:t>חלמיש</w:t>
      </w:r>
      <w:r>
        <w:rPr>
          <w:rFonts w:hint="cs"/>
          <w:sz w:val="24"/>
          <w:rtl/>
        </w:rPr>
        <w:t>,</w:t>
      </w:r>
      <w:r w:rsidRPr="00EB5A32">
        <w:rPr>
          <w:sz w:val="24"/>
          <w:rtl/>
        </w:rPr>
        <w:t xml:space="preserve"> חברה ממשלתית</w:t>
      </w:r>
      <w:r>
        <w:rPr>
          <w:rFonts w:hint="cs"/>
          <w:sz w:val="24"/>
          <w:rtl/>
        </w:rPr>
        <w:t>-</w:t>
      </w:r>
      <w:r w:rsidRPr="00EB5A32">
        <w:rPr>
          <w:sz w:val="24"/>
          <w:rtl/>
        </w:rPr>
        <w:t>עירונית לדיור</w:t>
      </w:r>
      <w:r>
        <w:rPr>
          <w:rFonts w:hint="cs"/>
          <w:sz w:val="24"/>
          <w:rtl/>
        </w:rPr>
        <w:t>,</w:t>
      </w:r>
      <w:r w:rsidRPr="00EB5A32">
        <w:rPr>
          <w:sz w:val="24"/>
          <w:rtl/>
        </w:rPr>
        <w:t xml:space="preserve"> לשיקום ולהתחדשות שכונות בתל אביב</w:t>
      </w:r>
      <w:r>
        <w:rPr>
          <w:rFonts w:hint="cs"/>
          <w:sz w:val="24"/>
          <w:rtl/>
        </w:rPr>
        <w:t>-</w:t>
      </w:r>
      <w:r w:rsidRPr="00EB5A32">
        <w:rPr>
          <w:sz w:val="24"/>
          <w:rtl/>
        </w:rPr>
        <w:t>יפו בע"מ</w:t>
      </w:r>
      <w:r>
        <w:rPr>
          <w:rFonts w:hint="cs"/>
          <w:sz w:val="24"/>
          <w:rtl/>
        </w:rPr>
        <w:t>, וחברת פרזות - ח</w:t>
      </w:r>
      <w:r w:rsidR="00741781">
        <w:rPr>
          <w:rFonts w:hint="cs"/>
          <w:sz w:val="24"/>
          <w:rtl/>
        </w:rPr>
        <w:t xml:space="preserve">ברה עירונית לשיכון ירושלים בע"מ </w:t>
      </w:r>
      <w:r>
        <w:rPr>
          <w:rFonts w:hint="cs"/>
          <w:sz w:val="24"/>
          <w:rtl/>
        </w:rPr>
        <w:t xml:space="preserve">כ-130 דירות בסכום של כ-180 מיליון ש"ח </w:t>
      </w:r>
      <w:r w:rsidRPr="00C32483">
        <w:rPr>
          <w:rFonts w:hint="cs"/>
          <w:sz w:val="24"/>
          <w:rtl/>
        </w:rPr>
        <w:t>במסגרת ה</w:t>
      </w:r>
      <w:r>
        <w:rPr>
          <w:rFonts w:hint="cs"/>
          <w:sz w:val="24"/>
          <w:rtl/>
        </w:rPr>
        <w:t>סדרים בינן לבין המדינה</w:t>
      </w:r>
      <w:r>
        <w:rPr>
          <w:rStyle w:val="FootnoteReference"/>
          <w:sz w:val="24"/>
          <w:rtl/>
        </w:rPr>
        <w:footnoteReference w:id="15"/>
      </w:r>
      <w:r>
        <w:rPr>
          <w:rFonts w:hint="cs"/>
          <w:sz w:val="24"/>
          <w:rtl/>
        </w:rPr>
        <w:t xml:space="preserve">; בשנת 2018 רכשה </w:t>
      </w:r>
      <w:r w:rsidRPr="00C32483">
        <w:rPr>
          <w:rFonts w:hint="cs"/>
          <w:sz w:val="24"/>
          <w:rtl/>
        </w:rPr>
        <w:t>עמידר</w:t>
      </w:r>
      <w:r>
        <w:rPr>
          <w:rFonts w:hint="cs"/>
          <w:sz w:val="24"/>
          <w:rtl/>
        </w:rPr>
        <w:t xml:space="preserve"> כ-730 דירות בכ-900 מיליון ש"ח שגייסה</w:t>
      </w:r>
      <w:r w:rsidRPr="00C32483">
        <w:rPr>
          <w:rFonts w:hint="cs"/>
          <w:sz w:val="24"/>
          <w:rtl/>
        </w:rPr>
        <w:t xml:space="preserve"> מהציבור כנגד </w:t>
      </w:r>
      <w:r>
        <w:rPr>
          <w:rFonts w:hint="cs"/>
          <w:sz w:val="24"/>
          <w:rtl/>
        </w:rPr>
        <w:lastRenderedPageBreak/>
        <w:t>הנפקת איגרות חוב (להלן - אג"ח)</w:t>
      </w:r>
      <w:r>
        <w:rPr>
          <w:rStyle w:val="FootnoteReference"/>
          <w:sz w:val="24"/>
          <w:rtl/>
        </w:rPr>
        <w:footnoteReference w:id="16"/>
      </w:r>
      <w:r>
        <w:rPr>
          <w:rFonts w:hint="cs"/>
          <w:sz w:val="24"/>
          <w:rtl/>
        </w:rPr>
        <w:t xml:space="preserve">. כמו כן, בשנים אלה הקצתה המדינה </w:t>
      </w:r>
      <w:r w:rsidRPr="00C32483">
        <w:rPr>
          <w:rFonts w:hint="cs"/>
          <w:sz w:val="24"/>
          <w:rtl/>
        </w:rPr>
        <w:t>תקציב</w:t>
      </w:r>
      <w:r>
        <w:rPr>
          <w:rFonts w:hint="cs"/>
          <w:sz w:val="24"/>
          <w:rtl/>
        </w:rPr>
        <w:t xml:space="preserve"> שנתי</w:t>
      </w:r>
      <w:r w:rsidRPr="00C32483">
        <w:rPr>
          <w:rFonts w:hint="cs"/>
          <w:sz w:val="24"/>
          <w:rtl/>
        </w:rPr>
        <w:t xml:space="preserve"> </w:t>
      </w:r>
      <w:r>
        <w:rPr>
          <w:rFonts w:hint="cs"/>
          <w:sz w:val="24"/>
          <w:rtl/>
        </w:rPr>
        <w:t>של</w:t>
      </w:r>
      <w:r w:rsidRPr="00C32483">
        <w:rPr>
          <w:rFonts w:hint="cs"/>
          <w:sz w:val="24"/>
          <w:rtl/>
        </w:rPr>
        <w:t xml:space="preserve"> </w:t>
      </w:r>
      <w:r>
        <w:rPr>
          <w:rFonts w:hint="cs"/>
          <w:sz w:val="24"/>
          <w:rtl/>
        </w:rPr>
        <w:t>28</w:t>
      </w:r>
      <w:r w:rsidRPr="00C32483">
        <w:rPr>
          <w:rFonts w:hint="cs"/>
          <w:sz w:val="24"/>
          <w:rtl/>
        </w:rPr>
        <w:t xml:space="preserve"> מיליון ש"ח</w:t>
      </w:r>
      <w:r>
        <w:rPr>
          <w:rFonts w:hint="cs"/>
          <w:sz w:val="24"/>
          <w:rtl/>
        </w:rPr>
        <w:t xml:space="preserve"> לרכישת דירות ייעודיות לזכאים הרתוקים לכיסאות גלגלים ולהתאמת דירות לצורכיהם.</w:t>
      </w:r>
    </w:p>
    <w:p w14:paraId="5F51DD67" w14:textId="77777777" w:rsidR="00C218DA" w:rsidRDefault="00C218DA" w:rsidP="00741781">
      <w:pPr>
        <w:pStyle w:val="100"/>
        <w:rPr>
          <w:sz w:val="24"/>
          <w:rtl/>
        </w:rPr>
      </w:pPr>
      <w:r>
        <w:rPr>
          <w:rFonts w:hint="cs"/>
          <w:rtl/>
        </w:rPr>
        <w:t>מבדיקת משרד מבקר המדינה עולה כי כספי הקרן לדיור ציבורי היו המקור התקציבי העיקרי לרכישת הדירות בשנים 2014 - 2019. עוד עולה כי התמורה הממוצעת שהתקבלה ממכירת דירה (כ-250,000 ש"ח לאחר הנחה) הייתה כ-20% מעלות רכישה ממוצעת של דירה (כ-1.3 מיליון ש"ח)</w:t>
      </w:r>
      <w:r w:rsidRPr="00C21B2F">
        <w:rPr>
          <w:rFonts w:hint="cs"/>
          <w:rtl/>
        </w:rPr>
        <w:t>.</w:t>
      </w:r>
      <w:r>
        <w:rPr>
          <w:rFonts w:hint="cs"/>
          <w:rtl/>
        </w:rPr>
        <w:t xml:space="preserve"> בתוספת כספי המקורות התקציביים הנוספים כמפורט לעיל, ניצול תקציב הרכש בשנים אלה איפשר בממוצע רכישת דירה אחת על כל ארבע דירות שנמכרו. </w:t>
      </w:r>
      <w:r w:rsidRPr="00C21B2F">
        <w:rPr>
          <w:rFonts w:hint="cs"/>
          <w:rtl/>
        </w:rPr>
        <w:t xml:space="preserve">ההנחה שניתנה לרוכשים מכוח חוק הדיור הציבורי היא רק אחד ההסברים לפער בין מספר הדירות שנרכשו לבין </w:t>
      </w:r>
      <w:r>
        <w:rPr>
          <w:rFonts w:hint="cs"/>
          <w:rtl/>
        </w:rPr>
        <w:t>מספר הדירות</w:t>
      </w:r>
      <w:r w:rsidRPr="00C21B2F">
        <w:rPr>
          <w:rFonts w:hint="cs"/>
          <w:rtl/>
        </w:rPr>
        <w:t xml:space="preserve"> שנמכרו. הסברים נוספים נוגעים להבדלים באזורים שבהם נרכשו הדירות</w:t>
      </w:r>
      <w:r>
        <w:rPr>
          <w:rFonts w:hint="cs"/>
          <w:rtl/>
        </w:rPr>
        <w:t xml:space="preserve"> (ראו להלן בתרשים 8),</w:t>
      </w:r>
      <w:r w:rsidRPr="00C21B2F">
        <w:rPr>
          <w:rFonts w:hint="cs"/>
          <w:rtl/>
        </w:rPr>
        <w:t xml:space="preserve"> לגודל</w:t>
      </w:r>
      <w:r>
        <w:rPr>
          <w:rFonts w:hint="cs"/>
          <w:rtl/>
        </w:rPr>
        <w:t>ן</w:t>
      </w:r>
      <w:r w:rsidRPr="00C21B2F">
        <w:rPr>
          <w:rFonts w:hint="cs"/>
          <w:rtl/>
        </w:rPr>
        <w:t xml:space="preserve"> ולמצבן הפיזי.</w:t>
      </w:r>
      <w:r>
        <w:rPr>
          <w:rFonts w:hint="cs"/>
          <w:rtl/>
        </w:rPr>
        <w:t xml:space="preserve"> </w:t>
      </w:r>
    </w:p>
    <w:p w14:paraId="513E242D" w14:textId="77777777" w:rsidR="00C218DA" w:rsidRDefault="00C218DA" w:rsidP="00741781">
      <w:pPr>
        <w:pStyle w:val="100"/>
        <w:rPr>
          <w:rtl/>
        </w:rPr>
      </w:pPr>
      <w:r>
        <w:rPr>
          <w:rFonts w:hint="cs"/>
          <w:rtl/>
        </w:rPr>
        <w:t>בתרשים 8 שלהלן מוצג מספר הדירות שנרכשו לעומת מספר הדירות שנמכרו, לפי מחוזות, משנת 2014 עד אמצע 2019.</w:t>
      </w:r>
    </w:p>
    <w:p w14:paraId="57FEA285" w14:textId="77777777" w:rsidR="00C218DA" w:rsidRPr="00D26389" w:rsidRDefault="00C218DA" w:rsidP="00C218DA">
      <w:pPr>
        <w:spacing w:line="269" w:lineRule="auto"/>
        <w:rPr>
          <w:b/>
          <w:bCs/>
          <w:rtl/>
        </w:rPr>
      </w:pPr>
    </w:p>
    <w:p w14:paraId="5EADAFCA" w14:textId="77777777" w:rsidR="00C218DA" w:rsidRDefault="00C218DA" w:rsidP="00741781">
      <w:pPr>
        <w:pStyle w:val="aa"/>
        <w:rPr>
          <w:rtl/>
        </w:rPr>
      </w:pPr>
      <w:r w:rsidRPr="004B09C1">
        <w:rPr>
          <w:rFonts w:hint="cs"/>
          <w:rtl/>
        </w:rPr>
        <w:t xml:space="preserve">תרשים 8: </w:t>
      </w:r>
      <w:r w:rsidRPr="00741781">
        <w:rPr>
          <w:rFonts w:hint="cs"/>
          <w:b/>
          <w:bCs/>
          <w:rtl/>
        </w:rPr>
        <w:t xml:space="preserve">מספר הדירות שנרכשו לעומת מספר הדירות שנמכרו, לפי מחוזות, 2014 </w:t>
      </w:r>
      <w:r w:rsidRPr="00741781">
        <w:rPr>
          <w:rFonts w:hint="cs"/>
          <w:b/>
          <w:bCs/>
          <w:sz w:val="24"/>
          <w:rtl/>
        </w:rPr>
        <w:t>עד</w:t>
      </w:r>
      <w:r w:rsidRPr="00741781">
        <w:rPr>
          <w:rFonts w:hint="cs"/>
          <w:b/>
          <w:bCs/>
          <w:rtl/>
        </w:rPr>
        <w:t xml:space="preserve"> אמצע 2019</w:t>
      </w:r>
    </w:p>
    <w:p w14:paraId="483DD2AA" w14:textId="77777777" w:rsidR="00C218DA" w:rsidRDefault="00C218DA" w:rsidP="00C218DA">
      <w:pPr>
        <w:spacing w:line="269" w:lineRule="auto"/>
        <w:jc w:val="center"/>
        <w:rPr>
          <w:b/>
          <w:bCs/>
          <w:rtl/>
        </w:rPr>
      </w:pPr>
      <w:r>
        <w:rPr>
          <w:noProof/>
        </w:rPr>
        <w:drawing>
          <wp:inline distT="0" distB="0" distL="0" distR="0" wp14:anchorId="7C5778B5" wp14:editId="42BEB0C3">
            <wp:extent cx="5220335" cy="2930525"/>
            <wp:effectExtent l="0" t="0" r="18415" b="3175"/>
            <wp:docPr id="30" name="תרשים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C7AE62" w14:textId="77777777" w:rsidR="00C218DA" w:rsidRPr="009747FD" w:rsidRDefault="00C218DA" w:rsidP="00223BE2">
      <w:pPr>
        <w:pStyle w:val="aff3"/>
        <w:rPr>
          <w:rtl/>
        </w:rPr>
      </w:pPr>
      <w:r w:rsidRPr="009747FD">
        <w:rPr>
          <w:rFonts w:hint="cs"/>
          <w:rtl/>
        </w:rPr>
        <w:t xml:space="preserve">על פי </w:t>
      </w:r>
      <w:r w:rsidRPr="009747FD">
        <w:rPr>
          <w:rFonts w:hint="eastAsia"/>
          <w:rtl/>
        </w:rPr>
        <w:t>נתוני</w:t>
      </w:r>
      <w:r w:rsidRPr="009747FD">
        <w:rPr>
          <w:rtl/>
        </w:rPr>
        <w:t xml:space="preserve"> משרד </w:t>
      </w:r>
      <w:r w:rsidRPr="009747FD">
        <w:rPr>
          <w:rFonts w:hint="cs"/>
          <w:rtl/>
        </w:rPr>
        <w:t xml:space="preserve">הבינוי, </w:t>
      </w:r>
      <w:r w:rsidRPr="009747FD">
        <w:rPr>
          <w:rFonts w:hint="eastAsia"/>
          <w:rtl/>
        </w:rPr>
        <w:t>בעיבוד</w:t>
      </w:r>
      <w:r w:rsidRPr="009747FD">
        <w:rPr>
          <w:rtl/>
        </w:rPr>
        <w:t xml:space="preserve"> </w:t>
      </w:r>
      <w:r w:rsidRPr="009747FD">
        <w:rPr>
          <w:rFonts w:hint="eastAsia"/>
          <w:rtl/>
        </w:rPr>
        <w:t>משרד</w:t>
      </w:r>
      <w:r w:rsidRPr="009747FD">
        <w:rPr>
          <w:rtl/>
        </w:rPr>
        <w:t xml:space="preserve"> </w:t>
      </w:r>
      <w:r w:rsidRPr="009747FD">
        <w:rPr>
          <w:rFonts w:hint="eastAsia"/>
          <w:rtl/>
        </w:rPr>
        <w:t>מבקר</w:t>
      </w:r>
      <w:r w:rsidRPr="009747FD">
        <w:rPr>
          <w:rtl/>
        </w:rPr>
        <w:t xml:space="preserve"> </w:t>
      </w:r>
      <w:r w:rsidRPr="009747FD">
        <w:rPr>
          <w:rFonts w:hint="eastAsia"/>
          <w:rtl/>
        </w:rPr>
        <w:t>המדינה</w:t>
      </w:r>
      <w:r w:rsidRPr="009747FD">
        <w:rPr>
          <w:rtl/>
        </w:rPr>
        <w:t>.</w:t>
      </w:r>
    </w:p>
    <w:p w14:paraId="1122F2CE" w14:textId="77777777" w:rsidR="00741781" w:rsidRDefault="00741781" w:rsidP="00741781">
      <w:pPr>
        <w:pStyle w:val="100"/>
        <w:rPr>
          <w:rtl/>
        </w:rPr>
      </w:pPr>
    </w:p>
    <w:p w14:paraId="17ACE684" w14:textId="77777777" w:rsidR="00C218DA" w:rsidRDefault="00C218DA" w:rsidP="00741781">
      <w:pPr>
        <w:pStyle w:val="100"/>
        <w:rPr>
          <w:rtl/>
        </w:rPr>
      </w:pPr>
      <w:r>
        <w:rPr>
          <w:rFonts w:hint="cs"/>
          <w:rtl/>
        </w:rPr>
        <w:lastRenderedPageBreak/>
        <w:t>מ</w:t>
      </w:r>
      <w:r w:rsidRPr="00435B6E">
        <w:rPr>
          <w:rFonts w:hint="cs"/>
          <w:rtl/>
        </w:rPr>
        <w:t xml:space="preserve">תרשים </w:t>
      </w:r>
      <w:r>
        <w:rPr>
          <w:rFonts w:hint="cs"/>
          <w:rtl/>
        </w:rPr>
        <w:t xml:space="preserve">8 </w:t>
      </w:r>
      <w:r w:rsidRPr="00435B6E">
        <w:rPr>
          <w:rFonts w:hint="cs"/>
          <w:rtl/>
        </w:rPr>
        <w:t xml:space="preserve">עולה כי </w:t>
      </w:r>
      <w:r>
        <w:rPr>
          <w:rFonts w:hint="cs"/>
          <w:rtl/>
        </w:rPr>
        <w:t xml:space="preserve">מתחילת </w:t>
      </w:r>
      <w:r w:rsidRPr="00435B6E">
        <w:rPr>
          <w:rFonts w:hint="cs"/>
          <w:rtl/>
        </w:rPr>
        <w:t xml:space="preserve">2014 </w:t>
      </w:r>
      <w:r>
        <w:rPr>
          <w:rFonts w:hint="cs"/>
          <w:rtl/>
        </w:rPr>
        <w:t>ועד</w:t>
      </w:r>
      <w:r w:rsidRPr="00435B6E">
        <w:rPr>
          <w:rFonts w:hint="cs"/>
          <w:rtl/>
        </w:rPr>
        <w:t xml:space="preserve"> אמצע 2019 </w:t>
      </w:r>
      <w:r>
        <w:rPr>
          <w:rFonts w:hint="cs"/>
          <w:rtl/>
        </w:rPr>
        <w:t>רכש המשרד את רוב הדירות במחוז מרכז (51% מהדירות) ומעט מהדירות במחוזות גליל ודרום (12%). לעומת זאת, דיירי הדיור הציבורי רכשו דירות בעיקר במחוזות גליל ודרום (48%) ופחות במחוז מרכז (28%).</w:t>
      </w:r>
    </w:p>
    <w:p w14:paraId="0C5DC2B2" w14:textId="18C4630C" w:rsidR="00C218DA" w:rsidRPr="00741781" w:rsidRDefault="00C218DA" w:rsidP="00741781">
      <w:pPr>
        <w:pStyle w:val="100"/>
        <w:rPr>
          <w:b/>
          <w:bCs/>
          <w:rtl/>
        </w:rPr>
      </w:pPr>
      <w:r>
        <w:rPr>
          <w:rFonts w:hint="cs"/>
          <w:rtl/>
        </w:rPr>
        <w:t>בתרשים 9 שלהלן מובאת השוואה בין הדירות שנרכשו לבין הדירות שנמכרו בין 2014 לאמצע 2019 לפי מספר החדרים בדירה:</w:t>
      </w:r>
    </w:p>
    <w:p w14:paraId="7D29A0BA" w14:textId="77777777" w:rsidR="00C218DA" w:rsidRPr="009747FD" w:rsidRDefault="00C218DA" w:rsidP="00741781">
      <w:pPr>
        <w:pStyle w:val="aa"/>
      </w:pPr>
      <w:r w:rsidRPr="009747FD">
        <w:rPr>
          <w:rFonts w:hint="cs"/>
          <w:rtl/>
        </w:rPr>
        <w:t xml:space="preserve">תרשים 9: </w:t>
      </w:r>
      <w:r w:rsidRPr="00741781">
        <w:rPr>
          <w:rFonts w:hint="cs"/>
          <w:b/>
          <w:bCs/>
          <w:rtl/>
        </w:rPr>
        <w:t>השוואה בין שיעור הדירות שנמכרו לשיעור הדירות שנרכשו, לפי מספר החדרים, 2014 עד אמצע 2019 (באחוזים)</w:t>
      </w:r>
    </w:p>
    <w:p w14:paraId="41080C5C" w14:textId="77777777" w:rsidR="00C218DA" w:rsidRPr="00D26389" w:rsidRDefault="00C218DA" w:rsidP="00C218DA">
      <w:pPr>
        <w:spacing w:line="269" w:lineRule="auto"/>
        <w:rPr>
          <w:b/>
          <w:bCs/>
          <w:sz w:val="24"/>
          <w:rtl/>
        </w:rPr>
      </w:pPr>
      <w:r>
        <w:rPr>
          <w:noProof/>
        </w:rPr>
        <w:drawing>
          <wp:inline distT="0" distB="0" distL="0" distR="0" wp14:anchorId="2890102B" wp14:editId="39C9079B">
            <wp:extent cx="5224637" cy="3171825"/>
            <wp:effectExtent l="0" t="0" r="0" b="0"/>
            <wp:docPr id="6" name="תמונה 6" descr="C:\Users\valeri_le\AppData\Local\Microsoft\Windows\INetCache\Content.Word\diur-home for sale and b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_le\AppData\Local\Microsoft\Windows\INetCache\Content.Word\diur-home for sale and buy.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6481" cy="3179015"/>
                    </a:xfrm>
                    <a:prstGeom prst="rect">
                      <a:avLst/>
                    </a:prstGeom>
                    <a:noFill/>
                    <a:ln>
                      <a:noFill/>
                    </a:ln>
                  </pic:spPr>
                </pic:pic>
              </a:graphicData>
            </a:graphic>
          </wp:inline>
        </w:drawing>
      </w:r>
    </w:p>
    <w:p w14:paraId="6CCF0AF3" w14:textId="77777777" w:rsidR="00C218DA" w:rsidRPr="00F30C0E" w:rsidRDefault="00C218DA" w:rsidP="00741781">
      <w:pPr>
        <w:pStyle w:val="ac"/>
      </w:pPr>
      <w:r>
        <w:rPr>
          <w:rFonts w:hint="cs"/>
          <w:rtl/>
        </w:rPr>
        <w:t>על פי נ</w:t>
      </w:r>
      <w:r w:rsidRPr="00F30C0E">
        <w:rPr>
          <w:rFonts w:hint="eastAsia"/>
          <w:rtl/>
        </w:rPr>
        <w:t>תוני</w:t>
      </w:r>
      <w:r w:rsidRPr="00F30C0E">
        <w:rPr>
          <w:rtl/>
        </w:rPr>
        <w:t xml:space="preserve"> משרד </w:t>
      </w:r>
      <w:r>
        <w:rPr>
          <w:rFonts w:hint="cs"/>
          <w:rtl/>
        </w:rPr>
        <w:t xml:space="preserve">הבינוי, </w:t>
      </w:r>
      <w:r w:rsidRPr="00F30C0E">
        <w:rPr>
          <w:rFonts w:hint="eastAsia"/>
          <w:rtl/>
        </w:rPr>
        <w:t>בעיבוד</w:t>
      </w:r>
      <w:r w:rsidRPr="00F30C0E">
        <w:rPr>
          <w:rtl/>
        </w:rPr>
        <w:t xml:space="preserve"> </w:t>
      </w:r>
      <w:r w:rsidRPr="00F30C0E">
        <w:rPr>
          <w:rFonts w:hint="eastAsia"/>
          <w:rtl/>
        </w:rPr>
        <w:t>משרד</w:t>
      </w:r>
      <w:r w:rsidRPr="00F30C0E">
        <w:rPr>
          <w:rtl/>
        </w:rPr>
        <w:t xml:space="preserve"> </w:t>
      </w:r>
      <w:r w:rsidRPr="00F30C0E">
        <w:rPr>
          <w:rFonts w:hint="eastAsia"/>
          <w:rtl/>
        </w:rPr>
        <w:t>מבקר</w:t>
      </w:r>
      <w:r w:rsidRPr="00F30C0E">
        <w:rPr>
          <w:rtl/>
        </w:rPr>
        <w:t xml:space="preserve"> </w:t>
      </w:r>
      <w:r w:rsidRPr="00F30C0E">
        <w:rPr>
          <w:rFonts w:hint="eastAsia"/>
          <w:rtl/>
        </w:rPr>
        <w:t>המדינה</w:t>
      </w:r>
      <w:r w:rsidRPr="00F30C0E">
        <w:rPr>
          <w:rtl/>
        </w:rPr>
        <w:t>.</w:t>
      </w:r>
    </w:p>
    <w:p w14:paraId="41188CF0" w14:textId="77777777" w:rsidR="00741781" w:rsidRDefault="00741781" w:rsidP="00741781">
      <w:pPr>
        <w:pStyle w:val="100"/>
        <w:rPr>
          <w:rtl/>
        </w:rPr>
      </w:pPr>
    </w:p>
    <w:p w14:paraId="0BB4F693" w14:textId="77777777" w:rsidR="00C218DA" w:rsidRDefault="00C218DA" w:rsidP="00741781">
      <w:pPr>
        <w:pStyle w:val="100"/>
        <w:rPr>
          <w:rtl/>
        </w:rPr>
      </w:pPr>
      <w:r>
        <w:rPr>
          <w:rFonts w:hint="cs"/>
          <w:rtl/>
        </w:rPr>
        <w:t xml:space="preserve">מהתרשים עולה שרוב הדירות שנמכרו הן דירות של עד שלושה חדרים - 80% מכלל הדירות, אך חלקן של דירות בגודל זה מהדירות שנרכשו הוא רק 54%. יתר הדירות שנרכשו הן דירות שלושה וחצי חדרים לפחות. </w:t>
      </w:r>
    </w:p>
    <w:p w14:paraId="7676BABD" w14:textId="77777777" w:rsidR="00C218DA" w:rsidRDefault="00C218DA" w:rsidP="00741781">
      <w:pPr>
        <w:pStyle w:val="100"/>
        <w:rPr>
          <w:rtl/>
        </w:rPr>
      </w:pPr>
      <w:r w:rsidRPr="00741781">
        <w:rPr>
          <w:rStyle w:val="Heading7Char"/>
          <w:rFonts w:hint="eastAsia"/>
          <w:color w:val="004E6C"/>
          <w:spacing w:val="0"/>
          <w:sz w:val="24"/>
          <w:rtl/>
        </w:rPr>
        <w:t>השפעת</w:t>
      </w:r>
      <w:r w:rsidRPr="00741781">
        <w:rPr>
          <w:rStyle w:val="Heading7Char"/>
          <w:color w:val="004E6C"/>
          <w:spacing w:val="0"/>
          <w:sz w:val="24"/>
          <w:rtl/>
        </w:rPr>
        <w:t xml:space="preserve"> </w:t>
      </w:r>
      <w:r w:rsidRPr="00741781">
        <w:rPr>
          <w:rStyle w:val="Heading7Char"/>
          <w:rFonts w:hint="eastAsia"/>
          <w:color w:val="004E6C"/>
          <w:spacing w:val="0"/>
          <w:sz w:val="24"/>
          <w:rtl/>
        </w:rPr>
        <w:t>צמצום</w:t>
      </w:r>
      <w:r w:rsidRPr="00741781">
        <w:rPr>
          <w:rStyle w:val="Heading7Char"/>
          <w:color w:val="004E6C"/>
          <w:spacing w:val="0"/>
          <w:sz w:val="24"/>
          <w:rtl/>
        </w:rPr>
        <w:t xml:space="preserve"> </w:t>
      </w:r>
      <w:r w:rsidRPr="00741781">
        <w:rPr>
          <w:rStyle w:val="Heading7Char"/>
          <w:rFonts w:hint="eastAsia"/>
          <w:color w:val="004E6C"/>
          <w:spacing w:val="0"/>
          <w:sz w:val="24"/>
          <w:rtl/>
        </w:rPr>
        <w:t>מלאי</w:t>
      </w:r>
      <w:r w:rsidRPr="00741781">
        <w:rPr>
          <w:rStyle w:val="Heading7Char"/>
          <w:color w:val="004E6C"/>
          <w:spacing w:val="0"/>
          <w:sz w:val="24"/>
          <w:rtl/>
        </w:rPr>
        <w:t xml:space="preserve"> </w:t>
      </w:r>
      <w:r w:rsidRPr="00741781">
        <w:rPr>
          <w:rStyle w:val="Heading7Char"/>
          <w:rFonts w:hint="eastAsia"/>
          <w:color w:val="004E6C"/>
          <w:spacing w:val="0"/>
          <w:sz w:val="24"/>
          <w:rtl/>
        </w:rPr>
        <w:t>הדירות</w:t>
      </w:r>
      <w:r w:rsidRPr="00741781">
        <w:rPr>
          <w:rStyle w:val="Heading7Char"/>
          <w:color w:val="004E6C"/>
          <w:spacing w:val="0"/>
          <w:sz w:val="24"/>
          <w:rtl/>
        </w:rPr>
        <w:t xml:space="preserve"> </w:t>
      </w:r>
      <w:r w:rsidRPr="00741781">
        <w:rPr>
          <w:rStyle w:val="Heading7Char"/>
          <w:rFonts w:hint="eastAsia"/>
          <w:color w:val="004E6C"/>
          <w:spacing w:val="0"/>
          <w:sz w:val="24"/>
          <w:rtl/>
        </w:rPr>
        <w:t>על</w:t>
      </w:r>
      <w:r w:rsidRPr="00741781">
        <w:rPr>
          <w:rStyle w:val="Heading7Char"/>
          <w:color w:val="004E6C"/>
          <w:spacing w:val="0"/>
          <w:sz w:val="24"/>
          <w:rtl/>
        </w:rPr>
        <w:t xml:space="preserve"> </w:t>
      </w:r>
      <w:r w:rsidRPr="00741781">
        <w:rPr>
          <w:rStyle w:val="Heading7Char"/>
          <w:rFonts w:hint="eastAsia"/>
          <w:color w:val="004E6C"/>
          <w:spacing w:val="0"/>
          <w:sz w:val="24"/>
          <w:rtl/>
        </w:rPr>
        <w:t>הזכאים</w:t>
      </w:r>
      <w:r w:rsidRPr="00741781">
        <w:rPr>
          <w:rStyle w:val="Heading7Char"/>
          <w:color w:val="004E6C"/>
          <w:spacing w:val="0"/>
          <w:sz w:val="24"/>
          <w:rtl/>
        </w:rPr>
        <w:t xml:space="preserve"> </w:t>
      </w:r>
      <w:r w:rsidRPr="00741781">
        <w:rPr>
          <w:rStyle w:val="Heading7Char"/>
          <w:rFonts w:hint="eastAsia"/>
          <w:color w:val="004E6C"/>
          <w:spacing w:val="0"/>
          <w:sz w:val="24"/>
          <w:rtl/>
        </w:rPr>
        <w:t>לדיור</w:t>
      </w:r>
      <w:r w:rsidRPr="00741781">
        <w:rPr>
          <w:rStyle w:val="Heading7Char"/>
          <w:color w:val="004E6C"/>
          <w:spacing w:val="0"/>
          <w:sz w:val="24"/>
          <w:rtl/>
        </w:rPr>
        <w:t xml:space="preserve"> </w:t>
      </w:r>
      <w:r w:rsidRPr="00741781">
        <w:rPr>
          <w:rStyle w:val="Heading7Char"/>
          <w:rFonts w:hint="eastAsia"/>
          <w:color w:val="004E6C"/>
          <w:spacing w:val="0"/>
          <w:sz w:val="24"/>
          <w:rtl/>
        </w:rPr>
        <w:t>ציבורי</w:t>
      </w:r>
      <w:r w:rsidRPr="00741781">
        <w:rPr>
          <w:rStyle w:val="Heading7Char"/>
          <w:color w:val="004E6C"/>
          <w:spacing w:val="0"/>
          <w:sz w:val="24"/>
          <w:rtl/>
        </w:rPr>
        <w:t>:</w:t>
      </w:r>
      <w:r w:rsidRPr="00741781">
        <w:rPr>
          <w:rFonts w:hint="cs"/>
          <w:color w:val="004E6C"/>
          <w:rtl/>
        </w:rPr>
        <w:t xml:space="preserve"> </w:t>
      </w:r>
      <w:r>
        <w:rPr>
          <w:rFonts w:hint="cs"/>
          <w:rtl/>
        </w:rPr>
        <w:t>הצמצום המתמשך בדירות הציבוריות, בד בבד עם העלייה במספר הזכאים הממתינים לאכלוס</w:t>
      </w:r>
      <w:r>
        <w:rPr>
          <w:rStyle w:val="FootnoteReference"/>
          <w:sz w:val="24"/>
          <w:rtl/>
        </w:rPr>
        <w:footnoteReference w:id="17"/>
      </w:r>
      <w:r>
        <w:rPr>
          <w:rFonts w:hint="cs"/>
          <w:rtl/>
        </w:rPr>
        <w:t xml:space="preserve"> (להלן - זכאים ממתינים), הביאו לכך שכיום בממוצע יש פחות דירות פוטנציאליות לכל זכאי ממתין. בשנת 2011 היו כ-63,500 דירות ציבוריות וכ-2,340 זכאים ממתינים - יחס של 27 דירות לזכאי; באוגוסט 2019 היו </w:t>
      </w:r>
      <w:r w:rsidRPr="00231A09">
        <w:rPr>
          <w:rFonts w:hint="cs"/>
          <w:rtl/>
        </w:rPr>
        <w:t xml:space="preserve">כ-53,000 דירות </w:t>
      </w:r>
      <w:r>
        <w:rPr>
          <w:rFonts w:hint="cs"/>
          <w:rtl/>
        </w:rPr>
        <w:t>וכ-4,700 זכאים ממתינ</w:t>
      </w:r>
      <w:r w:rsidRPr="00231A09">
        <w:rPr>
          <w:rFonts w:hint="cs"/>
          <w:rtl/>
        </w:rPr>
        <w:t>ים -</w:t>
      </w:r>
      <w:r>
        <w:rPr>
          <w:rFonts w:hint="cs"/>
          <w:rtl/>
        </w:rPr>
        <w:t xml:space="preserve"> יחס של 11 דירות לזכאי. יצוין כי </w:t>
      </w:r>
      <w:r>
        <w:rPr>
          <w:rFonts w:hint="cs"/>
          <w:rtl/>
        </w:rPr>
        <w:lastRenderedPageBreak/>
        <w:t>מתוך 4,700 הזכאים הממתינים, כ-1,000</w:t>
      </w:r>
      <w:r w:rsidRPr="0041068E">
        <w:rPr>
          <w:rtl/>
        </w:rPr>
        <w:t xml:space="preserve"> </w:t>
      </w:r>
      <w:r>
        <w:rPr>
          <w:rFonts w:hint="cs"/>
          <w:rtl/>
        </w:rPr>
        <w:t xml:space="preserve">הם </w:t>
      </w:r>
      <w:r w:rsidRPr="0041068E">
        <w:rPr>
          <w:rtl/>
        </w:rPr>
        <w:t>דיירי דיור ציבורי הממתינים להחלפת דירה מסיבות שונות, כמו סיבות רפואיות או מגורים בדירה קטנה ביחס למספר הנפשות במשפחה</w:t>
      </w:r>
      <w:r>
        <w:rPr>
          <w:rFonts w:hint="cs"/>
          <w:rtl/>
        </w:rPr>
        <w:t>, ו</w:t>
      </w:r>
      <w:r w:rsidRPr="0041068E">
        <w:rPr>
          <w:rtl/>
        </w:rPr>
        <w:t xml:space="preserve">כ-3,700 </w:t>
      </w:r>
      <w:r>
        <w:rPr>
          <w:rFonts w:hint="cs"/>
          <w:rtl/>
        </w:rPr>
        <w:t>הם ממתינים ש</w:t>
      </w:r>
      <w:r w:rsidRPr="0041068E">
        <w:rPr>
          <w:rtl/>
        </w:rPr>
        <w:t>אינם מתגוררים בדירה ציבורית</w:t>
      </w:r>
      <w:r>
        <w:rPr>
          <w:rFonts w:hint="cs"/>
          <w:rtl/>
        </w:rPr>
        <w:t>, וזכאים בתקופת ההמתנה להשתתפות המדינה בשכר דירה.</w:t>
      </w:r>
      <w:r w:rsidRPr="0041068E">
        <w:rPr>
          <w:rtl/>
        </w:rPr>
        <w:t xml:space="preserve"> </w:t>
      </w:r>
      <w:r>
        <w:rPr>
          <w:rFonts w:hint="cs"/>
          <w:rtl/>
        </w:rPr>
        <w:t xml:space="preserve">בתרשים 10 שלהלן ניתן לראות את העלייה במספר הזכאים הממתינים לדיור ציבורי (לא כולל הממתינים ברשימת משרד הקליטה) בשנים 2016 - 2019. </w:t>
      </w:r>
    </w:p>
    <w:p w14:paraId="528AB0B8" w14:textId="77777777" w:rsidR="00C218DA" w:rsidRPr="009747FD" w:rsidRDefault="00C218DA" w:rsidP="00741781">
      <w:pPr>
        <w:pStyle w:val="aa"/>
        <w:rPr>
          <w:rtl/>
        </w:rPr>
      </w:pPr>
      <w:r w:rsidRPr="009747FD">
        <w:rPr>
          <w:rFonts w:hint="eastAsia"/>
          <w:rtl/>
        </w:rPr>
        <w:t>תרשים</w:t>
      </w:r>
      <w:r w:rsidRPr="009747FD">
        <w:rPr>
          <w:rtl/>
        </w:rPr>
        <w:t xml:space="preserve"> 10: </w:t>
      </w:r>
      <w:r w:rsidRPr="00741781">
        <w:rPr>
          <w:b/>
          <w:bCs/>
          <w:rtl/>
        </w:rPr>
        <w:t xml:space="preserve">מספר הזכאים הממתינים לדירה ציבורית שאינם מתגוררים בדיור הציבורי (לא </w:t>
      </w:r>
      <w:r w:rsidRPr="00741781">
        <w:rPr>
          <w:rFonts w:hint="eastAsia"/>
          <w:b/>
          <w:bCs/>
          <w:rtl/>
        </w:rPr>
        <w:t>כולל</w:t>
      </w:r>
      <w:r w:rsidRPr="00741781">
        <w:rPr>
          <w:b/>
          <w:bCs/>
          <w:rtl/>
        </w:rPr>
        <w:t xml:space="preserve"> </w:t>
      </w:r>
      <w:r w:rsidRPr="00741781">
        <w:rPr>
          <w:rFonts w:hint="eastAsia"/>
          <w:b/>
          <w:bCs/>
          <w:rtl/>
        </w:rPr>
        <w:t>הממתינים</w:t>
      </w:r>
      <w:r w:rsidRPr="00741781">
        <w:rPr>
          <w:b/>
          <w:bCs/>
          <w:rtl/>
        </w:rPr>
        <w:t xml:space="preserve"> </w:t>
      </w:r>
      <w:r w:rsidRPr="00741781">
        <w:rPr>
          <w:rFonts w:hint="eastAsia"/>
          <w:b/>
          <w:bCs/>
          <w:rtl/>
        </w:rPr>
        <w:t>ברשימת</w:t>
      </w:r>
      <w:r w:rsidRPr="00741781">
        <w:rPr>
          <w:b/>
          <w:bCs/>
          <w:rtl/>
        </w:rPr>
        <w:t xml:space="preserve"> </w:t>
      </w:r>
      <w:r w:rsidRPr="00741781">
        <w:rPr>
          <w:rFonts w:hint="eastAsia"/>
          <w:b/>
          <w:bCs/>
          <w:rtl/>
        </w:rPr>
        <w:t>משרד</w:t>
      </w:r>
      <w:r w:rsidRPr="00741781">
        <w:rPr>
          <w:b/>
          <w:bCs/>
          <w:rtl/>
        </w:rPr>
        <w:t xml:space="preserve"> </w:t>
      </w:r>
      <w:r w:rsidRPr="00741781">
        <w:rPr>
          <w:rFonts w:hint="eastAsia"/>
          <w:b/>
          <w:bCs/>
          <w:rtl/>
        </w:rPr>
        <w:t>הקליטה</w:t>
      </w:r>
      <w:r w:rsidRPr="00741781">
        <w:rPr>
          <w:b/>
          <w:bCs/>
          <w:rtl/>
        </w:rPr>
        <w:t>),</w:t>
      </w:r>
      <w:r w:rsidRPr="00741781">
        <w:rPr>
          <w:rFonts w:hint="cs"/>
          <w:b/>
          <w:bCs/>
          <w:rtl/>
        </w:rPr>
        <w:t xml:space="preserve"> 2016 - 2019</w:t>
      </w:r>
    </w:p>
    <w:p w14:paraId="2DAA5E55" w14:textId="77777777" w:rsidR="00C218DA" w:rsidRPr="00C67305" w:rsidRDefault="00C218DA" w:rsidP="00C218DA">
      <w:pPr>
        <w:spacing w:line="269" w:lineRule="auto"/>
        <w:rPr>
          <w:sz w:val="24"/>
          <w:rtl/>
        </w:rPr>
      </w:pPr>
      <w:r>
        <w:rPr>
          <w:noProof/>
        </w:rPr>
        <w:drawing>
          <wp:inline distT="0" distB="0" distL="0" distR="0" wp14:anchorId="703591CF" wp14:editId="52279D7F">
            <wp:extent cx="5220335" cy="1762760"/>
            <wp:effectExtent l="0" t="0" r="0" b="889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0335" cy="1762760"/>
                    </a:xfrm>
                    <a:prstGeom prst="rect">
                      <a:avLst/>
                    </a:prstGeom>
                  </pic:spPr>
                </pic:pic>
              </a:graphicData>
            </a:graphic>
          </wp:inline>
        </w:drawing>
      </w:r>
    </w:p>
    <w:p w14:paraId="7BF1B466" w14:textId="77777777" w:rsidR="00C218DA" w:rsidRPr="00F30C0E" w:rsidRDefault="00C218DA" w:rsidP="00741781">
      <w:pPr>
        <w:pStyle w:val="ac"/>
        <w:rPr>
          <w:rtl/>
        </w:rPr>
      </w:pPr>
      <w:r>
        <w:rPr>
          <w:rFonts w:hint="cs"/>
          <w:rtl/>
        </w:rPr>
        <w:t>על פי נ</w:t>
      </w:r>
      <w:r w:rsidRPr="00F30C0E">
        <w:rPr>
          <w:rFonts w:hint="eastAsia"/>
          <w:rtl/>
        </w:rPr>
        <w:t>תוני</w:t>
      </w:r>
      <w:r w:rsidRPr="00F30C0E">
        <w:rPr>
          <w:rtl/>
        </w:rPr>
        <w:t xml:space="preserve"> משרד </w:t>
      </w:r>
      <w:r>
        <w:rPr>
          <w:rFonts w:hint="cs"/>
          <w:rtl/>
        </w:rPr>
        <w:t xml:space="preserve">הבינוי, </w:t>
      </w:r>
      <w:r w:rsidRPr="00F30C0E">
        <w:rPr>
          <w:rFonts w:hint="eastAsia"/>
          <w:rtl/>
        </w:rPr>
        <w:t>בעיבוד</w:t>
      </w:r>
      <w:r w:rsidRPr="00F30C0E">
        <w:rPr>
          <w:rtl/>
        </w:rPr>
        <w:t xml:space="preserve"> </w:t>
      </w:r>
      <w:r w:rsidRPr="00F30C0E">
        <w:rPr>
          <w:rFonts w:hint="eastAsia"/>
          <w:rtl/>
        </w:rPr>
        <w:t>משרד</w:t>
      </w:r>
      <w:r w:rsidRPr="00F30C0E">
        <w:rPr>
          <w:rtl/>
        </w:rPr>
        <w:t xml:space="preserve"> </w:t>
      </w:r>
      <w:r w:rsidRPr="00F30C0E">
        <w:rPr>
          <w:rFonts w:hint="eastAsia"/>
          <w:rtl/>
        </w:rPr>
        <w:t>מבקר</w:t>
      </w:r>
      <w:r w:rsidRPr="00F30C0E">
        <w:rPr>
          <w:rtl/>
        </w:rPr>
        <w:t xml:space="preserve"> </w:t>
      </w:r>
      <w:r w:rsidRPr="00F30C0E">
        <w:rPr>
          <w:rFonts w:hint="eastAsia"/>
          <w:rtl/>
        </w:rPr>
        <w:t>המדינה</w:t>
      </w:r>
      <w:r w:rsidRPr="00F30C0E">
        <w:rPr>
          <w:rtl/>
        </w:rPr>
        <w:t>.</w:t>
      </w:r>
    </w:p>
    <w:p w14:paraId="7FD12998" w14:textId="77777777" w:rsidR="00741781" w:rsidRDefault="00741781" w:rsidP="00741781">
      <w:pPr>
        <w:pStyle w:val="100"/>
        <w:rPr>
          <w:rtl/>
        </w:rPr>
      </w:pPr>
    </w:p>
    <w:p w14:paraId="5AE9C48F" w14:textId="6C93DEA4" w:rsidR="00C218DA" w:rsidRDefault="00C218DA" w:rsidP="00741781">
      <w:pPr>
        <w:pStyle w:val="100"/>
        <w:rPr>
          <w:rtl/>
        </w:rPr>
      </w:pPr>
      <w:r>
        <w:rPr>
          <w:rFonts w:hint="cs"/>
          <w:rtl/>
        </w:rPr>
        <w:t>צמצום מלאי הדירות הוא אחד הגורמים המשפיעים על התארכות משך ההמתנה הממוצע של הזכאים הממתינים לדירות ציבוריות מ-25 חודשים בשנת 2016 ל-31 חודשים בשנת 2019 (ינואר-ספטמבר)</w:t>
      </w:r>
      <w:r>
        <w:rPr>
          <w:rStyle w:val="FootnoteReference"/>
          <w:sz w:val="24"/>
          <w:rtl/>
        </w:rPr>
        <w:footnoteReference w:id="18"/>
      </w:r>
      <w:r>
        <w:rPr>
          <w:rFonts w:hint="cs"/>
          <w:rtl/>
        </w:rPr>
        <w:t>. משך ההמתנה התארך בכל רחבי הארץ, כפי שניתן לראות בתרשים שלהלן:</w:t>
      </w:r>
    </w:p>
    <w:p w14:paraId="552687DA" w14:textId="77777777" w:rsidR="00C218DA" w:rsidRDefault="00C218DA" w:rsidP="00741781">
      <w:pPr>
        <w:pStyle w:val="aa"/>
        <w:rPr>
          <w:rtl/>
        </w:rPr>
      </w:pPr>
      <w:r w:rsidRPr="00234053">
        <w:rPr>
          <w:rFonts w:hint="eastAsia"/>
          <w:rtl/>
        </w:rPr>
        <w:lastRenderedPageBreak/>
        <w:t>תרשים</w:t>
      </w:r>
      <w:r w:rsidRPr="00234053">
        <w:rPr>
          <w:rtl/>
        </w:rPr>
        <w:t xml:space="preserve"> 11: </w:t>
      </w:r>
      <w:r w:rsidRPr="00741781">
        <w:rPr>
          <w:rFonts w:hint="eastAsia"/>
          <w:b/>
          <w:bCs/>
          <w:rtl/>
        </w:rPr>
        <w:t>משך</w:t>
      </w:r>
      <w:r w:rsidRPr="00741781">
        <w:rPr>
          <w:b/>
          <w:bCs/>
          <w:rtl/>
        </w:rPr>
        <w:t xml:space="preserve"> ההמתנה הממוצע של הזכאים </w:t>
      </w:r>
      <w:r w:rsidRPr="00741781">
        <w:rPr>
          <w:rFonts w:hint="cs"/>
          <w:b/>
          <w:bCs/>
          <w:rtl/>
        </w:rPr>
        <w:t>לדירה ציבורית (</w:t>
      </w:r>
      <w:r w:rsidRPr="00741781">
        <w:rPr>
          <w:rFonts w:hint="eastAsia"/>
          <w:b/>
          <w:bCs/>
          <w:rtl/>
        </w:rPr>
        <w:t>ממועד</w:t>
      </w:r>
      <w:r w:rsidRPr="00741781">
        <w:rPr>
          <w:b/>
          <w:bCs/>
          <w:rtl/>
        </w:rPr>
        <w:t xml:space="preserve"> </w:t>
      </w:r>
      <w:r w:rsidRPr="00741781">
        <w:rPr>
          <w:rFonts w:hint="eastAsia"/>
          <w:b/>
          <w:bCs/>
          <w:rtl/>
        </w:rPr>
        <w:t>אישור</w:t>
      </w:r>
      <w:r w:rsidRPr="00741781">
        <w:rPr>
          <w:b/>
          <w:bCs/>
          <w:rtl/>
        </w:rPr>
        <w:t xml:space="preserve"> </w:t>
      </w:r>
      <w:r w:rsidRPr="00741781">
        <w:rPr>
          <w:rFonts w:hint="eastAsia"/>
          <w:b/>
          <w:bCs/>
          <w:rtl/>
        </w:rPr>
        <w:t>זכאותם</w:t>
      </w:r>
      <w:r w:rsidRPr="00741781">
        <w:rPr>
          <w:b/>
          <w:bCs/>
          <w:rtl/>
        </w:rPr>
        <w:t xml:space="preserve"> </w:t>
      </w:r>
      <w:r w:rsidRPr="00741781">
        <w:rPr>
          <w:rFonts w:hint="eastAsia"/>
          <w:b/>
          <w:bCs/>
          <w:rtl/>
        </w:rPr>
        <w:t>ועד</w:t>
      </w:r>
      <w:r w:rsidRPr="00741781">
        <w:rPr>
          <w:b/>
          <w:bCs/>
          <w:rtl/>
        </w:rPr>
        <w:t xml:space="preserve"> </w:t>
      </w:r>
      <w:r w:rsidRPr="00741781">
        <w:rPr>
          <w:rFonts w:hint="eastAsia"/>
          <w:b/>
          <w:bCs/>
          <w:rtl/>
        </w:rPr>
        <w:t>מועד</w:t>
      </w:r>
      <w:r w:rsidRPr="00741781">
        <w:rPr>
          <w:b/>
          <w:bCs/>
          <w:rtl/>
        </w:rPr>
        <w:t xml:space="preserve"> </w:t>
      </w:r>
      <w:r w:rsidRPr="00741781">
        <w:rPr>
          <w:rFonts w:hint="eastAsia"/>
          <w:b/>
          <w:bCs/>
          <w:rtl/>
        </w:rPr>
        <w:t>האכלוס</w:t>
      </w:r>
      <w:r w:rsidRPr="00741781">
        <w:rPr>
          <w:rFonts w:hint="cs"/>
          <w:b/>
          <w:bCs/>
          <w:rtl/>
        </w:rPr>
        <w:t>) בחודשים, לפי</w:t>
      </w:r>
      <w:r w:rsidRPr="00741781">
        <w:rPr>
          <w:b/>
          <w:bCs/>
          <w:rtl/>
        </w:rPr>
        <w:t xml:space="preserve"> </w:t>
      </w:r>
      <w:r w:rsidRPr="00741781">
        <w:rPr>
          <w:rFonts w:hint="eastAsia"/>
          <w:b/>
          <w:bCs/>
          <w:rtl/>
        </w:rPr>
        <w:t>מחוזות</w:t>
      </w:r>
      <w:r w:rsidRPr="00741781">
        <w:rPr>
          <w:b/>
          <w:bCs/>
          <w:rtl/>
        </w:rPr>
        <w:t xml:space="preserve"> </w:t>
      </w:r>
      <w:r w:rsidRPr="00741781">
        <w:rPr>
          <w:rFonts w:hint="eastAsia"/>
          <w:b/>
          <w:bCs/>
          <w:rtl/>
        </w:rPr>
        <w:t>והממוצע</w:t>
      </w:r>
      <w:r w:rsidRPr="00741781">
        <w:rPr>
          <w:b/>
          <w:bCs/>
          <w:rtl/>
        </w:rPr>
        <w:t xml:space="preserve"> </w:t>
      </w:r>
      <w:r w:rsidRPr="00741781">
        <w:rPr>
          <w:rFonts w:hint="eastAsia"/>
          <w:b/>
          <w:bCs/>
          <w:rtl/>
        </w:rPr>
        <w:t>הארצי</w:t>
      </w:r>
      <w:r w:rsidRPr="00741781">
        <w:rPr>
          <w:rFonts w:hint="cs"/>
          <w:b/>
          <w:bCs/>
          <w:rtl/>
        </w:rPr>
        <w:t>,</w:t>
      </w:r>
      <w:r w:rsidRPr="00741781">
        <w:rPr>
          <w:b/>
          <w:bCs/>
          <w:rtl/>
        </w:rPr>
        <w:t xml:space="preserve"> 2016 </w:t>
      </w:r>
      <w:r w:rsidRPr="00741781">
        <w:rPr>
          <w:rFonts w:hint="eastAsia"/>
          <w:b/>
          <w:bCs/>
          <w:rtl/>
        </w:rPr>
        <w:t>עד</w:t>
      </w:r>
      <w:r w:rsidRPr="00741781">
        <w:rPr>
          <w:b/>
          <w:bCs/>
          <w:rtl/>
        </w:rPr>
        <w:t xml:space="preserve"> </w:t>
      </w:r>
      <w:r w:rsidRPr="00741781">
        <w:rPr>
          <w:rFonts w:hint="cs"/>
          <w:b/>
          <w:bCs/>
          <w:rtl/>
        </w:rPr>
        <w:t xml:space="preserve">ספטמבר </w:t>
      </w:r>
      <w:r w:rsidRPr="00741781">
        <w:rPr>
          <w:b/>
          <w:bCs/>
          <w:rtl/>
        </w:rPr>
        <w:t>2019</w:t>
      </w:r>
      <w:r>
        <w:rPr>
          <w:rFonts w:hint="cs"/>
          <w:rtl/>
        </w:rPr>
        <w:t xml:space="preserve"> </w:t>
      </w:r>
    </w:p>
    <w:p w14:paraId="4236913C" w14:textId="77777777" w:rsidR="00C218DA" w:rsidRPr="00A72CE7" w:rsidRDefault="00C218DA" w:rsidP="00C218DA">
      <w:pPr>
        <w:spacing w:line="269" w:lineRule="auto"/>
        <w:jc w:val="center"/>
        <w:rPr>
          <w:rtl/>
        </w:rPr>
      </w:pPr>
      <w:r>
        <w:rPr>
          <w:noProof/>
        </w:rPr>
        <w:drawing>
          <wp:inline distT="0" distB="0" distL="0" distR="0" wp14:anchorId="54D1EF2C" wp14:editId="14D14341">
            <wp:extent cx="4838700" cy="3743325"/>
            <wp:effectExtent l="0" t="0" r="0" b="9525"/>
            <wp:docPr id="33" name="תרשים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6E78DF" w14:textId="77777777" w:rsidR="00C218DA" w:rsidRPr="00234053" w:rsidRDefault="00C218DA" w:rsidP="00741781">
      <w:pPr>
        <w:pStyle w:val="ac"/>
        <w:rPr>
          <w:rtl/>
        </w:rPr>
      </w:pPr>
      <w:r>
        <w:rPr>
          <w:rFonts w:hint="cs"/>
          <w:rtl/>
        </w:rPr>
        <w:t xml:space="preserve">על פי </w:t>
      </w:r>
      <w:r w:rsidRPr="00234053">
        <w:rPr>
          <w:rFonts w:hint="eastAsia"/>
          <w:rtl/>
        </w:rPr>
        <w:t>נתוני</w:t>
      </w:r>
      <w:r w:rsidRPr="00234053">
        <w:rPr>
          <w:rtl/>
        </w:rPr>
        <w:t xml:space="preserve"> משרד </w:t>
      </w:r>
      <w:r>
        <w:rPr>
          <w:rFonts w:hint="cs"/>
          <w:rtl/>
        </w:rPr>
        <w:t xml:space="preserve">הבינוי, </w:t>
      </w:r>
      <w:r w:rsidRPr="00234053">
        <w:rPr>
          <w:rFonts w:hint="eastAsia"/>
          <w:rtl/>
        </w:rPr>
        <w:t>בעיבוד</w:t>
      </w:r>
      <w:r w:rsidRPr="00234053">
        <w:rPr>
          <w:rtl/>
        </w:rPr>
        <w:t xml:space="preserve"> </w:t>
      </w:r>
      <w:r w:rsidRPr="00234053">
        <w:rPr>
          <w:rFonts w:hint="eastAsia"/>
          <w:rtl/>
        </w:rPr>
        <w:t>משרד</w:t>
      </w:r>
      <w:r w:rsidRPr="00234053">
        <w:rPr>
          <w:rtl/>
        </w:rPr>
        <w:t xml:space="preserve"> </w:t>
      </w:r>
      <w:r w:rsidRPr="00234053">
        <w:rPr>
          <w:rFonts w:hint="eastAsia"/>
          <w:rtl/>
        </w:rPr>
        <w:t>מבקר</w:t>
      </w:r>
      <w:r w:rsidRPr="00234053">
        <w:rPr>
          <w:rtl/>
        </w:rPr>
        <w:t xml:space="preserve"> </w:t>
      </w:r>
      <w:r w:rsidRPr="00234053">
        <w:rPr>
          <w:rFonts w:hint="eastAsia"/>
          <w:rtl/>
        </w:rPr>
        <w:t>המדינה</w:t>
      </w:r>
      <w:r w:rsidRPr="00234053">
        <w:rPr>
          <w:rtl/>
        </w:rPr>
        <w:t>.</w:t>
      </w:r>
    </w:p>
    <w:p w14:paraId="6A80FAF2" w14:textId="77777777" w:rsidR="00C218DA" w:rsidRPr="00DB0AE2" w:rsidRDefault="00C218DA" w:rsidP="00741781">
      <w:pPr>
        <w:pStyle w:val="316"/>
        <w:rPr>
          <w:rtl/>
        </w:rPr>
      </w:pPr>
      <w:r w:rsidRPr="00DB0AE2">
        <w:rPr>
          <w:rFonts w:hint="cs"/>
          <w:rtl/>
        </w:rPr>
        <w:t>פעולות הביקורת</w:t>
      </w:r>
    </w:p>
    <w:p w14:paraId="455793FD" w14:textId="16359B57" w:rsidR="00C218DA" w:rsidRDefault="00C218DA" w:rsidP="00741781">
      <w:pPr>
        <w:pStyle w:val="100"/>
        <w:rPr>
          <w:rtl/>
        </w:rPr>
      </w:pPr>
      <w:r w:rsidRPr="002B2CB0">
        <w:rPr>
          <w:rFonts w:hint="eastAsia"/>
          <w:rtl/>
        </w:rPr>
        <w:t>בחודשים</w:t>
      </w:r>
      <w:r w:rsidRPr="002B2CB0">
        <w:rPr>
          <w:rtl/>
        </w:rPr>
        <w:t xml:space="preserve"> </w:t>
      </w:r>
      <w:r w:rsidRPr="002B2CB0">
        <w:rPr>
          <w:rFonts w:hint="eastAsia"/>
          <w:rtl/>
        </w:rPr>
        <w:t>פברואר</w:t>
      </w:r>
      <w:r>
        <w:rPr>
          <w:rFonts w:hint="cs"/>
          <w:rtl/>
        </w:rPr>
        <w:t xml:space="preserve"> עד </w:t>
      </w:r>
      <w:r w:rsidRPr="002B2CB0">
        <w:rPr>
          <w:rtl/>
        </w:rPr>
        <w:t xml:space="preserve">אוגוסט </w:t>
      </w:r>
      <w:r>
        <w:rPr>
          <w:rFonts w:hint="cs"/>
          <w:rtl/>
        </w:rPr>
        <w:t>2019</w:t>
      </w:r>
      <w:r w:rsidRPr="002B2CB0">
        <w:rPr>
          <w:rtl/>
        </w:rPr>
        <w:t xml:space="preserve"> </w:t>
      </w:r>
      <w:r w:rsidRPr="002B2CB0">
        <w:rPr>
          <w:rFonts w:hint="eastAsia"/>
          <w:rtl/>
        </w:rPr>
        <w:t>בדק</w:t>
      </w:r>
      <w:r w:rsidRPr="002B2CB0">
        <w:rPr>
          <w:rtl/>
        </w:rPr>
        <w:t xml:space="preserve"> </w:t>
      </w:r>
      <w:r w:rsidRPr="002B2CB0">
        <w:rPr>
          <w:rFonts w:hint="eastAsia"/>
          <w:rtl/>
        </w:rPr>
        <w:t>משרד</w:t>
      </w:r>
      <w:r w:rsidRPr="002B2CB0">
        <w:rPr>
          <w:rtl/>
        </w:rPr>
        <w:t xml:space="preserve"> </w:t>
      </w:r>
      <w:r w:rsidRPr="002B2CB0">
        <w:rPr>
          <w:rFonts w:hint="eastAsia"/>
          <w:rtl/>
        </w:rPr>
        <w:t>מבקר</w:t>
      </w:r>
      <w:r w:rsidRPr="002B2CB0">
        <w:rPr>
          <w:rtl/>
        </w:rPr>
        <w:t xml:space="preserve"> </w:t>
      </w:r>
      <w:r w:rsidRPr="002B2CB0">
        <w:rPr>
          <w:rFonts w:hint="eastAsia"/>
          <w:rtl/>
        </w:rPr>
        <w:t>המדינה</w:t>
      </w:r>
      <w:r>
        <w:rPr>
          <w:rFonts w:hint="cs"/>
          <w:rtl/>
        </w:rPr>
        <w:t xml:space="preserve"> היבטים בנושא רכישת הדירות הציבוריות ומכירתן לדיירים מכוח חוק הדיור הציבורי; פעולות שנקט משרד הבינוי למיצוי פוטנציאל מלאי הדירות הציבוריות הקיימות, ויישום החלטות ופעולות שנעשו לשם הגדלת מלאי הדירות הציבוריות. </w:t>
      </w:r>
      <w:r w:rsidRPr="002B2CB0">
        <w:rPr>
          <w:rFonts w:hint="eastAsia"/>
          <w:rtl/>
        </w:rPr>
        <w:t>הבדיק</w:t>
      </w:r>
      <w:r w:rsidRPr="002B2CB0">
        <w:rPr>
          <w:rFonts w:hint="cs"/>
          <w:rtl/>
        </w:rPr>
        <w:t>ות</w:t>
      </w:r>
      <w:r w:rsidRPr="002B2CB0">
        <w:rPr>
          <w:rtl/>
        </w:rPr>
        <w:t xml:space="preserve"> נעש</w:t>
      </w:r>
      <w:r w:rsidRPr="002B2CB0">
        <w:rPr>
          <w:rFonts w:hint="cs"/>
          <w:rtl/>
        </w:rPr>
        <w:t>ו</w:t>
      </w:r>
      <w:r w:rsidRPr="002B2CB0">
        <w:rPr>
          <w:rtl/>
        </w:rPr>
        <w:t xml:space="preserve"> </w:t>
      </w:r>
      <w:r w:rsidRPr="002B2CB0">
        <w:rPr>
          <w:rFonts w:hint="eastAsia"/>
          <w:rtl/>
        </w:rPr>
        <w:t>במשרד</w:t>
      </w:r>
      <w:r w:rsidRPr="002B2CB0">
        <w:rPr>
          <w:rtl/>
        </w:rPr>
        <w:t xml:space="preserve"> </w:t>
      </w:r>
      <w:r>
        <w:rPr>
          <w:rFonts w:hint="eastAsia"/>
          <w:rtl/>
        </w:rPr>
        <w:t>הבינוי</w:t>
      </w:r>
      <w:r>
        <w:rPr>
          <w:rFonts w:hint="cs"/>
          <w:rtl/>
        </w:rPr>
        <w:t xml:space="preserve"> </w:t>
      </w:r>
      <w:r w:rsidRPr="002B2CB0">
        <w:rPr>
          <w:rFonts w:hint="eastAsia"/>
          <w:rtl/>
        </w:rPr>
        <w:t>וב</w:t>
      </w:r>
      <w:r>
        <w:rPr>
          <w:rFonts w:hint="cs"/>
          <w:rtl/>
        </w:rPr>
        <w:t>עמידר. בדיקות השלמה נעשו במשרד האוצר: באגף החשב הכללי (להלן - אגף החשכ"ל) ובמטה הדיור הלאומי (להלן - מטה הדיור), ברשות מקרקעי ישראל (להלן - רמ"י) ובמשרד הקליטה.</w:t>
      </w:r>
    </w:p>
    <w:p w14:paraId="4BD52EB8" w14:textId="77777777" w:rsidR="00C218DA" w:rsidRDefault="00C218DA" w:rsidP="00741781">
      <w:pPr>
        <w:pStyle w:val="316"/>
        <w:rPr>
          <w:rtl/>
        </w:rPr>
      </w:pPr>
      <w:r>
        <w:rPr>
          <w:rFonts w:hint="cs"/>
          <w:rtl/>
        </w:rPr>
        <w:lastRenderedPageBreak/>
        <w:t>עבודת המטה בנוגע למאגר הדירות הציבוריות</w:t>
      </w:r>
      <w:r w:rsidRPr="00791328">
        <w:rPr>
          <w:rFonts w:hint="cs"/>
          <w:rtl/>
        </w:rPr>
        <w:t xml:space="preserve"> </w:t>
      </w:r>
    </w:p>
    <w:p w14:paraId="3A96C9D4" w14:textId="70253A78" w:rsidR="00C218DA" w:rsidRDefault="00C218DA" w:rsidP="00741781">
      <w:pPr>
        <w:pStyle w:val="414"/>
        <w:rPr>
          <w:rtl/>
        </w:rPr>
      </w:pPr>
      <w:r>
        <w:rPr>
          <w:rFonts w:hint="cs"/>
          <w:rtl/>
        </w:rPr>
        <w:t xml:space="preserve">תוכנית "לגור בכבוד" של משרד הבינוי </w:t>
      </w:r>
    </w:p>
    <w:p w14:paraId="45C9AC19" w14:textId="77777777" w:rsidR="00C218DA" w:rsidRDefault="00C218DA" w:rsidP="00741781">
      <w:pPr>
        <w:pStyle w:val="100"/>
        <w:rPr>
          <w:rtl/>
        </w:rPr>
      </w:pPr>
      <w:r>
        <w:rPr>
          <w:rtl/>
        </w:rPr>
        <w:t xml:space="preserve">ההוצאה על דיור </w:t>
      </w:r>
      <w:r>
        <w:rPr>
          <w:rFonts w:hint="cs"/>
          <w:rtl/>
        </w:rPr>
        <w:t>היא</w:t>
      </w:r>
      <w:r>
        <w:rPr>
          <w:rtl/>
        </w:rPr>
        <w:t xml:space="preserve"> נטל כלכלי כבד על האוכלוסייה בכלל </w:t>
      </w:r>
      <w:r>
        <w:rPr>
          <w:rFonts w:hint="cs"/>
          <w:rtl/>
        </w:rPr>
        <w:t>ועל</w:t>
      </w:r>
      <w:r>
        <w:rPr>
          <w:rtl/>
        </w:rPr>
        <w:t xml:space="preserve"> אנשים החיים בעוני בפרט</w:t>
      </w:r>
      <w:r>
        <w:rPr>
          <w:rFonts w:hint="cs"/>
          <w:rtl/>
        </w:rPr>
        <w:t xml:space="preserve">. </w:t>
      </w:r>
      <w:r w:rsidRPr="00CE64C2">
        <w:rPr>
          <w:rtl/>
        </w:rPr>
        <w:t xml:space="preserve">סוגיית </w:t>
      </w:r>
      <w:r>
        <w:rPr>
          <w:rFonts w:hint="cs"/>
          <w:rtl/>
        </w:rPr>
        <w:t>המחסור בדירות ציבוריות</w:t>
      </w:r>
      <w:r w:rsidRPr="00CE64C2">
        <w:rPr>
          <w:rtl/>
        </w:rPr>
        <w:t xml:space="preserve"> נדונה </w:t>
      </w:r>
      <w:r>
        <w:rPr>
          <w:rFonts w:hint="cs"/>
          <w:rtl/>
        </w:rPr>
        <w:t>עוד בשנת 2011 ב</w:t>
      </w:r>
      <w:r w:rsidRPr="00160486">
        <w:rPr>
          <w:rtl/>
        </w:rPr>
        <w:t>וועדה לשינוי כלכלי</w:t>
      </w:r>
      <w:r w:rsidRPr="00160486">
        <w:rPr>
          <w:rFonts w:hint="cs"/>
          <w:rtl/>
        </w:rPr>
        <w:t>-</w:t>
      </w:r>
      <w:r w:rsidRPr="00160486">
        <w:rPr>
          <w:rtl/>
        </w:rPr>
        <w:t>חברתי</w:t>
      </w:r>
      <w:r w:rsidRPr="00160486">
        <w:rPr>
          <w:rFonts w:hint="cs"/>
          <w:rtl/>
        </w:rPr>
        <w:t xml:space="preserve"> בראשות פרופ' מנואל טרכטנברג (להלן - ועדת טרכטנברג)</w:t>
      </w:r>
      <w:r>
        <w:rPr>
          <w:rFonts w:hint="cs"/>
          <w:rtl/>
        </w:rPr>
        <w:t>, שציינה</w:t>
      </w:r>
      <w:r>
        <w:rPr>
          <w:rtl/>
        </w:rPr>
        <w:t xml:space="preserve"> כי </w:t>
      </w:r>
      <w:r>
        <w:rPr>
          <w:rFonts w:hint="cs"/>
          <w:rtl/>
        </w:rPr>
        <w:t>נוכח</w:t>
      </w:r>
      <w:r>
        <w:rPr>
          <w:rtl/>
        </w:rPr>
        <w:t xml:space="preserve"> צמצום מלאי הדירות הציבורי</w:t>
      </w:r>
      <w:r>
        <w:rPr>
          <w:rFonts w:hint="cs"/>
          <w:rtl/>
        </w:rPr>
        <w:t>ות "</w:t>
      </w:r>
      <w:r>
        <w:rPr>
          <w:rtl/>
        </w:rPr>
        <w:t>מוצע לפעול לשמירה על המלאי הקיים של הדיור הציבורי, בכלל זאת להפסיק את מבצעי המכר</w:t>
      </w:r>
      <w:r>
        <w:rPr>
          <w:rFonts w:hint="cs"/>
          <w:rtl/>
        </w:rPr>
        <w:t xml:space="preserve">... </w:t>
      </w:r>
      <w:r>
        <w:rPr>
          <w:rtl/>
        </w:rPr>
        <w:t xml:space="preserve">על מנת להבטיח כי מלאי זה ישמש כפתרון דיור </w:t>
      </w:r>
      <w:r>
        <w:rPr>
          <w:rFonts w:hint="cs"/>
          <w:rtl/>
        </w:rPr>
        <w:t xml:space="preserve">גם </w:t>
      </w:r>
      <w:r>
        <w:rPr>
          <w:rtl/>
        </w:rPr>
        <w:t>לזכאים עתידיים"</w:t>
      </w:r>
      <w:r>
        <w:rPr>
          <w:rStyle w:val="FootnoteReference"/>
          <w:rtl/>
        </w:rPr>
        <w:footnoteReference w:id="19"/>
      </w:r>
      <w:r>
        <w:rPr>
          <w:rFonts w:hint="cs"/>
          <w:rtl/>
        </w:rPr>
        <w:t xml:space="preserve">. </w:t>
      </w:r>
      <w:r>
        <w:rPr>
          <w:rtl/>
        </w:rPr>
        <w:t>ב</w:t>
      </w:r>
      <w:r>
        <w:rPr>
          <w:rFonts w:hint="cs"/>
          <w:rtl/>
        </w:rPr>
        <w:t>שנת</w:t>
      </w:r>
      <w:r>
        <w:rPr>
          <w:rtl/>
        </w:rPr>
        <w:t xml:space="preserve"> 2012 </w:t>
      </w:r>
      <w:r>
        <w:rPr>
          <w:rFonts w:hint="cs"/>
          <w:rtl/>
        </w:rPr>
        <w:t>החליטה</w:t>
      </w:r>
      <w:r>
        <w:rPr>
          <w:rtl/>
        </w:rPr>
        <w:t xml:space="preserve"> הממשלה</w:t>
      </w:r>
      <w:r>
        <w:rPr>
          <w:rStyle w:val="FootnoteReference"/>
          <w:rtl/>
        </w:rPr>
        <w:footnoteReference w:id="20"/>
      </w:r>
      <w:r>
        <w:rPr>
          <w:rFonts w:hint="cs"/>
          <w:rtl/>
        </w:rPr>
        <w:t xml:space="preserve"> </w:t>
      </w:r>
      <w:r>
        <w:rPr>
          <w:rtl/>
        </w:rPr>
        <w:t>ל</w:t>
      </w:r>
      <w:r>
        <w:rPr>
          <w:rFonts w:hint="cs"/>
          <w:rtl/>
        </w:rPr>
        <w:t>פעול ל</w:t>
      </w:r>
      <w:r>
        <w:rPr>
          <w:rtl/>
        </w:rPr>
        <w:t>ב</w:t>
      </w:r>
      <w:r>
        <w:rPr>
          <w:rFonts w:hint="cs"/>
          <w:rtl/>
        </w:rPr>
        <w:t>י</w:t>
      </w:r>
      <w:r>
        <w:rPr>
          <w:rtl/>
        </w:rPr>
        <w:t>ט</w:t>
      </w:r>
      <w:r>
        <w:rPr>
          <w:rFonts w:hint="cs"/>
          <w:rtl/>
        </w:rPr>
        <w:t>ו</w:t>
      </w:r>
      <w:r>
        <w:rPr>
          <w:rtl/>
        </w:rPr>
        <w:t xml:space="preserve">ל חוק הדיור הציבורי </w:t>
      </w:r>
      <w:r>
        <w:rPr>
          <w:rFonts w:hint="cs"/>
          <w:rtl/>
        </w:rPr>
        <w:t xml:space="preserve">נוכח </w:t>
      </w:r>
      <w:r>
        <w:rPr>
          <w:rtl/>
        </w:rPr>
        <w:t>המלצת ועד</w:t>
      </w:r>
      <w:r>
        <w:rPr>
          <w:rFonts w:hint="cs"/>
          <w:rtl/>
        </w:rPr>
        <w:t>ת טרכטנברג. עם זאת, בסופו של דבר החלטה זו לא יושמה, ו</w:t>
      </w:r>
      <w:r w:rsidRPr="002771B0">
        <w:rPr>
          <w:rtl/>
        </w:rPr>
        <w:t>ב</w:t>
      </w:r>
      <w:r>
        <w:rPr>
          <w:rFonts w:hint="cs"/>
          <w:rtl/>
        </w:rPr>
        <w:t xml:space="preserve">שנת </w:t>
      </w:r>
      <w:r w:rsidRPr="002771B0">
        <w:rPr>
          <w:rtl/>
        </w:rPr>
        <w:t>2013 נכנס לתוקפו חוק הדיור הציבורי</w:t>
      </w:r>
      <w:r>
        <w:rPr>
          <w:rFonts w:hint="cs"/>
          <w:rtl/>
        </w:rPr>
        <w:t>, והוא הוארך בשנת 2018</w:t>
      </w:r>
      <w:r w:rsidRPr="00A448B8">
        <w:t xml:space="preserve"> </w:t>
      </w:r>
      <w:r w:rsidRPr="00A448B8">
        <w:rPr>
          <w:rFonts w:hint="cs"/>
          <w:rtl/>
        </w:rPr>
        <w:t>עד</w:t>
      </w:r>
      <w:r w:rsidRPr="00A448B8">
        <w:t xml:space="preserve"> </w:t>
      </w:r>
      <w:r>
        <w:rPr>
          <w:rFonts w:hint="cs"/>
          <w:rtl/>
        </w:rPr>
        <w:t xml:space="preserve">2022. </w:t>
      </w:r>
    </w:p>
    <w:p w14:paraId="68C562CB" w14:textId="77777777" w:rsidR="00C218DA" w:rsidRDefault="00C218DA" w:rsidP="00741781">
      <w:pPr>
        <w:pStyle w:val="100"/>
        <w:rPr>
          <w:rtl/>
        </w:rPr>
      </w:pPr>
      <w:r>
        <w:rPr>
          <w:rFonts w:hint="cs"/>
          <w:rtl/>
        </w:rPr>
        <w:t xml:space="preserve">על רקע זה, גיבש </w:t>
      </w:r>
      <w:r>
        <w:rPr>
          <w:rtl/>
        </w:rPr>
        <w:t xml:space="preserve">במהלך שנת 2018 </w:t>
      </w:r>
      <w:r>
        <w:rPr>
          <w:rFonts w:hint="cs"/>
          <w:rtl/>
        </w:rPr>
        <w:t xml:space="preserve">משרד הבינוי את תוכנית </w:t>
      </w:r>
      <w:r>
        <w:rPr>
          <w:rtl/>
        </w:rPr>
        <w:t>"לגור בכבוד</w:t>
      </w:r>
      <w:r>
        <w:rPr>
          <w:rFonts w:hint="cs"/>
          <w:rtl/>
        </w:rPr>
        <w:t>! מצילים את הדיור הציבורי</w:t>
      </w:r>
      <w:r>
        <w:rPr>
          <w:rtl/>
        </w:rPr>
        <w:t>"</w:t>
      </w:r>
      <w:r>
        <w:rPr>
          <w:rFonts w:hint="cs"/>
          <w:rtl/>
        </w:rPr>
        <w:t xml:space="preserve"> (להלן - תוכנית "לגור בכבוד"). התוכנית נועדה, בין היתר, לספק מענה למספר ההולך וגדל של הזכאים הממתינים לדיור ציבורי. להערכת המשרד, אם לא תינקט פעולה לשינוי המצב, יגדל מספר הזכאים הממתינים לדיור ציבורי בכ-8,000 משקי בית עד שנת 2028 (ביחס ל-2018). התוכנית כללה בעיקרה שורה של הצעות להגדלת מלאי הדיור הציבורי. היא לא כללה התייחסות מלאה לעלות התוכנית ולמקורות התקציביים למימושה, לבדיקות היתכנות הנדרשות להוצאת הרעיונות אל הפועל וללוחות הזמנים.</w:t>
      </w:r>
    </w:p>
    <w:p w14:paraId="23283A89" w14:textId="4534AB39" w:rsidR="00C218DA" w:rsidRDefault="00C218DA" w:rsidP="00741781">
      <w:pPr>
        <w:pStyle w:val="100"/>
        <w:rPr>
          <w:rStyle w:val="Heading5Char"/>
        </w:rPr>
      </w:pPr>
      <w:r>
        <w:rPr>
          <w:rFonts w:hint="cs"/>
          <w:rtl/>
        </w:rPr>
        <w:t>ב</w:t>
      </w:r>
      <w:r>
        <w:rPr>
          <w:rtl/>
        </w:rPr>
        <w:t>ת</w:t>
      </w:r>
      <w:r>
        <w:rPr>
          <w:rFonts w:hint="cs"/>
          <w:rtl/>
        </w:rPr>
        <w:t>ו</w:t>
      </w:r>
      <w:r>
        <w:rPr>
          <w:rtl/>
        </w:rPr>
        <w:t xml:space="preserve">כנית </w:t>
      </w:r>
      <w:r>
        <w:rPr>
          <w:rFonts w:hint="cs"/>
          <w:rtl/>
        </w:rPr>
        <w:t xml:space="preserve">"לגור בכבוד" </w:t>
      </w:r>
      <w:r>
        <w:rPr>
          <w:rtl/>
        </w:rPr>
        <w:t xml:space="preserve">הוצע לקבוע יעד ממשלתי מוגדר להגדלת מלאי הדיור הציבורי </w:t>
      </w:r>
      <w:r>
        <w:rPr>
          <w:rtl/>
        </w:rPr>
        <w:br/>
        <w:t>ב</w:t>
      </w:r>
      <w:r>
        <w:rPr>
          <w:rFonts w:hint="cs"/>
          <w:rtl/>
        </w:rPr>
        <w:t>-</w:t>
      </w:r>
      <w:r>
        <w:rPr>
          <w:rtl/>
        </w:rPr>
        <w:t>7,200</w:t>
      </w:r>
      <w:r>
        <w:rPr>
          <w:rFonts w:hint="cs"/>
          <w:rtl/>
        </w:rPr>
        <w:t xml:space="preserve"> דירות </w:t>
      </w:r>
      <w:r>
        <w:rPr>
          <w:rtl/>
        </w:rPr>
        <w:t>מדי שנה</w:t>
      </w:r>
      <w:r>
        <w:rPr>
          <w:rFonts w:hint="cs"/>
          <w:rtl/>
        </w:rPr>
        <w:t xml:space="preserve"> בעשור הקרוב, וגם תוספת חד-פעמית של כ-800 דירות</w:t>
      </w:r>
      <w:r>
        <w:rPr>
          <w:rtl/>
        </w:rPr>
        <w:t>, ובס</w:t>
      </w:r>
      <w:r>
        <w:rPr>
          <w:rFonts w:hint="cs"/>
          <w:rtl/>
        </w:rPr>
        <w:t>ך הכול</w:t>
      </w:r>
      <w:r>
        <w:rPr>
          <w:rtl/>
        </w:rPr>
        <w:t xml:space="preserve"> </w:t>
      </w:r>
      <w:r>
        <w:rPr>
          <w:rFonts w:hint="cs"/>
          <w:rtl/>
        </w:rPr>
        <w:t>להגדיל את המלאי בכ-</w:t>
      </w:r>
      <w:r>
        <w:rPr>
          <w:rtl/>
        </w:rPr>
        <w:t>7</w:t>
      </w:r>
      <w:r>
        <w:rPr>
          <w:rFonts w:hint="cs"/>
          <w:rtl/>
        </w:rPr>
        <w:t>3</w:t>
      </w:r>
      <w:r>
        <w:rPr>
          <w:rtl/>
        </w:rPr>
        <w:t xml:space="preserve">,000 </w:t>
      </w:r>
      <w:r>
        <w:rPr>
          <w:rFonts w:hint="cs"/>
          <w:rtl/>
        </w:rPr>
        <w:t>דירות</w:t>
      </w:r>
      <w:r>
        <w:rPr>
          <w:rtl/>
        </w:rPr>
        <w:t xml:space="preserve"> בתוך עשור. לשם עמידה ביעד</w:t>
      </w:r>
      <w:r>
        <w:rPr>
          <w:rFonts w:hint="cs"/>
          <w:rtl/>
        </w:rPr>
        <w:t>,</w:t>
      </w:r>
      <w:r>
        <w:rPr>
          <w:rtl/>
        </w:rPr>
        <w:t xml:space="preserve"> </w:t>
      </w:r>
      <w:r>
        <w:rPr>
          <w:rFonts w:hint="cs"/>
          <w:rtl/>
        </w:rPr>
        <w:t>פירטה</w:t>
      </w:r>
      <w:r>
        <w:rPr>
          <w:rtl/>
        </w:rPr>
        <w:t xml:space="preserve"> הת</w:t>
      </w:r>
      <w:r>
        <w:rPr>
          <w:rFonts w:hint="cs"/>
          <w:rtl/>
        </w:rPr>
        <w:t>ו</w:t>
      </w:r>
      <w:r>
        <w:rPr>
          <w:rtl/>
        </w:rPr>
        <w:t>כנית שורה של</w:t>
      </w:r>
      <w:r>
        <w:rPr>
          <w:rFonts w:hint="cs"/>
          <w:rtl/>
        </w:rPr>
        <w:t xml:space="preserve"> </w:t>
      </w:r>
      <w:r>
        <w:rPr>
          <w:rtl/>
        </w:rPr>
        <w:t>המלצות</w:t>
      </w:r>
      <w:r>
        <w:rPr>
          <w:rFonts w:hint="cs"/>
          <w:rtl/>
        </w:rPr>
        <w:t xml:space="preserve"> והעריכה את תרומתן להשגת היעד, ובהן </w:t>
      </w:r>
      <w:r>
        <w:rPr>
          <w:rtl/>
        </w:rPr>
        <w:t xml:space="preserve">הפרשת 10% מתקבולי </w:t>
      </w:r>
      <w:r>
        <w:rPr>
          <w:rFonts w:hint="cs"/>
          <w:rtl/>
        </w:rPr>
        <w:t xml:space="preserve">רמ"י ממכירת </w:t>
      </w:r>
      <w:r>
        <w:rPr>
          <w:rtl/>
        </w:rPr>
        <w:t>קרקע</w:t>
      </w:r>
      <w:r>
        <w:rPr>
          <w:rFonts w:hint="cs"/>
          <w:rtl/>
        </w:rPr>
        <w:t>ות</w:t>
      </w:r>
      <w:r>
        <w:rPr>
          <w:rtl/>
        </w:rPr>
        <w:t xml:space="preserve"> </w:t>
      </w:r>
      <w:r>
        <w:rPr>
          <w:rFonts w:hint="cs"/>
          <w:rtl/>
        </w:rPr>
        <w:t>ה</w:t>
      </w:r>
      <w:r>
        <w:rPr>
          <w:rtl/>
        </w:rPr>
        <w:t>מדינה לטובת רכישת דירות</w:t>
      </w:r>
      <w:r>
        <w:rPr>
          <w:rFonts w:hint="cs"/>
          <w:rtl/>
        </w:rPr>
        <w:t xml:space="preserve"> ציבוריות, מהלך שיאפשר רכישה </w:t>
      </w:r>
      <w:r>
        <w:rPr>
          <w:rtl/>
        </w:rPr>
        <w:t xml:space="preserve">של כ-700 דירות </w:t>
      </w:r>
      <w:r>
        <w:rPr>
          <w:rFonts w:hint="cs"/>
          <w:rtl/>
        </w:rPr>
        <w:t>ב</w:t>
      </w:r>
      <w:r>
        <w:rPr>
          <w:rtl/>
        </w:rPr>
        <w:t>שנה</w:t>
      </w:r>
      <w:r>
        <w:rPr>
          <w:rFonts w:hint="cs"/>
          <w:rtl/>
        </w:rPr>
        <w:t>; גיוס</w:t>
      </w:r>
      <w:r>
        <w:rPr>
          <w:rtl/>
        </w:rPr>
        <w:t xml:space="preserve"> מיליארד ש"ח נוספים </w:t>
      </w:r>
      <w:r>
        <w:rPr>
          <w:rFonts w:hint="cs"/>
          <w:rtl/>
        </w:rPr>
        <w:t xml:space="preserve">באג"ח </w:t>
      </w:r>
      <w:r>
        <w:rPr>
          <w:rtl/>
        </w:rPr>
        <w:t xml:space="preserve">לרכישת </w:t>
      </w:r>
      <w:r>
        <w:rPr>
          <w:rFonts w:hint="cs"/>
          <w:rtl/>
        </w:rPr>
        <w:t>כ-</w:t>
      </w:r>
      <w:r>
        <w:rPr>
          <w:rtl/>
        </w:rPr>
        <w:t>800 דירות</w:t>
      </w:r>
      <w:r>
        <w:rPr>
          <w:rFonts w:hint="cs"/>
          <w:rtl/>
        </w:rPr>
        <w:t xml:space="preserve">; </w:t>
      </w:r>
      <w:r>
        <w:rPr>
          <w:rtl/>
        </w:rPr>
        <w:t xml:space="preserve">יישום מודל </w:t>
      </w:r>
      <w:r>
        <w:rPr>
          <w:rFonts w:hint="cs"/>
          <w:rtl/>
        </w:rPr>
        <w:t>"</w:t>
      </w:r>
      <w:r>
        <w:rPr>
          <w:rtl/>
        </w:rPr>
        <w:t>משכנתא רוכשת</w:t>
      </w:r>
      <w:r>
        <w:rPr>
          <w:rFonts w:hint="cs"/>
          <w:rtl/>
        </w:rPr>
        <w:t>", שיאפשר</w:t>
      </w:r>
      <w:r>
        <w:rPr>
          <w:rtl/>
        </w:rPr>
        <w:t xml:space="preserve"> </w:t>
      </w:r>
      <w:r>
        <w:rPr>
          <w:rFonts w:hint="cs"/>
          <w:rtl/>
        </w:rPr>
        <w:t>לזכאים ל</w:t>
      </w:r>
      <w:r>
        <w:rPr>
          <w:rtl/>
        </w:rPr>
        <w:t>רכ</w:t>
      </w:r>
      <w:r>
        <w:rPr>
          <w:rFonts w:hint="cs"/>
          <w:rtl/>
        </w:rPr>
        <w:t>ו</w:t>
      </w:r>
      <w:r>
        <w:rPr>
          <w:rtl/>
        </w:rPr>
        <w:t>ש דיר</w:t>
      </w:r>
      <w:r>
        <w:rPr>
          <w:rFonts w:hint="cs"/>
          <w:rtl/>
        </w:rPr>
        <w:t>ה</w:t>
      </w:r>
      <w:r>
        <w:rPr>
          <w:rtl/>
        </w:rPr>
        <w:t xml:space="preserve"> באמצעות </w:t>
      </w:r>
      <w:r>
        <w:rPr>
          <w:rFonts w:hint="cs"/>
          <w:rtl/>
        </w:rPr>
        <w:t>הלוואה</w:t>
      </w:r>
      <w:r>
        <w:rPr>
          <w:rtl/>
        </w:rPr>
        <w:t xml:space="preserve"> בנקאי</w:t>
      </w:r>
      <w:r>
        <w:rPr>
          <w:rFonts w:hint="cs"/>
          <w:rtl/>
        </w:rPr>
        <w:t>ת</w:t>
      </w:r>
      <w:r>
        <w:rPr>
          <w:rtl/>
        </w:rPr>
        <w:t xml:space="preserve"> </w:t>
      </w:r>
      <w:r>
        <w:rPr>
          <w:rFonts w:hint="cs"/>
          <w:rtl/>
        </w:rPr>
        <w:t>שבה</w:t>
      </w:r>
      <w:r>
        <w:rPr>
          <w:rtl/>
        </w:rPr>
        <w:t xml:space="preserve"> החזר </w:t>
      </w:r>
      <w:r>
        <w:rPr>
          <w:rFonts w:hint="cs"/>
          <w:rtl/>
        </w:rPr>
        <w:t xml:space="preserve">ההלוואה </w:t>
      </w:r>
      <w:r>
        <w:rPr>
          <w:rtl/>
        </w:rPr>
        <w:t xml:space="preserve">מבוסס על איגום תקציבי של מענקי הסיוע בשכר </w:t>
      </w:r>
      <w:r>
        <w:rPr>
          <w:rFonts w:hint="cs"/>
          <w:rtl/>
        </w:rPr>
        <w:t>ה</w:t>
      </w:r>
      <w:r>
        <w:rPr>
          <w:rtl/>
        </w:rPr>
        <w:t>דירה,</w:t>
      </w:r>
      <w:r>
        <w:rPr>
          <w:rFonts w:hint="cs"/>
          <w:rtl/>
        </w:rPr>
        <w:t xml:space="preserve"> </w:t>
      </w:r>
      <w:r>
        <w:rPr>
          <w:rtl/>
        </w:rPr>
        <w:t>השתתפות עצמית של הזכאי</w:t>
      </w:r>
      <w:r>
        <w:rPr>
          <w:rFonts w:hint="cs"/>
          <w:rtl/>
        </w:rPr>
        <w:t>ם</w:t>
      </w:r>
      <w:r>
        <w:rPr>
          <w:rtl/>
        </w:rPr>
        <w:t xml:space="preserve"> ותקבולי </w:t>
      </w:r>
      <w:r>
        <w:rPr>
          <w:rFonts w:hint="cs"/>
          <w:rtl/>
        </w:rPr>
        <w:t>ה</w:t>
      </w:r>
      <w:r>
        <w:rPr>
          <w:rtl/>
        </w:rPr>
        <w:t xml:space="preserve">קרן </w:t>
      </w:r>
      <w:r>
        <w:rPr>
          <w:rFonts w:hint="cs"/>
          <w:rtl/>
        </w:rPr>
        <w:t>ל</w:t>
      </w:r>
      <w:r>
        <w:rPr>
          <w:rtl/>
        </w:rPr>
        <w:t>דיור הציבורי</w:t>
      </w:r>
      <w:r>
        <w:rPr>
          <w:rFonts w:hint="cs"/>
          <w:rtl/>
        </w:rPr>
        <w:t xml:space="preserve">, </w:t>
      </w:r>
      <w:r>
        <w:rPr>
          <w:rtl/>
        </w:rPr>
        <w:t>מהלך שיניב</w:t>
      </w:r>
      <w:r>
        <w:rPr>
          <w:rFonts w:hint="cs"/>
          <w:rtl/>
        </w:rPr>
        <w:t xml:space="preserve"> כ-</w:t>
      </w:r>
      <w:r>
        <w:rPr>
          <w:rtl/>
        </w:rPr>
        <w:t>1,000 דירות בשנה</w:t>
      </w:r>
      <w:r>
        <w:rPr>
          <w:rFonts w:hint="cs"/>
          <w:rtl/>
        </w:rPr>
        <w:t xml:space="preserve">; </w:t>
      </w:r>
      <w:r>
        <w:rPr>
          <w:rtl/>
        </w:rPr>
        <w:t>הגדלת זכויות תכנוניות תמורת בניית דירות ציבורי</w:t>
      </w:r>
      <w:r>
        <w:rPr>
          <w:rFonts w:hint="cs"/>
          <w:rtl/>
        </w:rPr>
        <w:t>ות, כך שיתווספו</w:t>
      </w:r>
      <w:r>
        <w:rPr>
          <w:rtl/>
        </w:rPr>
        <w:t xml:space="preserve"> 2,000 דירות בשנה</w:t>
      </w:r>
      <w:r>
        <w:rPr>
          <w:rFonts w:hint="cs"/>
          <w:rtl/>
        </w:rPr>
        <w:t xml:space="preserve">; </w:t>
      </w:r>
      <w:r>
        <w:rPr>
          <w:rtl/>
        </w:rPr>
        <w:t xml:space="preserve">יצירת תמריצי מיסוי </w:t>
      </w:r>
      <w:r>
        <w:rPr>
          <w:rFonts w:hint="cs"/>
          <w:rtl/>
        </w:rPr>
        <w:t>ל</w:t>
      </w:r>
      <w:r>
        <w:rPr>
          <w:rtl/>
        </w:rPr>
        <w:t>בניית דירות חדשות למלאי הדיור הציבורי,</w:t>
      </w:r>
      <w:r>
        <w:rPr>
          <w:rFonts w:hint="cs"/>
          <w:rtl/>
        </w:rPr>
        <w:t xml:space="preserve"> </w:t>
      </w:r>
      <w:r>
        <w:rPr>
          <w:rtl/>
        </w:rPr>
        <w:t xml:space="preserve">מהלך </w:t>
      </w:r>
      <w:r>
        <w:rPr>
          <w:rFonts w:hint="cs"/>
          <w:rtl/>
        </w:rPr>
        <w:t>ש</w:t>
      </w:r>
      <w:r>
        <w:rPr>
          <w:rtl/>
        </w:rPr>
        <w:t>יניב כ-2,000 דירות בשנה</w:t>
      </w:r>
      <w:r>
        <w:rPr>
          <w:rFonts w:hint="cs"/>
          <w:rtl/>
        </w:rPr>
        <w:t xml:space="preserve">; </w:t>
      </w:r>
      <w:r>
        <w:rPr>
          <w:rtl/>
        </w:rPr>
        <w:t xml:space="preserve">הקצאת 5% משיווק מכרזי </w:t>
      </w:r>
      <w:r>
        <w:rPr>
          <w:rFonts w:hint="cs"/>
          <w:rtl/>
        </w:rPr>
        <w:t>"</w:t>
      </w:r>
      <w:r>
        <w:rPr>
          <w:rtl/>
        </w:rPr>
        <w:t>מחיר למשתכן</w:t>
      </w:r>
      <w:r>
        <w:rPr>
          <w:rFonts w:hint="cs"/>
          <w:rtl/>
        </w:rPr>
        <w:t>"</w:t>
      </w:r>
      <w:r>
        <w:rPr>
          <w:rtl/>
        </w:rPr>
        <w:t xml:space="preserve"> לטובת הדיור הציבורי</w:t>
      </w:r>
      <w:r>
        <w:rPr>
          <w:rFonts w:hint="cs"/>
          <w:rtl/>
        </w:rPr>
        <w:t xml:space="preserve"> (ראו להלן), </w:t>
      </w:r>
      <w:r>
        <w:rPr>
          <w:rtl/>
        </w:rPr>
        <w:t>מהלך שיניב כ-1,500 דירות בשנה.</w:t>
      </w:r>
    </w:p>
    <w:p w14:paraId="595A697E" w14:textId="77777777" w:rsidR="00C218DA" w:rsidRPr="00374666" w:rsidRDefault="00C218DA" w:rsidP="00741781">
      <w:pPr>
        <w:pStyle w:val="414"/>
        <w:rPr>
          <w:rtl/>
        </w:rPr>
      </w:pPr>
      <w:r w:rsidRPr="00374666">
        <w:rPr>
          <w:rFonts w:hint="cs"/>
          <w:rtl/>
        </w:rPr>
        <w:lastRenderedPageBreak/>
        <w:t xml:space="preserve">החלטת </w:t>
      </w:r>
      <w:r>
        <w:rPr>
          <w:rFonts w:hint="cs"/>
          <w:rtl/>
        </w:rPr>
        <w:t>ה</w:t>
      </w:r>
      <w:r w:rsidRPr="00374666">
        <w:rPr>
          <w:rFonts w:hint="cs"/>
          <w:rtl/>
        </w:rPr>
        <w:t>ממשלה 4078</w:t>
      </w:r>
      <w:r>
        <w:rPr>
          <w:rFonts w:hint="cs"/>
          <w:rtl/>
        </w:rPr>
        <w:t xml:space="preserve"> מ-2018:</w:t>
      </w:r>
      <w:r w:rsidRPr="00374666">
        <w:rPr>
          <w:rFonts w:hint="cs"/>
          <w:rtl/>
        </w:rPr>
        <w:t xml:space="preserve"> </w:t>
      </w:r>
      <w:r w:rsidRPr="00117B83">
        <w:rPr>
          <w:rtl/>
        </w:rPr>
        <w:t>ת</w:t>
      </w:r>
      <w:r>
        <w:rPr>
          <w:rFonts w:hint="cs"/>
          <w:rtl/>
        </w:rPr>
        <w:t>ו</w:t>
      </w:r>
      <w:r w:rsidRPr="00117B83">
        <w:rPr>
          <w:rtl/>
        </w:rPr>
        <w:t>כנית חירום לאומית בתחום הדיור הציבורי</w:t>
      </w:r>
    </w:p>
    <w:p w14:paraId="6B75A71E" w14:textId="77777777" w:rsidR="00C218DA" w:rsidRDefault="00C218DA" w:rsidP="00741781">
      <w:pPr>
        <w:pStyle w:val="100"/>
        <w:rPr>
          <w:rtl/>
        </w:rPr>
      </w:pPr>
      <w:r>
        <w:rPr>
          <w:rFonts w:hint="cs"/>
          <w:sz w:val="24"/>
          <w:rtl/>
        </w:rPr>
        <w:t xml:space="preserve">על בסיס תוכנית "לגור בכבוד" הגיש </w:t>
      </w:r>
      <w:r w:rsidRPr="008A4CBF">
        <w:rPr>
          <w:rFonts w:hint="cs"/>
          <w:sz w:val="24"/>
          <w:rtl/>
        </w:rPr>
        <w:t xml:space="preserve">לממשלה </w:t>
      </w:r>
      <w:r>
        <w:rPr>
          <w:rFonts w:hint="cs"/>
          <w:sz w:val="24"/>
          <w:rtl/>
        </w:rPr>
        <w:t xml:space="preserve">שר הבינוי </w:t>
      </w:r>
      <w:r>
        <w:rPr>
          <w:rFonts w:ascii="Arial" w:hAnsi="Arial" w:hint="cs"/>
          <w:b/>
          <w:sz w:val="26"/>
          <w:rtl/>
        </w:rPr>
        <w:t xml:space="preserve">ביולי 2018 </w:t>
      </w:r>
      <w:r w:rsidRPr="008A4CBF">
        <w:rPr>
          <w:rFonts w:ascii="Arial" w:hAnsi="Arial"/>
          <w:b/>
          <w:sz w:val="26"/>
          <w:rtl/>
        </w:rPr>
        <w:t xml:space="preserve">הצעת </w:t>
      </w:r>
      <w:r w:rsidRPr="008A4CBF">
        <w:rPr>
          <w:rFonts w:ascii="Arial" w:hAnsi="Arial" w:hint="eastAsia"/>
          <w:b/>
          <w:sz w:val="26"/>
          <w:rtl/>
        </w:rPr>
        <w:t>החלטה</w:t>
      </w:r>
      <w:r w:rsidRPr="008A4CBF">
        <w:rPr>
          <w:rFonts w:ascii="Arial" w:hAnsi="Arial"/>
          <w:b/>
          <w:sz w:val="26"/>
          <w:rtl/>
        </w:rPr>
        <w:t xml:space="preserve"> </w:t>
      </w:r>
      <w:r w:rsidRPr="008A4CBF">
        <w:rPr>
          <w:rFonts w:ascii="Arial" w:hAnsi="Arial" w:hint="cs"/>
          <w:b/>
          <w:sz w:val="26"/>
          <w:rtl/>
        </w:rPr>
        <w:t>בנושא</w:t>
      </w:r>
      <w:r w:rsidRPr="008A4CBF">
        <w:rPr>
          <w:rFonts w:ascii="Arial" w:hAnsi="Arial"/>
          <w:b/>
          <w:sz w:val="26"/>
          <w:rtl/>
        </w:rPr>
        <w:t xml:space="preserve"> ת</w:t>
      </w:r>
      <w:r>
        <w:rPr>
          <w:rFonts w:ascii="Arial" w:hAnsi="Arial" w:hint="cs"/>
          <w:b/>
          <w:sz w:val="26"/>
          <w:rtl/>
        </w:rPr>
        <w:t>ו</w:t>
      </w:r>
      <w:r w:rsidRPr="008A4CBF">
        <w:rPr>
          <w:rFonts w:ascii="Arial" w:hAnsi="Arial"/>
          <w:b/>
          <w:sz w:val="26"/>
          <w:rtl/>
        </w:rPr>
        <w:t>כנית ח</w:t>
      </w:r>
      <w:r w:rsidRPr="008A4CBF">
        <w:rPr>
          <w:rFonts w:ascii="Arial" w:hAnsi="Arial" w:hint="eastAsia"/>
          <w:b/>
          <w:sz w:val="26"/>
          <w:rtl/>
        </w:rPr>
        <w:t>י</w:t>
      </w:r>
      <w:r w:rsidRPr="008A4CBF">
        <w:rPr>
          <w:rFonts w:ascii="Arial" w:hAnsi="Arial"/>
          <w:b/>
          <w:sz w:val="26"/>
          <w:rtl/>
        </w:rPr>
        <w:t xml:space="preserve">רום </w:t>
      </w:r>
      <w:r w:rsidRPr="008A4CBF">
        <w:rPr>
          <w:rFonts w:ascii="Arial" w:hAnsi="Arial" w:hint="eastAsia"/>
          <w:b/>
          <w:sz w:val="26"/>
          <w:rtl/>
        </w:rPr>
        <w:t>לאומית</w:t>
      </w:r>
      <w:r w:rsidRPr="008A4CBF">
        <w:rPr>
          <w:rFonts w:ascii="Arial" w:hAnsi="Arial"/>
          <w:b/>
          <w:sz w:val="26"/>
          <w:rtl/>
        </w:rPr>
        <w:t xml:space="preserve"> בתחום הדיור הציבורי</w:t>
      </w:r>
      <w:r>
        <w:rPr>
          <w:rFonts w:hint="cs"/>
          <w:sz w:val="24"/>
          <w:rtl/>
        </w:rPr>
        <w:t>,</w:t>
      </w:r>
      <w:r w:rsidRPr="008A4CBF">
        <w:rPr>
          <w:rFonts w:hint="cs"/>
          <w:sz w:val="24"/>
          <w:rtl/>
        </w:rPr>
        <w:t xml:space="preserve"> וב</w:t>
      </w:r>
      <w:r>
        <w:rPr>
          <w:rFonts w:hint="cs"/>
          <w:sz w:val="24"/>
          <w:rtl/>
        </w:rPr>
        <w:t>עקבות זאת</w:t>
      </w:r>
      <w:r w:rsidRPr="008A4CBF">
        <w:rPr>
          <w:rFonts w:hint="cs"/>
          <w:sz w:val="24"/>
          <w:rtl/>
        </w:rPr>
        <w:t xml:space="preserve"> החליטה</w:t>
      </w:r>
      <w:r>
        <w:rPr>
          <w:rFonts w:hint="cs"/>
          <w:sz w:val="24"/>
          <w:rtl/>
        </w:rPr>
        <w:t xml:space="preserve"> הממשלה ביולי 2018 </w:t>
      </w:r>
      <w:r w:rsidRPr="00AB1B20">
        <w:rPr>
          <w:rFonts w:hint="cs"/>
          <w:rtl/>
        </w:rPr>
        <w:t>להקים</w:t>
      </w:r>
      <w:r w:rsidRPr="00AB1B20">
        <w:t xml:space="preserve"> </w:t>
      </w:r>
      <w:r>
        <w:rPr>
          <w:rFonts w:hint="cs"/>
          <w:rtl/>
        </w:rPr>
        <w:t>צוות</w:t>
      </w:r>
      <w:r w:rsidRPr="00AB1B20">
        <w:t xml:space="preserve"> </w:t>
      </w:r>
      <w:r>
        <w:rPr>
          <w:rFonts w:hint="cs"/>
          <w:rtl/>
        </w:rPr>
        <w:t xml:space="preserve">בין-משרדי שימליץ על תוכנית פעולה </w:t>
      </w:r>
      <w:r w:rsidRPr="00AB1B20">
        <w:rPr>
          <w:rFonts w:hint="cs"/>
          <w:rtl/>
        </w:rPr>
        <w:t>להגדלת</w:t>
      </w:r>
      <w:r w:rsidRPr="00AB1B20">
        <w:t xml:space="preserve"> </w:t>
      </w:r>
      <w:r w:rsidRPr="00AB1B20">
        <w:rPr>
          <w:rFonts w:hint="cs"/>
          <w:rtl/>
        </w:rPr>
        <w:t>מלאי</w:t>
      </w:r>
      <w:r w:rsidRPr="00AB1B20">
        <w:t xml:space="preserve"> </w:t>
      </w:r>
      <w:r w:rsidRPr="00AB1B20">
        <w:rPr>
          <w:rFonts w:hint="cs"/>
          <w:rtl/>
        </w:rPr>
        <w:t>הדירות</w:t>
      </w:r>
      <w:r w:rsidRPr="00AB1B20">
        <w:t xml:space="preserve"> </w:t>
      </w:r>
      <w:r w:rsidRPr="00AB1B20">
        <w:rPr>
          <w:rFonts w:hint="cs"/>
          <w:rtl/>
        </w:rPr>
        <w:t>הציבורי</w:t>
      </w:r>
      <w:r>
        <w:rPr>
          <w:rFonts w:hint="cs"/>
          <w:rtl/>
        </w:rPr>
        <w:t>ות ועל תיקוני החקיקה הנדרשים ליישום המלצותיו</w:t>
      </w:r>
      <w:r>
        <w:rPr>
          <w:rStyle w:val="FootnoteReference"/>
          <w:rtl/>
        </w:rPr>
        <w:footnoteReference w:id="21"/>
      </w:r>
      <w:r>
        <w:rPr>
          <w:rFonts w:hint="cs"/>
          <w:rtl/>
        </w:rPr>
        <w:t>. נקבע כי יו"ר</w:t>
      </w:r>
      <w:r w:rsidRPr="00AB1B20">
        <w:rPr>
          <w:rFonts w:hint="cs"/>
          <w:rtl/>
        </w:rPr>
        <w:t xml:space="preserve"> </w:t>
      </w:r>
      <w:r>
        <w:rPr>
          <w:rFonts w:hint="cs"/>
          <w:rtl/>
        </w:rPr>
        <w:t xml:space="preserve">הצוות יהיה </w:t>
      </w:r>
      <w:r w:rsidRPr="00AB1B20">
        <w:rPr>
          <w:rFonts w:hint="cs"/>
          <w:rtl/>
        </w:rPr>
        <w:t>מנכ"ל משרד</w:t>
      </w:r>
      <w:r>
        <w:rPr>
          <w:rFonts w:hint="cs"/>
          <w:rtl/>
        </w:rPr>
        <w:t xml:space="preserve"> הבינוי, ויהיו חברים בו נציגים ממשרד האוצר, מרמ"י ומגופים ממשלתיים אחרים (להלן - הצוות הבין-משרדי)</w:t>
      </w:r>
      <w:r>
        <w:rPr>
          <w:rStyle w:val="FootnoteReference"/>
          <w:rtl/>
        </w:rPr>
        <w:footnoteReference w:id="22"/>
      </w:r>
      <w:r>
        <w:rPr>
          <w:rFonts w:hint="cs"/>
          <w:rtl/>
        </w:rPr>
        <w:t>. בהחלטה נקבע כי הצוות יבחן מגוון כלים להגדלת מלאי הדיור הציבורי ושימורו, ובין היתר את הכלים הללו</w:t>
      </w:r>
      <w:r>
        <w:rPr>
          <w:rFonts w:ascii="Arial" w:hAnsi="Arial" w:hint="cs"/>
          <w:b/>
          <w:sz w:val="26"/>
          <w:rtl/>
        </w:rPr>
        <w:t xml:space="preserve">: </w:t>
      </w:r>
      <w:r w:rsidRPr="00465AA5">
        <w:rPr>
          <w:rFonts w:ascii="Arial" w:hAnsi="Arial"/>
          <w:sz w:val="26"/>
          <w:rtl/>
        </w:rPr>
        <w:t xml:space="preserve">גיוס </w:t>
      </w:r>
      <w:r>
        <w:rPr>
          <w:rFonts w:ascii="Arial" w:hAnsi="Arial" w:hint="cs"/>
          <w:sz w:val="26"/>
          <w:rtl/>
        </w:rPr>
        <w:t xml:space="preserve">חוב באמצעות הנפקת </w:t>
      </w:r>
      <w:r w:rsidRPr="00465AA5">
        <w:rPr>
          <w:rFonts w:ascii="Arial" w:hAnsi="Arial"/>
          <w:sz w:val="26"/>
          <w:rtl/>
        </w:rPr>
        <w:t>אג"ח</w:t>
      </w:r>
      <w:r w:rsidRPr="00465AA5">
        <w:rPr>
          <w:rFonts w:ascii="Arial" w:hAnsi="Arial" w:hint="cs"/>
          <w:sz w:val="26"/>
          <w:rtl/>
        </w:rPr>
        <w:t xml:space="preserve"> </w:t>
      </w:r>
      <w:r>
        <w:rPr>
          <w:rFonts w:ascii="Arial" w:hAnsi="Arial" w:hint="cs"/>
          <w:sz w:val="26"/>
          <w:rtl/>
        </w:rPr>
        <w:t>של</w:t>
      </w:r>
      <w:r w:rsidRPr="00465AA5">
        <w:rPr>
          <w:rFonts w:ascii="Arial" w:hAnsi="Arial" w:hint="cs"/>
          <w:sz w:val="26"/>
          <w:rtl/>
        </w:rPr>
        <w:t xml:space="preserve"> </w:t>
      </w:r>
      <w:r>
        <w:rPr>
          <w:rFonts w:ascii="Arial" w:hAnsi="Arial" w:hint="cs"/>
          <w:sz w:val="26"/>
          <w:rtl/>
        </w:rPr>
        <w:t>עמידר</w:t>
      </w:r>
      <w:r w:rsidRPr="00465AA5">
        <w:rPr>
          <w:rFonts w:ascii="Arial" w:hAnsi="Arial" w:hint="cs"/>
          <w:sz w:val="26"/>
          <w:rtl/>
        </w:rPr>
        <w:t xml:space="preserve"> לצורך מימון </w:t>
      </w:r>
      <w:r>
        <w:rPr>
          <w:rFonts w:ascii="Arial" w:hAnsi="Arial" w:hint="cs"/>
          <w:sz w:val="26"/>
          <w:rtl/>
        </w:rPr>
        <w:t>רכישת</w:t>
      </w:r>
      <w:r w:rsidRPr="00465AA5">
        <w:rPr>
          <w:rFonts w:ascii="Arial" w:hAnsi="Arial" w:hint="cs"/>
          <w:sz w:val="26"/>
          <w:rtl/>
        </w:rPr>
        <w:t xml:space="preserve"> דירות ציבורי</w:t>
      </w:r>
      <w:r>
        <w:rPr>
          <w:rFonts w:ascii="Arial" w:hAnsi="Arial" w:hint="cs"/>
          <w:sz w:val="26"/>
          <w:rtl/>
        </w:rPr>
        <w:t>ות,</w:t>
      </w:r>
      <w:r w:rsidRPr="00465AA5">
        <w:rPr>
          <w:rFonts w:ascii="Arial" w:hAnsi="Arial"/>
          <w:sz w:val="26"/>
          <w:rtl/>
        </w:rPr>
        <w:t xml:space="preserve"> </w:t>
      </w:r>
      <w:r w:rsidRPr="00465AA5">
        <w:rPr>
          <w:rFonts w:ascii="Arial" w:hAnsi="Arial" w:hint="eastAsia"/>
          <w:sz w:val="26"/>
          <w:rtl/>
        </w:rPr>
        <w:t>במתכונת</w:t>
      </w:r>
      <w:r w:rsidRPr="00465AA5">
        <w:rPr>
          <w:rFonts w:ascii="Arial" w:hAnsi="Arial"/>
          <w:sz w:val="26"/>
          <w:rtl/>
        </w:rPr>
        <w:t xml:space="preserve"> </w:t>
      </w:r>
      <w:r w:rsidRPr="00465AA5">
        <w:rPr>
          <w:rFonts w:ascii="Arial" w:hAnsi="Arial" w:hint="eastAsia"/>
          <w:sz w:val="26"/>
          <w:rtl/>
        </w:rPr>
        <w:t>דומה</w:t>
      </w:r>
      <w:r w:rsidRPr="00465AA5">
        <w:rPr>
          <w:rFonts w:ascii="Arial" w:hAnsi="Arial"/>
          <w:sz w:val="26"/>
          <w:rtl/>
        </w:rPr>
        <w:t xml:space="preserve"> </w:t>
      </w:r>
      <w:r w:rsidRPr="00465AA5">
        <w:rPr>
          <w:rFonts w:ascii="Arial" w:hAnsi="Arial" w:hint="eastAsia"/>
          <w:sz w:val="26"/>
          <w:rtl/>
        </w:rPr>
        <w:t>לגיוס</w:t>
      </w:r>
      <w:r w:rsidRPr="00465AA5">
        <w:rPr>
          <w:rFonts w:ascii="Arial" w:hAnsi="Arial"/>
          <w:sz w:val="26"/>
          <w:rtl/>
        </w:rPr>
        <w:t xml:space="preserve"> </w:t>
      </w:r>
      <w:r w:rsidRPr="00465AA5">
        <w:rPr>
          <w:rFonts w:ascii="Arial" w:hAnsi="Arial" w:hint="eastAsia"/>
          <w:sz w:val="26"/>
          <w:rtl/>
        </w:rPr>
        <w:t>אג</w:t>
      </w:r>
      <w:r w:rsidRPr="00465AA5">
        <w:rPr>
          <w:rFonts w:ascii="Arial" w:hAnsi="Arial"/>
          <w:sz w:val="26"/>
          <w:rtl/>
        </w:rPr>
        <w:t xml:space="preserve">"ח </w:t>
      </w:r>
      <w:r w:rsidRPr="00465AA5">
        <w:rPr>
          <w:rFonts w:ascii="Arial" w:hAnsi="Arial" w:hint="eastAsia"/>
          <w:sz w:val="26"/>
          <w:rtl/>
        </w:rPr>
        <w:t>קודם</w:t>
      </w:r>
      <w:r w:rsidRPr="00465AA5">
        <w:rPr>
          <w:rFonts w:ascii="Arial" w:hAnsi="Arial"/>
          <w:sz w:val="26"/>
          <w:rtl/>
        </w:rPr>
        <w:t xml:space="preserve"> </w:t>
      </w:r>
      <w:r w:rsidRPr="00465AA5">
        <w:rPr>
          <w:rFonts w:ascii="Arial" w:hAnsi="Arial" w:hint="eastAsia"/>
          <w:sz w:val="26"/>
          <w:rtl/>
        </w:rPr>
        <w:t>שביצעה</w:t>
      </w:r>
      <w:r w:rsidRPr="00465AA5">
        <w:rPr>
          <w:rFonts w:ascii="Arial" w:hAnsi="Arial"/>
          <w:sz w:val="26"/>
          <w:rtl/>
        </w:rPr>
        <w:t xml:space="preserve"> </w:t>
      </w:r>
      <w:r w:rsidRPr="00465AA5">
        <w:rPr>
          <w:rFonts w:ascii="Arial" w:hAnsi="Arial" w:hint="eastAsia"/>
          <w:sz w:val="26"/>
          <w:rtl/>
        </w:rPr>
        <w:t>החברה</w:t>
      </w:r>
      <w:r>
        <w:rPr>
          <w:rFonts w:ascii="Arial" w:hAnsi="Arial" w:hint="cs"/>
          <w:b/>
          <w:sz w:val="26"/>
          <w:rtl/>
        </w:rPr>
        <w:t xml:space="preserve">; </w:t>
      </w:r>
      <w:r w:rsidRPr="00465AA5">
        <w:rPr>
          <w:rFonts w:ascii="Arial" w:hAnsi="Arial" w:hint="eastAsia"/>
          <w:sz w:val="26"/>
          <w:rtl/>
        </w:rPr>
        <w:t>הקצאת</w:t>
      </w:r>
      <w:r w:rsidRPr="00465AA5">
        <w:rPr>
          <w:rFonts w:ascii="Arial" w:hAnsi="Arial"/>
          <w:sz w:val="26"/>
          <w:rtl/>
        </w:rPr>
        <w:t xml:space="preserve"> קרקע </w:t>
      </w:r>
      <w:r>
        <w:rPr>
          <w:rFonts w:ascii="Arial" w:hAnsi="Arial" w:hint="cs"/>
          <w:sz w:val="26"/>
          <w:rtl/>
        </w:rPr>
        <w:t>בבעלות</w:t>
      </w:r>
      <w:r w:rsidRPr="00465AA5">
        <w:rPr>
          <w:rFonts w:ascii="Arial" w:hAnsi="Arial"/>
          <w:sz w:val="26"/>
          <w:rtl/>
        </w:rPr>
        <w:t xml:space="preserve"> ר</w:t>
      </w:r>
      <w:r>
        <w:rPr>
          <w:rFonts w:ascii="Arial" w:hAnsi="Arial" w:hint="cs"/>
          <w:sz w:val="26"/>
          <w:rtl/>
        </w:rPr>
        <w:t>מ"י</w:t>
      </w:r>
      <w:r w:rsidRPr="00465AA5">
        <w:rPr>
          <w:rFonts w:ascii="Arial" w:hAnsi="Arial"/>
          <w:sz w:val="26"/>
          <w:rtl/>
        </w:rPr>
        <w:t xml:space="preserve"> לטובת הגדלת מלאי </w:t>
      </w:r>
      <w:r>
        <w:rPr>
          <w:rFonts w:ascii="Arial" w:hAnsi="Arial" w:hint="cs"/>
          <w:sz w:val="26"/>
          <w:rtl/>
        </w:rPr>
        <w:t>ה</w:t>
      </w:r>
      <w:r w:rsidRPr="00465AA5">
        <w:rPr>
          <w:rFonts w:ascii="Arial" w:hAnsi="Arial" w:hint="eastAsia"/>
          <w:sz w:val="26"/>
          <w:rtl/>
        </w:rPr>
        <w:t>דירות</w:t>
      </w:r>
      <w:r w:rsidRPr="00465AA5">
        <w:rPr>
          <w:rFonts w:ascii="Arial" w:hAnsi="Arial"/>
          <w:sz w:val="26"/>
          <w:rtl/>
        </w:rPr>
        <w:t xml:space="preserve"> </w:t>
      </w:r>
      <w:r w:rsidRPr="00465AA5">
        <w:rPr>
          <w:rFonts w:ascii="Arial" w:hAnsi="Arial" w:hint="eastAsia"/>
          <w:sz w:val="26"/>
          <w:rtl/>
        </w:rPr>
        <w:t>הציבורי</w:t>
      </w:r>
      <w:r>
        <w:rPr>
          <w:rFonts w:ascii="Arial" w:hAnsi="Arial" w:hint="cs"/>
          <w:sz w:val="26"/>
          <w:rtl/>
        </w:rPr>
        <w:t>ות</w:t>
      </w:r>
      <w:r>
        <w:rPr>
          <w:rFonts w:ascii="Arial" w:hAnsi="Arial" w:hint="cs"/>
          <w:b/>
          <w:sz w:val="26"/>
          <w:rtl/>
        </w:rPr>
        <w:t xml:space="preserve">; </w:t>
      </w:r>
      <w:r>
        <w:rPr>
          <w:rFonts w:ascii="Arial" w:hAnsi="Arial" w:hint="cs"/>
          <w:sz w:val="26"/>
          <w:rtl/>
        </w:rPr>
        <w:t xml:space="preserve">רכישת דירות </w:t>
      </w:r>
      <w:r w:rsidRPr="005E7774">
        <w:rPr>
          <w:rFonts w:ascii="Arial" w:hAnsi="Arial" w:hint="cs"/>
          <w:sz w:val="26"/>
          <w:rtl/>
        </w:rPr>
        <w:t xml:space="preserve">לבעלות זכאי דיור ציבורי, וזאת באמצעות מימון בנקאי </w:t>
      </w:r>
      <w:r>
        <w:rPr>
          <w:rFonts w:ascii="Arial" w:hAnsi="Arial" w:hint="cs"/>
          <w:sz w:val="26"/>
          <w:rtl/>
        </w:rPr>
        <w:t xml:space="preserve">הניתן לזכאי, </w:t>
      </w:r>
      <w:r w:rsidRPr="005E7774">
        <w:rPr>
          <w:rFonts w:ascii="Arial" w:hAnsi="Arial" w:hint="cs"/>
          <w:sz w:val="26"/>
          <w:rtl/>
        </w:rPr>
        <w:t xml:space="preserve">כאשר ההחזר מבוסס על </w:t>
      </w:r>
      <w:r>
        <w:rPr>
          <w:rFonts w:ascii="Arial" w:hAnsi="Arial" w:hint="cs"/>
          <w:sz w:val="26"/>
          <w:rtl/>
        </w:rPr>
        <w:t xml:space="preserve">סיוע כספי מטעם המדינה, </w:t>
      </w:r>
      <w:r w:rsidRPr="00766638">
        <w:rPr>
          <w:rFonts w:ascii="Arial" w:hAnsi="Arial"/>
          <w:sz w:val="26"/>
          <w:rtl/>
        </w:rPr>
        <w:t xml:space="preserve">השתתפות </w:t>
      </w:r>
      <w:r w:rsidRPr="005E7774">
        <w:rPr>
          <w:rFonts w:ascii="Arial" w:hAnsi="Arial"/>
          <w:sz w:val="26"/>
          <w:rtl/>
        </w:rPr>
        <w:t xml:space="preserve">עצמית </w:t>
      </w:r>
      <w:r w:rsidRPr="005E7774">
        <w:rPr>
          <w:rFonts w:ascii="Arial" w:hAnsi="Arial" w:hint="cs"/>
          <w:sz w:val="26"/>
          <w:rtl/>
        </w:rPr>
        <w:t>של הזכאי</w:t>
      </w:r>
      <w:r w:rsidRPr="00766638">
        <w:rPr>
          <w:rFonts w:ascii="Arial" w:hAnsi="Arial"/>
          <w:sz w:val="26"/>
          <w:rtl/>
        </w:rPr>
        <w:t xml:space="preserve"> </w:t>
      </w:r>
      <w:r w:rsidRPr="005E7774">
        <w:rPr>
          <w:rFonts w:ascii="Arial" w:hAnsi="Arial" w:hint="cs"/>
          <w:sz w:val="26"/>
          <w:rtl/>
        </w:rPr>
        <w:t>ו</w:t>
      </w:r>
      <w:r w:rsidRPr="00766638">
        <w:rPr>
          <w:rFonts w:ascii="Arial" w:hAnsi="Arial"/>
          <w:sz w:val="26"/>
          <w:rtl/>
        </w:rPr>
        <w:t xml:space="preserve">תקבולי </w:t>
      </w:r>
      <w:r>
        <w:rPr>
          <w:rFonts w:ascii="Arial" w:hAnsi="Arial" w:hint="cs"/>
          <w:sz w:val="26"/>
          <w:rtl/>
        </w:rPr>
        <w:t>ה</w:t>
      </w:r>
      <w:r w:rsidRPr="00766638">
        <w:rPr>
          <w:rFonts w:ascii="Arial" w:hAnsi="Arial"/>
          <w:sz w:val="26"/>
          <w:rtl/>
        </w:rPr>
        <w:t xml:space="preserve">קרן </w:t>
      </w:r>
      <w:r>
        <w:rPr>
          <w:rFonts w:ascii="Arial" w:hAnsi="Arial" w:hint="cs"/>
          <w:sz w:val="26"/>
          <w:rtl/>
        </w:rPr>
        <w:t>ל</w:t>
      </w:r>
      <w:r w:rsidRPr="00766638">
        <w:rPr>
          <w:rFonts w:ascii="Arial" w:hAnsi="Arial"/>
          <w:sz w:val="26"/>
          <w:rtl/>
        </w:rPr>
        <w:t>דיור ציבורי</w:t>
      </w:r>
      <w:r>
        <w:rPr>
          <w:rFonts w:ascii="Arial" w:hAnsi="Arial" w:hint="cs"/>
          <w:b/>
          <w:sz w:val="26"/>
          <w:rtl/>
        </w:rPr>
        <w:t xml:space="preserve">; מתן </w:t>
      </w:r>
      <w:r w:rsidRPr="00465AA5">
        <w:rPr>
          <w:rFonts w:ascii="Arial" w:hAnsi="Arial" w:hint="eastAsia"/>
          <w:sz w:val="26"/>
          <w:rtl/>
        </w:rPr>
        <w:t>תמריצים</w:t>
      </w:r>
      <w:r w:rsidRPr="00465AA5">
        <w:rPr>
          <w:rFonts w:ascii="Arial" w:hAnsi="Arial"/>
          <w:sz w:val="26"/>
          <w:rtl/>
        </w:rPr>
        <w:t xml:space="preserve"> </w:t>
      </w:r>
      <w:r w:rsidRPr="00465AA5">
        <w:rPr>
          <w:rFonts w:ascii="Arial" w:hAnsi="Arial" w:hint="eastAsia"/>
          <w:sz w:val="26"/>
          <w:rtl/>
        </w:rPr>
        <w:t>ל</w:t>
      </w:r>
      <w:r w:rsidRPr="00465AA5">
        <w:rPr>
          <w:rFonts w:ascii="Arial" w:hAnsi="Arial"/>
          <w:sz w:val="26"/>
          <w:rtl/>
        </w:rPr>
        <w:t xml:space="preserve">בניית דירות </w:t>
      </w:r>
      <w:r w:rsidRPr="00465AA5">
        <w:rPr>
          <w:rFonts w:ascii="Arial" w:hAnsi="Arial" w:hint="cs"/>
          <w:sz w:val="26"/>
          <w:rtl/>
        </w:rPr>
        <w:t>ציבורי</w:t>
      </w:r>
      <w:r>
        <w:rPr>
          <w:rFonts w:ascii="Arial" w:hAnsi="Arial" w:hint="cs"/>
          <w:sz w:val="26"/>
          <w:rtl/>
        </w:rPr>
        <w:t>ות</w:t>
      </w:r>
      <w:r w:rsidRPr="00465AA5">
        <w:rPr>
          <w:rFonts w:ascii="Arial" w:hAnsi="Arial" w:hint="cs"/>
          <w:sz w:val="26"/>
          <w:rtl/>
        </w:rPr>
        <w:t xml:space="preserve"> </w:t>
      </w:r>
      <w:r w:rsidRPr="00465AA5">
        <w:rPr>
          <w:rFonts w:ascii="Arial" w:hAnsi="Arial"/>
          <w:sz w:val="26"/>
          <w:rtl/>
        </w:rPr>
        <w:t>במסגרת בני</w:t>
      </w:r>
      <w:r>
        <w:rPr>
          <w:rFonts w:ascii="Arial" w:hAnsi="Arial" w:hint="cs"/>
          <w:sz w:val="26"/>
          <w:rtl/>
        </w:rPr>
        <w:t>י</w:t>
      </w:r>
      <w:r w:rsidRPr="00465AA5">
        <w:rPr>
          <w:rFonts w:ascii="Arial" w:hAnsi="Arial"/>
          <w:sz w:val="26"/>
          <w:rtl/>
        </w:rPr>
        <w:t>ה חדשה והתחדשות עירונית</w:t>
      </w:r>
      <w:r>
        <w:rPr>
          <w:rStyle w:val="FootnoteReference"/>
          <w:rFonts w:asciiTheme="minorHAnsi" w:hAnsiTheme="minorHAnsi"/>
          <w:sz w:val="24"/>
          <w:rtl/>
        </w:rPr>
        <w:footnoteReference w:id="23"/>
      </w:r>
      <w:r>
        <w:rPr>
          <w:rFonts w:ascii="Arial" w:hAnsi="Arial" w:hint="cs"/>
          <w:b/>
          <w:sz w:val="26"/>
          <w:rtl/>
        </w:rPr>
        <w:t xml:space="preserve">; </w:t>
      </w:r>
      <w:r w:rsidRPr="00465AA5">
        <w:rPr>
          <w:rFonts w:ascii="Arial" w:hAnsi="Arial" w:hint="eastAsia"/>
          <w:sz w:val="26"/>
          <w:rtl/>
        </w:rPr>
        <w:t>הקצאת</w:t>
      </w:r>
      <w:r w:rsidRPr="00465AA5">
        <w:rPr>
          <w:rFonts w:ascii="Arial" w:hAnsi="Arial"/>
          <w:sz w:val="26"/>
          <w:rtl/>
        </w:rPr>
        <w:t xml:space="preserve"> </w:t>
      </w:r>
      <w:r w:rsidRPr="00465AA5">
        <w:rPr>
          <w:rFonts w:ascii="Arial" w:hAnsi="Arial" w:hint="eastAsia"/>
          <w:sz w:val="26"/>
          <w:rtl/>
        </w:rPr>
        <w:t>חלק</w:t>
      </w:r>
      <w:r w:rsidRPr="00465AA5">
        <w:rPr>
          <w:rFonts w:ascii="Arial" w:hAnsi="Arial"/>
          <w:sz w:val="26"/>
          <w:rtl/>
        </w:rPr>
        <w:t xml:space="preserve"> </w:t>
      </w:r>
      <w:r w:rsidRPr="00465AA5">
        <w:rPr>
          <w:rFonts w:ascii="Arial" w:hAnsi="Arial" w:hint="eastAsia"/>
          <w:sz w:val="26"/>
          <w:rtl/>
        </w:rPr>
        <w:t>מהדירות</w:t>
      </w:r>
      <w:r w:rsidRPr="00465AA5">
        <w:rPr>
          <w:rFonts w:ascii="Arial" w:hAnsi="Arial"/>
          <w:sz w:val="26"/>
          <w:rtl/>
        </w:rPr>
        <w:t xml:space="preserve"> </w:t>
      </w:r>
      <w:r w:rsidRPr="00465AA5">
        <w:rPr>
          <w:rFonts w:ascii="Arial" w:hAnsi="Arial" w:hint="eastAsia"/>
          <w:sz w:val="26"/>
          <w:rtl/>
        </w:rPr>
        <w:t>המשווקות</w:t>
      </w:r>
      <w:r w:rsidRPr="00465AA5">
        <w:rPr>
          <w:rFonts w:ascii="Arial" w:hAnsi="Arial" w:hint="cs"/>
          <w:sz w:val="26"/>
          <w:rtl/>
        </w:rPr>
        <w:t xml:space="preserve"> במסגרת מכרזי "מחיר למשתכן"</w:t>
      </w:r>
      <w:r w:rsidRPr="005E7774">
        <w:rPr>
          <w:rFonts w:ascii="Arial" w:hAnsi="Arial" w:hint="cs"/>
          <w:sz w:val="26"/>
          <w:rtl/>
        </w:rPr>
        <w:t xml:space="preserve"> לטובת </w:t>
      </w:r>
      <w:r>
        <w:rPr>
          <w:rFonts w:ascii="Arial" w:hAnsi="Arial" w:hint="cs"/>
          <w:sz w:val="26"/>
          <w:rtl/>
        </w:rPr>
        <w:t>ה</w:t>
      </w:r>
      <w:r w:rsidRPr="005E7774">
        <w:rPr>
          <w:rFonts w:ascii="Arial" w:hAnsi="Arial" w:hint="cs"/>
          <w:sz w:val="26"/>
          <w:rtl/>
        </w:rPr>
        <w:t xml:space="preserve">דיור </w:t>
      </w:r>
      <w:r>
        <w:rPr>
          <w:rFonts w:ascii="Arial" w:hAnsi="Arial" w:hint="cs"/>
          <w:sz w:val="26"/>
          <w:rtl/>
        </w:rPr>
        <w:t>ה</w:t>
      </w:r>
      <w:r w:rsidRPr="005E7774">
        <w:rPr>
          <w:rFonts w:ascii="Arial" w:hAnsi="Arial" w:hint="cs"/>
          <w:sz w:val="26"/>
          <w:rtl/>
        </w:rPr>
        <w:t>ציבורי</w:t>
      </w:r>
      <w:r w:rsidRPr="00766638">
        <w:rPr>
          <w:rFonts w:ascii="Arial" w:hAnsi="Arial"/>
          <w:sz w:val="26"/>
          <w:rtl/>
        </w:rPr>
        <w:t>.</w:t>
      </w:r>
      <w:r>
        <w:rPr>
          <w:rFonts w:ascii="Arial" w:hAnsi="Arial" w:hint="cs"/>
          <w:sz w:val="26"/>
          <w:rtl/>
        </w:rPr>
        <w:t xml:space="preserve"> </w:t>
      </w:r>
      <w:r>
        <w:rPr>
          <w:rFonts w:hint="cs"/>
          <w:rtl/>
        </w:rPr>
        <w:t xml:space="preserve">בהחלטה נקבע כי </w:t>
      </w:r>
      <w:r w:rsidRPr="00B73371">
        <w:rPr>
          <w:rtl/>
        </w:rPr>
        <w:t xml:space="preserve">הצוות יגיש </w:t>
      </w:r>
      <w:r>
        <w:rPr>
          <w:rFonts w:hint="cs"/>
          <w:rtl/>
        </w:rPr>
        <w:t xml:space="preserve">את </w:t>
      </w:r>
      <w:r w:rsidRPr="00B73371">
        <w:rPr>
          <w:rtl/>
        </w:rPr>
        <w:t>המלצותיו לאישור הממשלה בתוך 60 ימים</w:t>
      </w:r>
      <w:r>
        <w:rPr>
          <w:rFonts w:hint="cs"/>
          <w:rtl/>
        </w:rPr>
        <w:t>.</w:t>
      </w:r>
    </w:p>
    <w:p w14:paraId="5A64A20F" w14:textId="77777777" w:rsidR="00C218DA" w:rsidRDefault="00C218DA" w:rsidP="00741781">
      <w:pPr>
        <w:pStyle w:val="af5"/>
        <w:rPr>
          <w:rtl/>
        </w:rPr>
      </w:pPr>
      <w:r w:rsidRPr="00407588">
        <w:rPr>
          <w:rFonts w:hint="cs"/>
          <w:rtl/>
        </w:rPr>
        <w:t>נמצא כי הצוות הבין-משרדי לא הגיש המלצ</w:t>
      </w:r>
      <w:r>
        <w:rPr>
          <w:rFonts w:hint="cs"/>
          <w:rtl/>
        </w:rPr>
        <w:t>ו</w:t>
      </w:r>
      <w:r w:rsidRPr="00407588">
        <w:rPr>
          <w:rFonts w:hint="cs"/>
          <w:rtl/>
        </w:rPr>
        <w:t xml:space="preserve">ת לממשלה </w:t>
      </w:r>
      <w:r>
        <w:rPr>
          <w:rFonts w:hint="cs"/>
          <w:rtl/>
        </w:rPr>
        <w:t>ל</w:t>
      </w:r>
      <w:r w:rsidRPr="00407588">
        <w:rPr>
          <w:rFonts w:hint="cs"/>
          <w:rtl/>
        </w:rPr>
        <w:t>תוכנית פעולה להגדלת</w:t>
      </w:r>
      <w:r w:rsidRPr="00407588">
        <w:t xml:space="preserve"> </w:t>
      </w:r>
      <w:r w:rsidRPr="00407588">
        <w:rPr>
          <w:rFonts w:hint="cs"/>
          <w:rtl/>
        </w:rPr>
        <w:t>מלאי</w:t>
      </w:r>
      <w:r w:rsidRPr="00407588">
        <w:t xml:space="preserve"> </w:t>
      </w:r>
      <w:r w:rsidRPr="00407588">
        <w:rPr>
          <w:rFonts w:hint="cs"/>
          <w:rtl/>
        </w:rPr>
        <w:t>הדירות</w:t>
      </w:r>
      <w:r>
        <w:rPr>
          <w:rtl/>
        </w:rPr>
        <w:t xml:space="preserve"> </w:t>
      </w:r>
      <w:r w:rsidRPr="00407588">
        <w:rPr>
          <w:rFonts w:hint="cs"/>
          <w:rtl/>
        </w:rPr>
        <w:t>הציבורי</w:t>
      </w:r>
      <w:r>
        <w:rPr>
          <w:rFonts w:hint="cs"/>
          <w:rtl/>
        </w:rPr>
        <w:t>ות</w:t>
      </w:r>
      <w:r w:rsidRPr="00407588">
        <w:rPr>
          <w:rFonts w:hint="cs"/>
          <w:rtl/>
        </w:rPr>
        <w:t xml:space="preserve">, </w:t>
      </w:r>
      <w:r>
        <w:rPr>
          <w:rFonts w:hint="cs"/>
          <w:rtl/>
        </w:rPr>
        <w:t>מפני</w:t>
      </w:r>
      <w:r w:rsidRPr="00407588">
        <w:rPr>
          <w:rFonts w:hint="cs"/>
          <w:rtl/>
        </w:rPr>
        <w:t xml:space="preserve"> </w:t>
      </w:r>
      <w:r>
        <w:rPr>
          <w:rFonts w:hint="cs"/>
          <w:rtl/>
        </w:rPr>
        <w:t xml:space="preserve">שבין </w:t>
      </w:r>
      <w:r w:rsidRPr="00407588">
        <w:rPr>
          <w:rFonts w:hint="cs"/>
          <w:rtl/>
        </w:rPr>
        <w:t xml:space="preserve">חברי הצוות </w:t>
      </w:r>
      <w:r>
        <w:rPr>
          <w:rFonts w:hint="cs"/>
          <w:rtl/>
        </w:rPr>
        <w:t xml:space="preserve">התגלעו מחלוקות רבות והם </w:t>
      </w:r>
      <w:r w:rsidRPr="00407588">
        <w:rPr>
          <w:rFonts w:hint="cs"/>
          <w:rtl/>
        </w:rPr>
        <w:t xml:space="preserve">לא הגיעו להסכמות </w:t>
      </w:r>
      <w:r>
        <w:rPr>
          <w:rFonts w:hint="cs"/>
          <w:rtl/>
        </w:rPr>
        <w:t>בנושא</w:t>
      </w:r>
      <w:r w:rsidRPr="00407588">
        <w:rPr>
          <w:rFonts w:hint="cs"/>
          <w:rtl/>
        </w:rPr>
        <w:t>.</w:t>
      </w:r>
      <w:r>
        <w:rPr>
          <w:rFonts w:hint="cs"/>
          <w:rtl/>
        </w:rPr>
        <w:t xml:space="preserve"> להלן הפירוט.</w:t>
      </w:r>
      <w:r w:rsidRPr="00407588">
        <w:rPr>
          <w:rFonts w:hint="cs"/>
          <w:rtl/>
        </w:rPr>
        <w:t xml:space="preserve"> </w:t>
      </w:r>
    </w:p>
    <w:p w14:paraId="5090C7EC" w14:textId="77777777" w:rsidR="00C218DA" w:rsidRDefault="00C218DA" w:rsidP="00741781">
      <w:pPr>
        <w:pStyle w:val="100"/>
        <w:rPr>
          <w:rtl/>
        </w:rPr>
      </w:pPr>
      <w:r>
        <w:rPr>
          <w:rFonts w:hint="cs"/>
          <w:rtl/>
        </w:rPr>
        <w:t>הצוות קיים תשע ישיבות, שבהן נדונו מגוון נושאים שפורטו בהחלטת הממשלה וכן נושאים אחרים, כמו הוספת הפתרון של שכירות ארוכת טווח לסל הפתרונות שמציעה המדינה לזכאים לסיוע בדיור</w:t>
      </w:r>
      <w:r>
        <w:rPr>
          <w:rStyle w:val="FootnoteReference"/>
          <w:rtl/>
        </w:rPr>
        <w:footnoteReference w:id="24"/>
      </w:r>
      <w:r>
        <w:rPr>
          <w:rFonts w:hint="cs"/>
          <w:rtl/>
        </w:rPr>
        <w:t xml:space="preserve">; </w:t>
      </w:r>
      <w:r>
        <w:rPr>
          <w:rtl/>
        </w:rPr>
        <w:t>הצורך</w:t>
      </w:r>
      <w:r>
        <w:rPr>
          <w:rFonts w:hint="cs"/>
          <w:rtl/>
        </w:rPr>
        <w:t xml:space="preserve"> </w:t>
      </w:r>
      <w:r>
        <w:rPr>
          <w:rtl/>
        </w:rPr>
        <w:t xml:space="preserve">במיפוי שנתי מתחדש של </w:t>
      </w:r>
      <w:r>
        <w:rPr>
          <w:rFonts w:hint="cs"/>
          <w:rtl/>
        </w:rPr>
        <w:t>ה</w:t>
      </w:r>
      <w:r>
        <w:rPr>
          <w:rtl/>
        </w:rPr>
        <w:t>נכסי</w:t>
      </w:r>
      <w:r>
        <w:rPr>
          <w:rFonts w:hint="cs"/>
          <w:rtl/>
        </w:rPr>
        <w:t>ם</w:t>
      </w:r>
      <w:r>
        <w:rPr>
          <w:rtl/>
        </w:rPr>
        <w:t xml:space="preserve"> </w:t>
      </w:r>
      <w:r>
        <w:rPr>
          <w:rFonts w:hint="cs"/>
          <w:rtl/>
        </w:rPr>
        <w:t>כדי</w:t>
      </w:r>
      <w:r>
        <w:rPr>
          <w:rtl/>
        </w:rPr>
        <w:t xml:space="preserve"> </w:t>
      </w:r>
      <w:r>
        <w:rPr>
          <w:rFonts w:hint="cs"/>
          <w:rtl/>
        </w:rPr>
        <w:t>ל</w:t>
      </w:r>
      <w:r>
        <w:rPr>
          <w:rtl/>
        </w:rPr>
        <w:t>את</w:t>
      </w:r>
      <w:r>
        <w:rPr>
          <w:rFonts w:hint="cs"/>
          <w:rtl/>
        </w:rPr>
        <w:t>ר</w:t>
      </w:r>
      <w:r>
        <w:rPr>
          <w:rtl/>
        </w:rPr>
        <w:t xml:space="preserve"> דירות </w:t>
      </w:r>
      <w:r>
        <w:rPr>
          <w:rFonts w:hint="cs"/>
          <w:rtl/>
        </w:rPr>
        <w:t xml:space="preserve">ציבוריות </w:t>
      </w:r>
      <w:r>
        <w:rPr>
          <w:rtl/>
        </w:rPr>
        <w:t xml:space="preserve">פוטנציאליות </w:t>
      </w:r>
      <w:r>
        <w:rPr>
          <w:rFonts w:hint="cs"/>
          <w:rtl/>
        </w:rPr>
        <w:t>ולהעבירן</w:t>
      </w:r>
      <w:r>
        <w:rPr>
          <w:rtl/>
        </w:rPr>
        <w:t xml:space="preserve"> לזכאי</w:t>
      </w:r>
      <w:r>
        <w:rPr>
          <w:rFonts w:hint="cs"/>
          <w:rtl/>
        </w:rPr>
        <w:t>ם,</w:t>
      </w:r>
      <w:r>
        <w:rPr>
          <w:rtl/>
        </w:rPr>
        <w:t xml:space="preserve"> וה</w:t>
      </w:r>
      <w:r>
        <w:rPr>
          <w:rFonts w:hint="cs"/>
          <w:rtl/>
        </w:rPr>
        <w:t xml:space="preserve">צורך בבחינת </w:t>
      </w:r>
      <w:r>
        <w:rPr>
          <w:rtl/>
        </w:rPr>
        <w:t xml:space="preserve">השימוש הנוכחי </w:t>
      </w:r>
      <w:r>
        <w:rPr>
          <w:rFonts w:hint="cs"/>
          <w:rtl/>
        </w:rPr>
        <w:t>בדירות הציבוריות כדי</w:t>
      </w:r>
      <w:r>
        <w:rPr>
          <w:rtl/>
        </w:rPr>
        <w:t xml:space="preserve"> ל</w:t>
      </w:r>
      <w:r>
        <w:rPr>
          <w:rFonts w:hint="cs"/>
          <w:rtl/>
        </w:rPr>
        <w:t>הבטיח ניצול</w:t>
      </w:r>
      <w:r>
        <w:rPr>
          <w:rtl/>
        </w:rPr>
        <w:t xml:space="preserve"> מיטבי של מלאי הדירות</w:t>
      </w:r>
      <w:r>
        <w:rPr>
          <w:rFonts w:hint="cs"/>
          <w:rtl/>
        </w:rPr>
        <w:t>.</w:t>
      </w:r>
    </w:p>
    <w:p w14:paraId="424856E2" w14:textId="42471008" w:rsidR="00C218DA" w:rsidRDefault="00C218DA" w:rsidP="00576B92">
      <w:pPr>
        <w:pStyle w:val="100"/>
      </w:pPr>
      <w:r>
        <w:rPr>
          <w:rFonts w:hint="cs"/>
          <w:rtl/>
        </w:rPr>
        <w:t xml:space="preserve">חברי הצוות הבין-משרדי </w:t>
      </w:r>
      <w:r w:rsidRPr="00384B28">
        <w:rPr>
          <w:rFonts w:hint="cs"/>
          <w:rtl/>
        </w:rPr>
        <w:t xml:space="preserve">העלו גישות שונות </w:t>
      </w:r>
      <w:r>
        <w:rPr>
          <w:rFonts w:hint="cs"/>
          <w:rtl/>
        </w:rPr>
        <w:t>בנוגע</w:t>
      </w:r>
      <w:r w:rsidRPr="00384B28">
        <w:rPr>
          <w:rFonts w:hint="cs"/>
          <w:rtl/>
        </w:rPr>
        <w:t xml:space="preserve"> </w:t>
      </w:r>
      <w:r>
        <w:rPr>
          <w:rFonts w:hint="cs"/>
          <w:rtl/>
        </w:rPr>
        <w:t>ל</w:t>
      </w:r>
      <w:r w:rsidRPr="00384B28">
        <w:rPr>
          <w:rFonts w:hint="cs"/>
          <w:rtl/>
        </w:rPr>
        <w:t xml:space="preserve">דרכי הפעולה המיטביות לסיוע לאוכלוסייה החלשה בחברה בתחום הדיור. </w:t>
      </w:r>
      <w:r>
        <w:rPr>
          <w:rFonts w:hint="cs"/>
          <w:rtl/>
        </w:rPr>
        <w:t xml:space="preserve">נציגי </w:t>
      </w:r>
      <w:r w:rsidRPr="00384B28">
        <w:rPr>
          <w:rFonts w:hint="cs"/>
          <w:rtl/>
        </w:rPr>
        <w:t xml:space="preserve">משרד </w:t>
      </w:r>
      <w:r>
        <w:rPr>
          <w:rFonts w:hint="cs"/>
          <w:rtl/>
        </w:rPr>
        <w:t>הבינוי</w:t>
      </w:r>
      <w:r w:rsidRPr="00384B28">
        <w:rPr>
          <w:rFonts w:hint="cs"/>
          <w:rtl/>
        </w:rPr>
        <w:t xml:space="preserve"> תמ</w:t>
      </w:r>
      <w:r>
        <w:rPr>
          <w:rFonts w:hint="cs"/>
          <w:rtl/>
        </w:rPr>
        <w:t>כו</w:t>
      </w:r>
      <w:r w:rsidRPr="00384B28">
        <w:rPr>
          <w:rFonts w:hint="cs"/>
          <w:rtl/>
        </w:rPr>
        <w:t xml:space="preserve"> </w:t>
      </w:r>
      <w:r>
        <w:rPr>
          <w:rFonts w:hint="cs"/>
          <w:rtl/>
        </w:rPr>
        <w:t xml:space="preserve">בהמלצות שבבסיסן </w:t>
      </w:r>
      <w:r w:rsidRPr="00384B28">
        <w:rPr>
          <w:rFonts w:hint="cs"/>
          <w:rtl/>
        </w:rPr>
        <w:lastRenderedPageBreak/>
        <w:t>הגדלת מלאי הדירות הציבורי</w:t>
      </w:r>
      <w:r>
        <w:rPr>
          <w:rFonts w:hint="cs"/>
          <w:rtl/>
        </w:rPr>
        <w:t>ות</w:t>
      </w:r>
      <w:r w:rsidRPr="00384B28">
        <w:rPr>
          <w:rFonts w:hint="cs"/>
          <w:rtl/>
        </w:rPr>
        <w:t xml:space="preserve">, </w:t>
      </w:r>
      <w:r>
        <w:rPr>
          <w:rFonts w:hint="cs"/>
          <w:rtl/>
        </w:rPr>
        <w:t xml:space="preserve">אך עמדת נציגי </w:t>
      </w:r>
      <w:r w:rsidRPr="00384B28">
        <w:rPr>
          <w:rFonts w:hint="cs"/>
          <w:rtl/>
        </w:rPr>
        <w:t xml:space="preserve">משרד האוצר </w:t>
      </w:r>
      <w:r>
        <w:rPr>
          <w:rFonts w:hint="cs"/>
          <w:rtl/>
        </w:rPr>
        <w:t>הייתה ש</w:t>
      </w:r>
      <w:r w:rsidRPr="00384B28">
        <w:rPr>
          <w:rFonts w:hint="cs"/>
          <w:rtl/>
        </w:rPr>
        <w:t xml:space="preserve">יש </w:t>
      </w:r>
      <w:r>
        <w:rPr>
          <w:rFonts w:hint="cs"/>
          <w:rtl/>
        </w:rPr>
        <w:t>להפסיק לרכוש דירות למאגר הדיור הציבורי ותחת זאת לסייע לזכאים בדרך של מודל השכרה לטווח ארוך</w:t>
      </w:r>
      <w:r w:rsidRPr="00384B28">
        <w:rPr>
          <w:rFonts w:hint="cs"/>
          <w:rtl/>
        </w:rPr>
        <w:t xml:space="preserve">. </w:t>
      </w:r>
      <w:r>
        <w:rPr>
          <w:rFonts w:hint="cs"/>
          <w:rtl/>
        </w:rPr>
        <w:t xml:space="preserve">נציגי </w:t>
      </w:r>
      <w:r w:rsidRPr="007E2C0D">
        <w:rPr>
          <w:rtl/>
        </w:rPr>
        <w:t xml:space="preserve">המועצה הלאומית לכלכלה </w:t>
      </w:r>
      <w:r>
        <w:rPr>
          <w:rFonts w:hint="cs"/>
          <w:rtl/>
        </w:rPr>
        <w:t xml:space="preserve">הציגו נתונים </w:t>
      </w:r>
      <w:r w:rsidRPr="007E2C0D">
        <w:rPr>
          <w:rtl/>
        </w:rPr>
        <w:t>בנושא הגדלת מלאי הדיור הציבורי ושימורו</w:t>
      </w:r>
      <w:r>
        <w:rPr>
          <w:rFonts w:hint="cs"/>
          <w:rtl/>
        </w:rPr>
        <w:t xml:space="preserve">. על בסיס הנתונים הייתה עמדת המועצה כי הגדלת </w:t>
      </w:r>
      <w:r>
        <w:rPr>
          <w:rtl/>
        </w:rPr>
        <w:t>הסיוע לשכירת דירה, שלא התעדכ</w:t>
      </w:r>
      <w:r>
        <w:rPr>
          <w:rFonts w:hint="cs"/>
          <w:rtl/>
        </w:rPr>
        <w:t>ן</w:t>
      </w:r>
      <w:r>
        <w:rPr>
          <w:rtl/>
        </w:rPr>
        <w:t xml:space="preserve"> בשנים האחרונות, עדיפה</w:t>
      </w:r>
      <w:r>
        <w:rPr>
          <w:rFonts w:hint="cs"/>
          <w:rtl/>
        </w:rPr>
        <w:t xml:space="preserve"> </w:t>
      </w:r>
      <w:r>
        <w:rPr>
          <w:rtl/>
        </w:rPr>
        <w:t>על פני רכישת דירה, הן לזכאים הן לאוצר המדינה</w:t>
      </w:r>
      <w:r>
        <w:rPr>
          <w:rFonts w:hint="cs"/>
          <w:rtl/>
        </w:rPr>
        <w:t>, זאת בנוגע ל</w:t>
      </w:r>
      <w:r>
        <w:rPr>
          <w:rtl/>
        </w:rPr>
        <w:t>אוכלוסיות בעלות פוטנציאל תעסוקה</w:t>
      </w:r>
      <w:r>
        <w:rPr>
          <w:rFonts w:hint="cs"/>
          <w:rtl/>
        </w:rPr>
        <w:t>. ואילו בנוגע</w:t>
      </w:r>
      <w:r>
        <w:rPr>
          <w:rtl/>
        </w:rPr>
        <w:t xml:space="preserve"> </w:t>
      </w:r>
      <w:r>
        <w:rPr>
          <w:rFonts w:hint="cs"/>
          <w:rtl/>
        </w:rPr>
        <w:t>ל</w:t>
      </w:r>
      <w:r>
        <w:rPr>
          <w:rtl/>
        </w:rPr>
        <w:t>אוכלוסיות חלשות במיוחד</w:t>
      </w:r>
      <w:r>
        <w:rPr>
          <w:rFonts w:hint="cs"/>
          <w:rtl/>
        </w:rPr>
        <w:t>,</w:t>
      </w:r>
      <w:r>
        <w:rPr>
          <w:rtl/>
        </w:rPr>
        <w:t xml:space="preserve"> </w:t>
      </w:r>
      <w:r>
        <w:rPr>
          <w:rFonts w:hint="cs"/>
          <w:rtl/>
        </w:rPr>
        <w:t>הציעה המועצה</w:t>
      </w:r>
      <w:r>
        <w:rPr>
          <w:rtl/>
        </w:rPr>
        <w:t xml:space="preserve"> לבחון רכישת דירה ציבורית ושיכונ</w:t>
      </w:r>
      <w:r>
        <w:rPr>
          <w:rFonts w:hint="cs"/>
          <w:rtl/>
        </w:rPr>
        <w:t>ן</w:t>
      </w:r>
      <w:r>
        <w:rPr>
          <w:rtl/>
        </w:rPr>
        <w:t xml:space="preserve"> בה או</w:t>
      </w:r>
      <w:r>
        <w:rPr>
          <w:rFonts w:hint="cs"/>
          <w:rtl/>
        </w:rPr>
        <w:t xml:space="preserve"> </w:t>
      </w:r>
      <w:r>
        <w:rPr>
          <w:rtl/>
        </w:rPr>
        <w:t>סיוע בהשגת שכירות ארוכת טווח.</w:t>
      </w:r>
    </w:p>
    <w:p w14:paraId="06523397" w14:textId="74C72725" w:rsidR="00C218DA" w:rsidRDefault="00C218DA" w:rsidP="00576B92">
      <w:pPr>
        <w:pStyle w:val="100"/>
        <w:rPr>
          <w:rtl/>
        </w:rPr>
      </w:pPr>
      <w:r>
        <w:rPr>
          <w:rFonts w:hint="cs"/>
          <w:rtl/>
        </w:rPr>
        <w:t xml:space="preserve">לעניין גיוס כ-900 מיליון ש"ח באמצעות הנפקת אג"ח על ידי עמידר לטובת רכישת דירות ציבוריות, נוסף על הגיוס שביצעה החברה בשנת 2018 - משרד הבינוי תמך במהלך, אולם נציגי משרד האוצר התנגדו בטענה שיש סטנדרטים בין-לאומיים לניהול החוב הלאומי, ושגיוס החוב במסגרת הנפקת האג"ח עלול לפגוע בדירוג האשראי של המדינה ובאמינות הפיסקלית שלה. כמו כן, לטענתם גיוס חוב כאמור פוגע ביכולת המדינה לנהל את החוב הלאומי בהתאם לצרכים ולסיכונים הפיננסיים והמקרו-כלכליים השונים, והדבר אינו עולה בקנה אחד עם הוראות הדין. הם גם טענו כי הגיוס באמצעות הנפקת אג"ח על ידי עמידר יקר יותר מגיוס אג"ח מדינה. </w:t>
      </w:r>
    </w:p>
    <w:p w14:paraId="1A91D2F1" w14:textId="77777777" w:rsidR="00C218DA" w:rsidRPr="007B1AAE" w:rsidRDefault="00C218DA" w:rsidP="00576B92">
      <w:pPr>
        <w:pStyle w:val="100"/>
        <w:rPr>
          <w:rtl/>
        </w:rPr>
      </w:pPr>
      <w:r>
        <w:rPr>
          <w:rFonts w:hint="cs"/>
          <w:rtl/>
        </w:rPr>
        <w:t>ל</w:t>
      </w:r>
      <w:r w:rsidRPr="00D71252">
        <w:rPr>
          <w:rtl/>
        </w:rPr>
        <w:t xml:space="preserve">עניין רכישת דירות </w:t>
      </w:r>
      <w:r>
        <w:rPr>
          <w:rFonts w:hint="cs"/>
          <w:rtl/>
        </w:rPr>
        <w:t>שיהיו</w:t>
      </w:r>
      <w:r w:rsidRPr="00D71252">
        <w:rPr>
          <w:rtl/>
        </w:rPr>
        <w:t xml:space="preserve"> בבעלות זכאי </w:t>
      </w:r>
      <w:r>
        <w:rPr>
          <w:rFonts w:hint="cs"/>
          <w:rtl/>
        </w:rPr>
        <w:t>ה</w:t>
      </w:r>
      <w:r w:rsidRPr="00D71252">
        <w:rPr>
          <w:rtl/>
        </w:rPr>
        <w:t xml:space="preserve">דיור </w:t>
      </w:r>
      <w:r>
        <w:rPr>
          <w:rFonts w:hint="cs"/>
          <w:rtl/>
        </w:rPr>
        <w:t>ה</w:t>
      </w:r>
      <w:r w:rsidRPr="00D71252">
        <w:rPr>
          <w:rtl/>
        </w:rPr>
        <w:t xml:space="preserve">ציבורי באמצעות מימון בנקאי לזכאים על בסיס החזר מימון </w:t>
      </w:r>
      <w:r>
        <w:rPr>
          <w:rFonts w:hint="cs"/>
          <w:rtl/>
        </w:rPr>
        <w:t xml:space="preserve">כאמור לעיל </w:t>
      </w:r>
      <w:r w:rsidRPr="00D71252">
        <w:rPr>
          <w:rtl/>
        </w:rPr>
        <w:t>- התגלעו חילוקי דעות בין נציגי משרד הבינוי</w:t>
      </w:r>
      <w:r>
        <w:rPr>
          <w:rFonts w:hint="cs"/>
          <w:rtl/>
        </w:rPr>
        <w:t>,</w:t>
      </w:r>
      <w:r w:rsidRPr="00D71252">
        <w:rPr>
          <w:rtl/>
        </w:rPr>
        <w:t xml:space="preserve"> </w:t>
      </w:r>
      <w:r>
        <w:rPr>
          <w:rFonts w:hint="cs"/>
          <w:rtl/>
        </w:rPr>
        <w:t>ש</w:t>
      </w:r>
      <w:r w:rsidRPr="00D71252">
        <w:rPr>
          <w:rtl/>
        </w:rPr>
        <w:t>תמכו במהלך הרכישה</w:t>
      </w:r>
      <w:r>
        <w:rPr>
          <w:rFonts w:hint="cs"/>
          <w:rtl/>
        </w:rPr>
        <w:t xml:space="preserve">, </w:t>
      </w:r>
      <w:r w:rsidRPr="00D71252">
        <w:rPr>
          <w:rtl/>
        </w:rPr>
        <w:t>לבין נציגי משרד האוצר</w:t>
      </w:r>
      <w:r>
        <w:rPr>
          <w:rFonts w:hint="cs"/>
          <w:rtl/>
        </w:rPr>
        <w:t>,</w:t>
      </w:r>
      <w:r w:rsidRPr="00D71252">
        <w:rPr>
          <w:rtl/>
        </w:rPr>
        <w:t xml:space="preserve"> </w:t>
      </w:r>
      <w:r>
        <w:rPr>
          <w:rFonts w:hint="cs"/>
          <w:rtl/>
        </w:rPr>
        <w:t>ש</w:t>
      </w:r>
      <w:r w:rsidRPr="00D71252">
        <w:rPr>
          <w:rtl/>
        </w:rPr>
        <w:t>התנגדו לו.</w:t>
      </w:r>
    </w:p>
    <w:p w14:paraId="6FE42FDB" w14:textId="77777777" w:rsidR="00C218DA" w:rsidRDefault="00C218DA" w:rsidP="00576B92">
      <w:pPr>
        <w:pStyle w:val="100"/>
        <w:rPr>
          <w:rtl/>
        </w:rPr>
      </w:pPr>
      <w:r>
        <w:rPr>
          <w:rFonts w:hint="cs"/>
          <w:rtl/>
        </w:rPr>
        <w:t xml:space="preserve">נושא נוסף שבו דן הצוות היה מכירת הדירות הציבוריות לדיירים לפי </w:t>
      </w:r>
      <w:r w:rsidRPr="005F5566">
        <w:rPr>
          <w:rtl/>
        </w:rPr>
        <w:t xml:space="preserve">חוק </w:t>
      </w:r>
      <w:r>
        <w:rPr>
          <w:rFonts w:hint="cs"/>
          <w:rtl/>
        </w:rPr>
        <w:t>הדיור הציבורי, וגם לגביו התגלעו חילוקי דעות בין חברי הצוות. נציג אגף תקציבים סבר כי יש לבטל את חוק הדיור הציבורי, בדומה לעמדת ועדת טרכטנברג ולעמדת בנק ישראל, שסבר שיש לשקול להפסיק את מכירת הדירות במתכונתה הנוכחית נוכח העלות הגבוהה של הסובסידיה לעומת התועלות האפשריות של המכירה, שטרם נבחנו</w:t>
      </w:r>
      <w:r>
        <w:rPr>
          <w:rStyle w:val="FootnoteReference"/>
          <w:rtl/>
        </w:rPr>
        <w:footnoteReference w:id="25"/>
      </w:r>
      <w:r>
        <w:rPr>
          <w:rFonts w:hint="cs"/>
          <w:rtl/>
        </w:rPr>
        <w:t xml:space="preserve">. מנגד, יו"ר הצוות סבר כי נוכח הארכת תוקפו של החוק בחמש שנים נוספות בשנת 2018 </w:t>
      </w:r>
      <w:r w:rsidRPr="00AC1E48">
        <w:rPr>
          <w:rFonts w:hint="cs"/>
          <w:rtl/>
        </w:rPr>
        <w:t>ולאור</w:t>
      </w:r>
      <w:r>
        <w:rPr>
          <w:rFonts w:hint="cs"/>
          <w:rtl/>
        </w:rPr>
        <w:t xml:space="preserve"> ח</w:t>
      </w:r>
      <w:r w:rsidRPr="00AC1E48">
        <w:rPr>
          <w:rFonts w:hint="cs"/>
          <w:rtl/>
        </w:rPr>
        <w:t>שיבות</w:t>
      </w:r>
      <w:r>
        <w:rPr>
          <w:rFonts w:hint="cs"/>
          <w:rtl/>
        </w:rPr>
        <w:t xml:space="preserve"> החוק </w:t>
      </w:r>
      <w:r w:rsidRPr="00AC1E48">
        <w:rPr>
          <w:rFonts w:hint="cs"/>
          <w:rtl/>
        </w:rPr>
        <w:t>במתן</w:t>
      </w:r>
      <w:r>
        <w:rPr>
          <w:rFonts w:hint="cs"/>
          <w:rtl/>
        </w:rPr>
        <w:t xml:space="preserve"> </w:t>
      </w:r>
      <w:r w:rsidRPr="00AC1E48">
        <w:rPr>
          <w:rFonts w:hint="cs"/>
          <w:rtl/>
        </w:rPr>
        <w:t>אפשרות</w:t>
      </w:r>
      <w:r>
        <w:rPr>
          <w:rFonts w:hint="cs"/>
          <w:rtl/>
        </w:rPr>
        <w:t xml:space="preserve"> </w:t>
      </w:r>
      <w:r w:rsidRPr="00AC1E48">
        <w:rPr>
          <w:rFonts w:hint="cs"/>
          <w:rtl/>
        </w:rPr>
        <w:t>למוביליות</w:t>
      </w:r>
      <w:r>
        <w:rPr>
          <w:rFonts w:hint="cs"/>
          <w:rtl/>
        </w:rPr>
        <w:t xml:space="preserve"> </w:t>
      </w:r>
      <w:r w:rsidRPr="00AC1E48">
        <w:rPr>
          <w:rFonts w:hint="cs"/>
          <w:rtl/>
        </w:rPr>
        <w:t>חברתית</w:t>
      </w:r>
      <w:r>
        <w:rPr>
          <w:rFonts w:hint="cs"/>
          <w:rtl/>
        </w:rPr>
        <w:t xml:space="preserve"> </w:t>
      </w:r>
      <w:r w:rsidRPr="00AC1E48">
        <w:rPr>
          <w:rFonts w:hint="cs"/>
          <w:rtl/>
        </w:rPr>
        <w:t>וצמצום</w:t>
      </w:r>
      <w:r>
        <w:rPr>
          <w:rFonts w:hint="cs"/>
          <w:rtl/>
        </w:rPr>
        <w:t xml:space="preserve"> </w:t>
      </w:r>
      <w:r w:rsidRPr="00AC1E48">
        <w:rPr>
          <w:rFonts w:hint="cs"/>
          <w:rtl/>
        </w:rPr>
        <w:t>פערים</w:t>
      </w:r>
      <w:r>
        <w:rPr>
          <w:rFonts w:hint="cs"/>
          <w:rtl/>
        </w:rPr>
        <w:t xml:space="preserve">, </w:t>
      </w:r>
      <w:r w:rsidRPr="00AC1E48">
        <w:rPr>
          <w:rFonts w:hint="cs"/>
          <w:rtl/>
        </w:rPr>
        <w:t>יש</w:t>
      </w:r>
      <w:r>
        <w:rPr>
          <w:rFonts w:hint="cs"/>
          <w:rtl/>
        </w:rPr>
        <w:t xml:space="preserve"> </w:t>
      </w:r>
      <w:r w:rsidRPr="00AC1E48">
        <w:rPr>
          <w:rFonts w:hint="cs"/>
          <w:rtl/>
        </w:rPr>
        <w:t>לבחון</w:t>
      </w:r>
      <w:r>
        <w:rPr>
          <w:rFonts w:hint="cs"/>
          <w:rtl/>
        </w:rPr>
        <w:t xml:space="preserve"> </w:t>
      </w:r>
      <w:r w:rsidRPr="00AC1E48">
        <w:rPr>
          <w:rFonts w:hint="cs"/>
          <w:rtl/>
        </w:rPr>
        <w:t>את</w:t>
      </w:r>
      <w:r>
        <w:rPr>
          <w:rFonts w:hint="cs"/>
          <w:rtl/>
        </w:rPr>
        <w:t xml:space="preserve"> </w:t>
      </w:r>
      <w:r w:rsidRPr="00AC1E48">
        <w:rPr>
          <w:rFonts w:hint="cs"/>
          <w:rtl/>
        </w:rPr>
        <w:t>נושא</w:t>
      </w:r>
      <w:r>
        <w:rPr>
          <w:rFonts w:hint="cs"/>
          <w:rtl/>
        </w:rPr>
        <w:t xml:space="preserve"> </w:t>
      </w:r>
      <w:r w:rsidRPr="00AC1E48">
        <w:rPr>
          <w:rFonts w:hint="cs"/>
          <w:rtl/>
        </w:rPr>
        <w:t>החוק</w:t>
      </w:r>
      <w:r>
        <w:rPr>
          <w:rFonts w:hint="cs"/>
          <w:rtl/>
        </w:rPr>
        <w:t xml:space="preserve"> </w:t>
      </w:r>
      <w:r w:rsidRPr="00AC1E48">
        <w:rPr>
          <w:rFonts w:hint="cs"/>
          <w:rtl/>
        </w:rPr>
        <w:t>באופן</w:t>
      </w:r>
      <w:r>
        <w:rPr>
          <w:rFonts w:hint="cs"/>
          <w:rtl/>
        </w:rPr>
        <w:t xml:space="preserve"> </w:t>
      </w:r>
      <w:r w:rsidRPr="00AC1E48">
        <w:rPr>
          <w:rFonts w:hint="cs"/>
          <w:rtl/>
        </w:rPr>
        <w:t>יסודי</w:t>
      </w:r>
      <w:r>
        <w:rPr>
          <w:rFonts w:hint="cs"/>
          <w:rtl/>
        </w:rPr>
        <w:t xml:space="preserve"> </w:t>
      </w:r>
      <w:r w:rsidRPr="00AC1E48">
        <w:rPr>
          <w:rFonts w:hint="cs"/>
          <w:rtl/>
        </w:rPr>
        <w:t>ובזהירות</w:t>
      </w:r>
      <w:r>
        <w:rPr>
          <w:rFonts w:hint="cs"/>
          <w:rtl/>
        </w:rPr>
        <w:t xml:space="preserve"> </w:t>
      </w:r>
      <w:r w:rsidRPr="00AC1E48">
        <w:rPr>
          <w:rFonts w:hint="cs"/>
          <w:rtl/>
        </w:rPr>
        <w:t>הנדרשת</w:t>
      </w:r>
      <w:r>
        <w:rPr>
          <w:rFonts w:hint="cs"/>
          <w:rtl/>
        </w:rPr>
        <w:t xml:space="preserve"> </w:t>
      </w:r>
      <w:r w:rsidRPr="00AC1E48">
        <w:rPr>
          <w:rFonts w:hint="cs"/>
          <w:rtl/>
        </w:rPr>
        <w:t>וזאת</w:t>
      </w:r>
      <w:r>
        <w:rPr>
          <w:rFonts w:hint="cs"/>
          <w:rtl/>
        </w:rPr>
        <w:t xml:space="preserve"> </w:t>
      </w:r>
      <w:r w:rsidRPr="00AC1E48">
        <w:rPr>
          <w:rFonts w:hint="cs"/>
          <w:rtl/>
        </w:rPr>
        <w:t>תוך</w:t>
      </w:r>
      <w:r>
        <w:rPr>
          <w:rFonts w:hint="cs"/>
          <w:rtl/>
        </w:rPr>
        <w:t xml:space="preserve"> </w:t>
      </w:r>
      <w:r w:rsidRPr="00AC1E48">
        <w:rPr>
          <w:rFonts w:hint="cs"/>
          <w:rtl/>
        </w:rPr>
        <w:t>דיון</w:t>
      </w:r>
      <w:r>
        <w:rPr>
          <w:rFonts w:hint="cs"/>
          <w:rtl/>
        </w:rPr>
        <w:t xml:space="preserve"> </w:t>
      </w:r>
      <w:r w:rsidRPr="00AC1E48">
        <w:rPr>
          <w:rFonts w:hint="cs"/>
          <w:rtl/>
        </w:rPr>
        <w:t>משותף</w:t>
      </w:r>
      <w:r>
        <w:rPr>
          <w:rFonts w:hint="cs"/>
          <w:rtl/>
        </w:rPr>
        <w:t xml:space="preserve"> </w:t>
      </w:r>
      <w:r w:rsidRPr="00AC1E48">
        <w:rPr>
          <w:rFonts w:hint="cs"/>
          <w:rtl/>
        </w:rPr>
        <w:t>על</w:t>
      </w:r>
      <w:r>
        <w:rPr>
          <w:rFonts w:hint="cs"/>
          <w:rtl/>
        </w:rPr>
        <w:t xml:space="preserve"> התא</w:t>
      </w:r>
      <w:r w:rsidRPr="00AC1E48">
        <w:rPr>
          <w:rFonts w:hint="cs"/>
          <w:rtl/>
        </w:rPr>
        <w:t>מתו</w:t>
      </w:r>
      <w:r>
        <w:rPr>
          <w:rFonts w:hint="cs"/>
          <w:rtl/>
        </w:rPr>
        <w:t xml:space="preserve"> </w:t>
      </w:r>
      <w:r w:rsidRPr="00AC1E48">
        <w:rPr>
          <w:rFonts w:hint="cs"/>
          <w:rtl/>
        </w:rPr>
        <w:t>של</w:t>
      </w:r>
      <w:r>
        <w:rPr>
          <w:rFonts w:hint="cs"/>
          <w:rtl/>
        </w:rPr>
        <w:t xml:space="preserve"> ה</w:t>
      </w:r>
      <w:r w:rsidRPr="00AC1E48">
        <w:rPr>
          <w:rFonts w:hint="cs"/>
          <w:rtl/>
        </w:rPr>
        <w:t>חוק</w:t>
      </w:r>
      <w:r>
        <w:rPr>
          <w:rFonts w:hint="cs"/>
          <w:rtl/>
        </w:rPr>
        <w:t xml:space="preserve"> </w:t>
      </w:r>
      <w:r w:rsidRPr="00AC1E48">
        <w:rPr>
          <w:rFonts w:hint="cs"/>
          <w:rtl/>
        </w:rPr>
        <w:t>מול</w:t>
      </w:r>
      <w:r>
        <w:rPr>
          <w:rFonts w:hint="cs"/>
          <w:rtl/>
        </w:rPr>
        <w:t xml:space="preserve"> "</w:t>
      </w:r>
      <w:r w:rsidRPr="00AC1E48">
        <w:rPr>
          <w:rFonts w:hint="cs"/>
          <w:rtl/>
        </w:rPr>
        <w:t>הגורמים</w:t>
      </w:r>
      <w:r>
        <w:rPr>
          <w:rFonts w:hint="cs"/>
          <w:rtl/>
        </w:rPr>
        <w:t xml:space="preserve"> </w:t>
      </w:r>
      <w:r w:rsidRPr="00AC1E48">
        <w:rPr>
          <w:rFonts w:hint="cs"/>
          <w:rtl/>
        </w:rPr>
        <w:t>המחוקקים</w:t>
      </w:r>
      <w:r>
        <w:rPr>
          <w:rFonts w:hint="cs"/>
          <w:rtl/>
        </w:rPr>
        <w:t xml:space="preserve">". </w:t>
      </w:r>
    </w:p>
    <w:p w14:paraId="276958C4" w14:textId="77777777" w:rsidR="00C218DA" w:rsidRDefault="00C218DA" w:rsidP="00576B92">
      <w:pPr>
        <w:pStyle w:val="100"/>
        <w:rPr>
          <w:rtl/>
        </w:rPr>
      </w:pPr>
      <w:r>
        <w:rPr>
          <w:rFonts w:hint="cs"/>
          <w:rtl/>
        </w:rPr>
        <w:t xml:space="preserve">בתשובתו למשרד </w:t>
      </w:r>
      <w:r w:rsidRPr="00D26389">
        <w:rPr>
          <w:rFonts w:hint="eastAsia"/>
          <w:rtl/>
        </w:rPr>
        <w:t>מבקר</w:t>
      </w:r>
      <w:r w:rsidRPr="00D26389">
        <w:rPr>
          <w:rtl/>
        </w:rPr>
        <w:t xml:space="preserve"> המדינה </w:t>
      </w:r>
      <w:r>
        <w:rPr>
          <w:rFonts w:hint="cs"/>
          <w:rtl/>
        </w:rPr>
        <w:t xml:space="preserve">מדצמבר 2019 מסר אגף תקציבים כי ההשקעה התקציבית הניכרת שנעשתה בשנים האחרונות ברכישת דירות ציבוריות לא הובילה לתוצאות הרצויות, שכן תור הממתינים לדירה ציבורית התארך, וכי יש לבחון את המחיר הכלכלי והחברתי ארוך הטווח של מכירת הדירות לדיירים בהנחות גדולות ואת השפעתה על מלאי הדירות הציבוריות. האגף סבור כי הפתרון למצב טמון בהשכרת דירות לטווח ארוך ובסיוע בשכר דירה לטווח ארוך, לצד ייעול מערך הדיור הקיים. </w:t>
      </w:r>
    </w:p>
    <w:p w14:paraId="1C5B7240" w14:textId="77777777" w:rsidR="00C218DA" w:rsidRPr="00F813C0" w:rsidRDefault="00C218DA" w:rsidP="002240BA">
      <w:pPr>
        <w:pStyle w:val="100"/>
        <w:rPr>
          <w:rtl/>
        </w:rPr>
      </w:pPr>
      <w:r>
        <w:rPr>
          <w:rFonts w:hint="cs"/>
          <w:rtl/>
        </w:rPr>
        <w:lastRenderedPageBreak/>
        <w:t xml:space="preserve">בתשובתו למשרד מבקר המדינה מדצמבר 2019 מסר אגף החשכ"ל כי </w:t>
      </w:r>
      <w:r w:rsidRPr="00F813C0">
        <w:rPr>
          <w:rtl/>
        </w:rPr>
        <w:t xml:space="preserve">מתקיים שיתוף פעולה פורה </w:t>
      </w:r>
      <w:r>
        <w:rPr>
          <w:rFonts w:hint="cs"/>
          <w:rtl/>
        </w:rPr>
        <w:t xml:space="preserve">בינו ובין </w:t>
      </w:r>
      <w:r w:rsidRPr="00F813C0">
        <w:rPr>
          <w:rtl/>
        </w:rPr>
        <w:t xml:space="preserve">נציגי משרד </w:t>
      </w:r>
      <w:r>
        <w:rPr>
          <w:rFonts w:hint="cs"/>
          <w:rtl/>
        </w:rPr>
        <w:t>הבינוי ו</w:t>
      </w:r>
      <w:r w:rsidRPr="00F813C0">
        <w:rPr>
          <w:rtl/>
        </w:rPr>
        <w:t xml:space="preserve">אגף תקציבים בכל הקשור </w:t>
      </w:r>
      <w:r>
        <w:rPr>
          <w:rFonts w:hint="cs"/>
          <w:rtl/>
        </w:rPr>
        <w:t>ל</w:t>
      </w:r>
      <w:r w:rsidRPr="00F813C0">
        <w:rPr>
          <w:rtl/>
        </w:rPr>
        <w:t xml:space="preserve">נושא </w:t>
      </w:r>
      <w:r>
        <w:rPr>
          <w:rFonts w:hint="cs"/>
          <w:rtl/>
        </w:rPr>
        <w:t>"</w:t>
      </w:r>
      <w:r w:rsidRPr="00F813C0">
        <w:rPr>
          <w:rtl/>
        </w:rPr>
        <w:t>ובעיקר לעניין פיתוח פתרונות חדשים בדרך של שכירות ארוכת טווח</w:t>
      </w:r>
      <w:r>
        <w:rPr>
          <w:rFonts w:hint="cs"/>
          <w:rtl/>
        </w:rPr>
        <w:t>"</w:t>
      </w:r>
      <w:r w:rsidRPr="00F813C0">
        <w:rPr>
          <w:rtl/>
        </w:rPr>
        <w:t>.</w:t>
      </w:r>
      <w:r>
        <w:rPr>
          <w:rFonts w:hint="cs"/>
          <w:rtl/>
        </w:rPr>
        <w:t xml:space="preserve"> </w:t>
      </w:r>
    </w:p>
    <w:p w14:paraId="17BDE387" w14:textId="77777777" w:rsidR="00C218DA" w:rsidRDefault="00C218DA" w:rsidP="002240BA">
      <w:pPr>
        <w:pStyle w:val="100"/>
        <w:rPr>
          <w:rtl/>
        </w:rPr>
      </w:pPr>
      <w:r w:rsidRPr="002E6C99">
        <w:rPr>
          <w:rFonts w:hint="cs"/>
          <w:rtl/>
        </w:rPr>
        <w:t xml:space="preserve">בתשובתו למשרד מבקר המדינה מדצמבר 2019 מסר משרד הבינוי </w:t>
      </w:r>
      <w:r>
        <w:rPr>
          <w:rFonts w:hint="cs"/>
          <w:rtl/>
        </w:rPr>
        <w:t>כי הוא ו</w:t>
      </w:r>
      <w:r w:rsidRPr="002E6C99">
        <w:rPr>
          <w:rtl/>
        </w:rPr>
        <w:t>משרד האוצר</w:t>
      </w:r>
      <w:r>
        <w:rPr>
          <w:rFonts w:hint="cs"/>
          <w:rtl/>
        </w:rPr>
        <w:t xml:space="preserve"> מקיימים</w:t>
      </w:r>
      <w:r w:rsidRPr="002E6C99">
        <w:rPr>
          <w:rtl/>
        </w:rPr>
        <w:t xml:space="preserve"> עבודת מטה </w:t>
      </w:r>
      <w:r>
        <w:rPr>
          <w:rFonts w:hint="cs"/>
          <w:rtl/>
        </w:rPr>
        <w:t>ל</w:t>
      </w:r>
      <w:r w:rsidRPr="002E6C99">
        <w:rPr>
          <w:rtl/>
        </w:rPr>
        <w:t>גיבוש מודל שכירות ארוכת טווח</w:t>
      </w:r>
      <w:r>
        <w:rPr>
          <w:rFonts w:hint="cs"/>
          <w:rtl/>
        </w:rPr>
        <w:t>.</w:t>
      </w:r>
      <w:r w:rsidRPr="002E6C99">
        <w:rPr>
          <w:rtl/>
        </w:rPr>
        <w:t xml:space="preserve"> </w:t>
      </w:r>
      <w:r>
        <w:rPr>
          <w:rFonts w:hint="cs"/>
          <w:rtl/>
        </w:rPr>
        <w:t xml:space="preserve">עוד מסר המשרד כי </w:t>
      </w:r>
      <w:r w:rsidRPr="002E6C99">
        <w:rPr>
          <w:rFonts w:ascii="David" w:hAnsi="David"/>
          <w:sz w:val="24"/>
          <w:rtl/>
        </w:rPr>
        <w:t>עם כינונה של ממשלה</w:t>
      </w:r>
      <w:r>
        <w:rPr>
          <w:rFonts w:ascii="David" w:hAnsi="David" w:hint="cs"/>
          <w:sz w:val="24"/>
          <w:rtl/>
        </w:rPr>
        <w:t xml:space="preserve"> חדשה (נוכח הבחירות שנקבעו למרץ 2020)</w:t>
      </w:r>
      <w:r w:rsidRPr="002E6C99">
        <w:rPr>
          <w:rFonts w:ascii="David" w:hAnsi="David"/>
          <w:sz w:val="24"/>
          <w:rtl/>
        </w:rPr>
        <w:t xml:space="preserve"> יוצג נושא </w:t>
      </w:r>
      <w:r>
        <w:rPr>
          <w:rFonts w:ascii="David" w:hAnsi="David" w:hint="cs"/>
          <w:sz w:val="24"/>
          <w:rtl/>
        </w:rPr>
        <w:t>הדיור הציבורי ל</w:t>
      </w:r>
      <w:r w:rsidRPr="002E6C99">
        <w:rPr>
          <w:rFonts w:ascii="David" w:hAnsi="David"/>
          <w:sz w:val="24"/>
          <w:rtl/>
        </w:rPr>
        <w:t>שר הממונה</w:t>
      </w:r>
      <w:r>
        <w:rPr>
          <w:rFonts w:ascii="David" w:hAnsi="David" w:hint="cs"/>
          <w:sz w:val="24"/>
          <w:rtl/>
        </w:rPr>
        <w:t>,</w:t>
      </w:r>
      <w:r w:rsidRPr="002E6C99">
        <w:rPr>
          <w:rFonts w:ascii="David" w:hAnsi="David"/>
          <w:sz w:val="24"/>
          <w:rtl/>
        </w:rPr>
        <w:t xml:space="preserve"> לרבות המלצת המבקר</w:t>
      </w:r>
      <w:r>
        <w:rPr>
          <w:rFonts w:ascii="David" w:hAnsi="David" w:hint="cs"/>
          <w:sz w:val="24"/>
          <w:rtl/>
        </w:rPr>
        <w:t xml:space="preserve"> בעניין (המובאת להלן)</w:t>
      </w:r>
      <w:r w:rsidRPr="002E6C99">
        <w:rPr>
          <w:rFonts w:ascii="David" w:hAnsi="David"/>
          <w:sz w:val="24"/>
          <w:rtl/>
        </w:rPr>
        <w:t xml:space="preserve">. </w:t>
      </w:r>
    </w:p>
    <w:p w14:paraId="34E8D471" w14:textId="577E9127" w:rsidR="00C218DA" w:rsidRPr="00936672" w:rsidRDefault="00C218DA" w:rsidP="002240BA">
      <w:pPr>
        <w:pStyle w:val="af5"/>
        <w:rPr>
          <w:rtl/>
        </w:rPr>
      </w:pPr>
      <w:r w:rsidRPr="00995ED8">
        <w:rPr>
          <w:rtl/>
        </w:rPr>
        <w:t xml:space="preserve">נוכח </w:t>
      </w:r>
      <w:r w:rsidRPr="00995ED8">
        <w:rPr>
          <w:rFonts w:hint="cs"/>
          <w:rtl/>
        </w:rPr>
        <w:t xml:space="preserve">החשיבות </w:t>
      </w:r>
      <w:r>
        <w:rPr>
          <w:rFonts w:hint="cs"/>
          <w:rtl/>
        </w:rPr>
        <w:t>ש</w:t>
      </w:r>
      <w:r w:rsidRPr="00995ED8">
        <w:rPr>
          <w:rFonts w:hint="cs"/>
          <w:rtl/>
        </w:rPr>
        <w:t>ל</w:t>
      </w:r>
      <w:r>
        <w:rPr>
          <w:rFonts w:hint="cs"/>
          <w:rtl/>
        </w:rPr>
        <w:t xml:space="preserve"> </w:t>
      </w:r>
      <w:r w:rsidRPr="00995ED8">
        <w:rPr>
          <w:rFonts w:hint="cs"/>
          <w:rtl/>
        </w:rPr>
        <w:t xml:space="preserve">גיבוש תוכנית פעולה לאומית </w:t>
      </w:r>
      <w:r w:rsidRPr="00995ED8">
        <w:rPr>
          <w:rtl/>
        </w:rPr>
        <w:t xml:space="preserve">בנוגע למענה </w:t>
      </w:r>
      <w:r w:rsidRPr="00995ED8">
        <w:rPr>
          <w:rFonts w:hint="cs"/>
          <w:rtl/>
        </w:rPr>
        <w:t xml:space="preserve">ממשלתי </w:t>
      </w:r>
      <w:r w:rsidRPr="00995ED8">
        <w:rPr>
          <w:rtl/>
        </w:rPr>
        <w:t xml:space="preserve">מיטבי </w:t>
      </w:r>
      <w:r>
        <w:rPr>
          <w:rFonts w:hint="cs"/>
          <w:rtl/>
        </w:rPr>
        <w:t>עבור ה</w:t>
      </w:r>
      <w:r w:rsidRPr="00995ED8">
        <w:rPr>
          <w:rFonts w:hint="cs"/>
          <w:rtl/>
        </w:rPr>
        <w:t>נזקקים לסיוע</w:t>
      </w:r>
      <w:r w:rsidRPr="00995ED8">
        <w:rPr>
          <w:rtl/>
        </w:rPr>
        <w:t xml:space="preserve"> </w:t>
      </w:r>
      <w:r w:rsidRPr="00995ED8">
        <w:rPr>
          <w:rFonts w:hint="cs"/>
          <w:rtl/>
        </w:rPr>
        <w:t>ב</w:t>
      </w:r>
      <w:r w:rsidRPr="00995ED8">
        <w:rPr>
          <w:rtl/>
        </w:rPr>
        <w:t>דיור</w:t>
      </w:r>
      <w:r w:rsidRPr="00995ED8">
        <w:rPr>
          <w:rFonts w:hint="cs"/>
          <w:rtl/>
        </w:rPr>
        <w:t xml:space="preserve">, משרד מבקר המדינה </w:t>
      </w:r>
      <w:r>
        <w:rPr>
          <w:rFonts w:hint="cs"/>
          <w:rtl/>
        </w:rPr>
        <w:t xml:space="preserve">ממליץ כי </w:t>
      </w:r>
      <w:r w:rsidRPr="00995ED8">
        <w:rPr>
          <w:rFonts w:hint="cs"/>
          <w:rtl/>
        </w:rPr>
        <w:t xml:space="preserve">משרד הבינוי יציג </w:t>
      </w:r>
      <w:r>
        <w:rPr>
          <w:rFonts w:hint="cs"/>
          <w:rtl/>
        </w:rPr>
        <w:t>ל</w:t>
      </w:r>
      <w:r w:rsidRPr="00995ED8">
        <w:rPr>
          <w:rFonts w:hint="cs"/>
          <w:rtl/>
        </w:rPr>
        <w:t xml:space="preserve">ממשלה את כלל ממצאי הצוות, לרבות הנושאים שבמחלוקת, וכי בד בבד </w:t>
      </w:r>
      <w:r>
        <w:rPr>
          <w:rFonts w:hint="cs"/>
          <w:rtl/>
        </w:rPr>
        <w:t>י</w:t>
      </w:r>
      <w:r w:rsidRPr="00995ED8">
        <w:rPr>
          <w:rtl/>
        </w:rPr>
        <w:t xml:space="preserve">חדש </w:t>
      </w:r>
      <w:r>
        <w:rPr>
          <w:rFonts w:hint="cs"/>
          <w:rtl/>
        </w:rPr>
        <w:t xml:space="preserve">את </w:t>
      </w:r>
      <w:r w:rsidRPr="00995ED8">
        <w:rPr>
          <w:rtl/>
        </w:rPr>
        <w:t>עבודת המטה</w:t>
      </w:r>
      <w:r w:rsidRPr="00995ED8">
        <w:rPr>
          <w:rFonts w:hint="cs"/>
          <w:rtl/>
        </w:rPr>
        <w:t xml:space="preserve"> </w:t>
      </w:r>
      <w:r>
        <w:rPr>
          <w:rFonts w:hint="cs"/>
          <w:rtl/>
        </w:rPr>
        <w:t>עם</w:t>
      </w:r>
      <w:r w:rsidRPr="00995ED8">
        <w:rPr>
          <w:rFonts w:hint="cs"/>
          <w:rtl/>
        </w:rPr>
        <w:t xml:space="preserve"> הגופים הממשלתיים</w:t>
      </w:r>
      <w:r w:rsidRPr="00995ED8">
        <w:rPr>
          <w:rtl/>
        </w:rPr>
        <w:t xml:space="preserve"> הרלוונטיים</w:t>
      </w:r>
      <w:r w:rsidRPr="00995ED8">
        <w:rPr>
          <w:rFonts w:hint="cs"/>
          <w:rtl/>
        </w:rPr>
        <w:t xml:space="preserve"> לשם גיבוש התוכנית. במסגרת עבודת המטה מומלץ לבחון בראייה אסטרטגית את סוגי המענה השונים </w:t>
      </w:r>
      <w:r>
        <w:rPr>
          <w:rFonts w:hint="cs"/>
          <w:rtl/>
        </w:rPr>
        <w:t>ובפרט את</w:t>
      </w:r>
      <w:r w:rsidRPr="00995ED8">
        <w:rPr>
          <w:rFonts w:hint="cs"/>
          <w:rtl/>
        </w:rPr>
        <w:t xml:space="preserve"> ההיבטים שהעלו גורמי המקצוע לעניין בחירת המענה, ובכלל זה - היעילות הכלכלית של החזקת מלאי הדיור ציבורי לעומת היעילות של חלופות כגון הגדלת הסיוע בשכר הדירה</w:t>
      </w:r>
      <w:r>
        <w:rPr>
          <w:rFonts w:hint="cs"/>
          <w:rtl/>
        </w:rPr>
        <w:t xml:space="preserve"> ושילוב שכירות ארוכת טווח עם אפשרות לרכוש את הדירות</w:t>
      </w:r>
      <w:r w:rsidRPr="005E7774">
        <w:rPr>
          <w:rFonts w:ascii="Arial" w:hAnsi="Arial" w:hint="cs"/>
          <w:sz w:val="26"/>
          <w:rtl/>
        </w:rPr>
        <w:t xml:space="preserve"> </w:t>
      </w:r>
      <w:r w:rsidRPr="00A164CB">
        <w:rPr>
          <w:rFonts w:ascii="Arial" w:hAnsi="Arial" w:hint="cs"/>
          <w:sz w:val="26"/>
          <w:rtl/>
        </w:rPr>
        <w:t>באמצעות מימון בנקאי הניתן לזכאי</w:t>
      </w:r>
      <w:r>
        <w:rPr>
          <w:rFonts w:ascii="Arial" w:hAnsi="Arial" w:hint="cs"/>
          <w:sz w:val="26"/>
          <w:rtl/>
        </w:rPr>
        <w:t xml:space="preserve"> ("משכנתה")</w:t>
      </w:r>
      <w:r w:rsidRPr="00A164CB">
        <w:rPr>
          <w:rFonts w:ascii="Arial" w:hAnsi="Arial" w:hint="cs"/>
          <w:sz w:val="26"/>
          <w:rtl/>
        </w:rPr>
        <w:t xml:space="preserve">, כאשר ההחזר </w:t>
      </w:r>
      <w:r w:rsidRPr="001A6E03">
        <w:rPr>
          <w:rFonts w:ascii="Arial" w:hAnsi="Arial" w:hint="cs"/>
          <w:sz w:val="26"/>
          <w:rtl/>
        </w:rPr>
        <w:t xml:space="preserve">מבוסס על סיוע כספי מטעם המדינה, </w:t>
      </w:r>
      <w:r w:rsidRPr="001A6E03">
        <w:rPr>
          <w:rFonts w:ascii="Arial" w:hAnsi="Arial"/>
          <w:sz w:val="26"/>
          <w:rtl/>
        </w:rPr>
        <w:t xml:space="preserve">השתתפות עצמית </w:t>
      </w:r>
      <w:r w:rsidRPr="001A6E03">
        <w:rPr>
          <w:rFonts w:ascii="Arial" w:hAnsi="Arial" w:hint="cs"/>
          <w:sz w:val="26"/>
          <w:rtl/>
        </w:rPr>
        <w:t>של הזכאי ו</w:t>
      </w:r>
      <w:r w:rsidRPr="001A6E03">
        <w:rPr>
          <w:rFonts w:ascii="Arial" w:hAnsi="Arial"/>
          <w:sz w:val="26"/>
          <w:rtl/>
        </w:rPr>
        <w:t xml:space="preserve">תקבולי </w:t>
      </w:r>
      <w:r>
        <w:rPr>
          <w:rFonts w:ascii="Arial" w:hAnsi="Arial" w:hint="cs"/>
          <w:sz w:val="26"/>
          <w:rtl/>
        </w:rPr>
        <w:t>ה</w:t>
      </w:r>
      <w:r w:rsidRPr="001A6E03">
        <w:rPr>
          <w:rFonts w:ascii="Arial" w:hAnsi="Arial"/>
          <w:sz w:val="26"/>
          <w:rtl/>
        </w:rPr>
        <w:t xml:space="preserve">קרן </w:t>
      </w:r>
      <w:r>
        <w:rPr>
          <w:rFonts w:ascii="Arial" w:hAnsi="Arial" w:hint="cs"/>
          <w:sz w:val="26"/>
          <w:rtl/>
        </w:rPr>
        <w:t>ל</w:t>
      </w:r>
      <w:r w:rsidRPr="001A6E03">
        <w:rPr>
          <w:rFonts w:ascii="Arial" w:hAnsi="Arial"/>
          <w:sz w:val="26"/>
          <w:rtl/>
        </w:rPr>
        <w:t>דיור ציבורי</w:t>
      </w:r>
      <w:r w:rsidRPr="001A6E03">
        <w:rPr>
          <w:rFonts w:hint="cs"/>
          <w:rtl/>
        </w:rPr>
        <w:t>; לבח</w:t>
      </w:r>
      <w:r w:rsidRPr="00995ED8">
        <w:rPr>
          <w:rFonts w:hint="cs"/>
          <w:rtl/>
        </w:rPr>
        <w:t xml:space="preserve">ון את המשמעות של הנפקת אג"ח על ידי עמידר לטובת רכישת דירות ציבוריות; לבחון </w:t>
      </w:r>
      <w:r w:rsidRPr="00202A14">
        <w:rPr>
          <w:rFonts w:hint="cs"/>
          <w:rtl/>
        </w:rPr>
        <w:t>דרכים ל</w:t>
      </w:r>
      <w:r>
        <w:rPr>
          <w:rFonts w:hint="cs"/>
          <w:rtl/>
        </w:rPr>
        <w:t>הגדלת</w:t>
      </w:r>
      <w:r w:rsidRPr="00202A14">
        <w:rPr>
          <w:rFonts w:hint="cs"/>
          <w:rtl/>
        </w:rPr>
        <w:t xml:space="preserve"> מלאי הדירות הציבוריות</w:t>
      </w:r>
      <w:r>
        <w:rPr>
          <w:rFonts w:hint="cs"/>
          <w:rtl/>
        </w:rPr>
        <w:t>; לבחון ו</w:t>
      </w:r>
      <w:r w:rsidRPr="00995ED8">
        <w:rPr>
          <w:rFonts w:hint="cs"/>
          <w:rtl/>
        </w:rPr>
        <w:t>את עמדות גורמי המקצוע בעניין ה</w:t>
      </w:r>
      <w:r>
        <w:rPr>
          <w:rFonts w:hint="cs"/>
          <w:rtl/>
        </w:rPr>
        <w:t>צמצום</w:t>
      </w:r>
      <w:r w:rsidRPr="00995ED8">
        <w:rPr>
          <w:rFonts w:hint="cs"/>
          <w:rtl/>
        </w:rPr>
        <w:t xml:space="preserve"> במלאי הדירות </w:t>
      </w:r>
      <w:r>
        <w:rPr>
          <w:rFonts w:hint="cs"/>
          <w:rtl/>
        </w:rPr>
        <w:t xml:space="preserve">עקב המכירה לדיירים, </w:t>
      </w:r>
      <w:r w:rsidRPr="00995ED8">
        <w:rPr>
          <w:rFonts w:hint="cs"/>
          <w:rtl/>
        </w:rPr>
        <w:t xml:space="preserve">כפי שתואר לעיל. עבודת מטה זו </w:t>
      </w:r>
      <w:r>
        <w:rPr>
          <w:rFonts w:hint="cs"/>
          <w:rtl/>
        </w:rPr>
        <w:t xml:space="preserve">חיונית לצורך </w:t>
      </w:r>
      <w:r w:rsidRPr="00995ED8">
        <w:rPr>
          <w:rFonts w:hint="cs"/>
          <w:rtl/>
        </w:rPr>
        <w:t>גיבוש המלצות לתוכנית פעולה לאומית בנדון, כפי שהחליטה הממשלה. עבודת המטה מקבלת משנה חשיבות נוכח הגידול המתמשך במספר הזכאים לדיור ציבורי, ומצד אחר הצמצום במספר הדירות הציבוריות לאורך השנים.</w:t>
      </w:r>
    </w:p>
    <w:p w14:paraId="632AC698" w14:textId="77777777" w:rsidR="00C218DA" w:rsidRPr="006743FA" w:rsidRDefault="00C218DA" w:rsidP="002240BA">
      <w:pPr>
        <w:pStyle w:val="316"/>
        <w:rPr>
          <w:rtl/>
        </w:rPr>
      </w:pPr>
      <w:r>
        <w:rPr>
          <w:rFonts w:hint="cs"/>
          <w:rtl/>
        </w:rPr>
        <w:t>רכישת</w:t>
      </w:r>
      <w:r w:rsidRPr="006743FA">
        <w:rPr>
          <w:rFonts w:hint="cs"/>
          <w:rtl/>
        </w:rPr>
        <w:t xml:space="preserve"> דירות למאגר הדיור הציבורי</w:t>
      </w:r>
    </w:p>
    <w:p w14:paraId="6EB50112" w14:textId="77777777" w:rsidR="00C218DA" w:rsidRDefault="00C218DA" w:rsidP="002240BA">
      <w:pPr>
        <w:pStyle w:val="100"/>
        <w:rPr>
          <w:rtl/>
        </w:rPr>
      </w:pPr>
      <w:r>
        <w:rPr>
          <w:rFonts w:hint="cs"/>
          <w:rtl/>
        </w:rPr>
        <w:t xml:space="preserve">ככלל, מאז 2015 מבוצעת רכישת הדירות הציבוריות עבור המשרד על ידי עמידר וחברה פרטית שנבחרה במכרז, על פי אמות המידה שגיבש המשרד, ובהן קביעת מחיר מרבי ודרישות סף לשטח הדירה על פי מספר החדרים. הדירות שנרכשות אינן מיועדות לזכאי מסוים ורכישתן מבוססת על רשימת צרכים שמגבש המשרד מפעם לפעם, על סמך מאפייני הממתינים לדיור ציבורי. </w:t>
      </w:r>
      <w:r w:rsidRPr="00BE0708">
        <w:rPr>
          <w:rFonts w:hint="cs"/>
          <w:rtl/>
        </w:rPr>
        <w:t xml:space="preserve">לעומת זאת, </w:t>
      </w:r>
      <w:r w:rsidRPr="005A259A">
        <w:rPr>
          <w:rFonts w:hint="eastAsia"/>
          <w:rtl/>
        </w:rPr>
        <w:t>דירות</w:t>
      </w:r>
      <w:r w:rsidRPr="005A259A">
        <w:rPr>
          <w:rtl/>
        </w:rPr>
        <w:t xml:space="preserve"> </w:t>
      </w:r>
      <w:r>
        <w:rPr>
          <w:rFonts w:hint="cs"/>
          <w:rtl/>
        </w:rPr>
        <w:t xml:space="preserve">ייעודיות לזכאים הרתוקים לכיסאות גלגלים </w:t>
      </w:r>
      <w:r w:rsidRPr="00BE0708">
        <w:rPr>
          <w:rFonts w:hint="cs"/>
          <w:rtl/>
        </w:rPr>
        <w:t>נרכשות עבור זכאי</w:t>
      </w:r>
      <w:r>
        <w:rPr>
          <w:rFonts w:hint="cs"/>
          <w:rtl/>
        </w:rPr>
        <w:t>ם</w:t>
      </w:r>
      <w:r w:rsidRPr="00BE0708">
        <w:rPr>
          <w:rFonts w:hint="cs"/>
          <w:rtl/>
        </w:rPr>
        <w:t xml:space="preserve"> </w:t>
      </w:r>
      <w:r>
        <w:rPr>
          <w:rFonts w:hint="cs"/>
          <w:rtl/>
        </w:rPr>
        <w:t>מסוימים</w:t>
      </w:r>
      <w:r w:rsidRPr="00BE0708">
        <w:rPr>
          <w:rFonts w:hint="cs"/>
          <w:rtl/>
        </w:rPr>
        <w:t xml:space="preserve"> </w:t>
      </w:r>
      <w:r>
        <w:rPr>
          <w:rFonts w:hint="cs"/>
          <w:rtl/>
        </w:rPr>
        <w:t>על פי</w:t>
      </w:r>
      <w:r w:rsidRPr="00BE0708">
        <w:rPr>
          <w:rFonts w:hint="cs"/>
          <w:rtl/>
        </w:rPr>
        <w:t xml:space="preserve"> </w:t>
      </w:r>
      <w:r>
        <w:rPr>
          <w:rFonts w:hint="cs"/>
          <w:rtl/>
        </w:rPr>
        <w:t>צורכיהם</w:t>
      </w:r>
      <w:r w:rsidRPr="00BE0708">
        <w:rPr>
          <w:rFonts w:hint="cs"/>
          <w:rtl/>
        </w:rPr>
        <w:t xml:space="preserve"> הייחודיים.</w:t>
      </w:r>
      <w:r>
        <w:rPr>
          <w:rFonts w:hint="cs"/>
          <w:rtl/>
        </w:rPr>
        <w:t xml:space="preserve"> </w:t>
      </w:r>
    </w:p>
    <w:p w14:paraId="107185CB" w14:textId="77777777" w:rsidR="00C218DA" w:rsidRPr="002240BA" w:rsidRDefault="00C218DA" w:rsidP="002240BA">
      <w:pPr>
        <w:pStyle w:val="aa"/>
        <w:rPr>
          <w:b/>
          <w:bCs/>
          <w:rtl/>
        </w:rPr>
      </w:pPr>
      <w:r w:rsidRPr="002240BA">
        <w:rPr>
          <w:rFonts w:hint="eastAsia"/>
          <w:rtl/>
        </w:rPr>
        <w:lastRenderedPageBreak/>
        <w:t>תמונה</w:t>
      </w:r>
      <w:r w:rsidRPr="002240BA">
        <w:rPr>
          <w:rtl/>
        </w:rPr>
        <w:t xml:space="preserve"> 1:</w:t>
      </w:r>
      <w:r w:rsidRPr="002240BA">
        <w:rPr>
          <w:b/>
          <w:bCs/>
          <w:rtl/>
        </w:rPr>
        <w:t xml:space="preserve"> </w:t>
      </w:r>
      <w:r w:rsidRPr="002240BA">
        <w:rPr>
          <w:rFonts w:hint="cs"/>
          <w:b/>
          <w:bCs/>
          <w:rtl/>
        </w:rPr>
        <w:t>תצלום בניין מגורים במחוז מרכז, שבו נרכשו דירות ציבוריות והושכרו לדיירי הדיור הציבורי בשנת 2018:</w:t>
      </w:r>
    </w:p>
    <w:p w14:paraId="6E2669B3" w14:textId="77777777" w:rsidR="00C218DA" w:rsidRPr="00277CFF" w:rsidRDefault="00C218DA" w:rsidP="00C218DA">
      <w:pPr>
        <w:spacing w:line="269" w:lineRule="auto"/>
        <w:jc w:val="center"/>
      </w:pPr>
      <w:r w:rsidRPr="009272DF">
        <w:rPr>
          <w:noProof/>
          <w:rtl/>
        </w:rPr>
        <w:drawing>
          <wp:inline distT="0" distB="0" distL="0" distR="0" wp14:anchorId="3B0DC70A" wp14:editId="1A99ADD7">
            <wp:extent cx="4799113" cy="3419475"/>
            <wp:effectExtent l="0" t="0" r="1905" b="0"/>
            <wp:docPr id="11" name="תמונה 11" descr="F:\Social Dev\Agaf_17\70ג\מכירה ורכישה של דירות הדיור הציבורי\תמונות\תמונה לתמה\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cial Dev\Agaf_17\70ג\מכירה ורכישה של דירות הדיור הציבורי\תמונות\תמונה לתמה\PIC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2528" cy="3486035"/>
                    </a:xfrm>
                    <a:prstGeom prst="rect">
                      <a:avLst/>
                    </a:prstGeom>
                    <a:noFill/>
                    <a:ln>
                      <a:noFill/>
                    </a:ln>
                  </pic:spPr>
                </pic:pic>
              </a:graphicData>
            </a:graphic>
          </wp:inline>
        </w:drawing>
      </w:r>
    </w:p>
    <w:p w14:paraId="52B1F7A1" w14:textId="2D936E4B" w:rsidR="00C218DA" w:rsidRDefault="00C218DA" w:rsidP="002240BA">
      <w:pPr>
        <w:pStyle w:val="aff8"/>
        <w:spacing w:line="269" w:lineRule="auto"/>
        <w:ind w:left="0"/>
        <w:rPr>
          <w:rtl/>
        </w:rPr>
      </w:pPr>
    </w:p>
    <w:p w14:paraId="0BFB0705" w14:textId="77777777" w:rsidR="002240BA" w:rsidRDefault="002240BA" w:rsidP="002240BA">
      <w:pPr>
        <w:pStyle w:val="100"/>
        <w:rPr>
          <w:rtl/>
        </w:rPr>
      </w:pPr>
    </w:p>
    <w:p w14:paraId="1075C238" w14:textId="77777777" w:rsidR="00C218DA" w:rsidRDefault="00C218DA" w:rsidP="002240BA">
      <w:pPr>
        <w:pStyle w:val="100"/>
        <w:rPr>
          <w:rtl/>
        </w:rPr>
      </w:pPr>
      <w:r>
        <w:rPr>
          <w:rFonts w:hint="cs"/>
          <w:rtl/>
        </w:rPr>
        <w:t>ב</w:t>
      </w:r>
      <w:r w:rsidRPr="00D23714">
        <w:rPr>
          <w:rFonts w:hint="cs"/>
          <w:rtl/>
        </w:rPr>
        <w:t xml:space="preserve">תרשים </w:t>
      </w:r>
      <w:r>
        <w:rPr>
          <w:rFonts w:hint="cs"/>
          <w:rtl/>
        </w:rPr>
        <w:t>12 שלהלן מוצגים מספר</w:t>
      </w:r>
      <w:r w:rsidRPr="00D23714">
        <w:rPr>
          <w:rFonts w:hint="cs"/>
          <w:rtl/>
        </w:rPr>
        <w:t xml:space="preserve"> </w:t>
      </w:r>
      <w:r>
        <w:rPr>
          <w:rFonts w:hint="cs"/>
          <w:rtl/>
        </w:rPr>
        <w:t xml:space="preserve">הדירות הציבוריות שנרכשו משנת 2014 ועד מחצית 2019, בחלוקה </w:t>
      </w:r>
      <w:r w:rsidRPr="00D23714">
        <w:rPr>
          <w:rFonts w:hint="cs"/>
          <w:rtl/>
        </w:rPr>
        <w:t>לפי מחוזות המשרד</w:t>
      </w:r>
      <w:r>
        <w:rPr>
          <w:rFonts w:hint="cs"/>
          <w:rtl/>
        </w:rPr>
        <w:t>,</w:t>
      </w:r>
      <w:r w:rsidRPr="00D23714">
        <w:rPr>
          <w:rFonts w:hint="cs"/>
          <w:rtl/>
        </w:rPr>
        <w:t xml:space="preserve"> </w:t>
      </w:r>
      <w:r>
        <w:rPr>
          <w:rFonts w:hint="cs"/>
          <w:rtl/>
        </w:rPr>
        <w:t>ושיעור הרכישה בכל מחוז מתוך כלל הדירות שנרכשו, עד יולי</w:t>
      </w:r>
      <w:r w:rsidRPr="00D23714">
        <w:rPr>
          <w:rFonts w:hint="cs"/>
          <w:rtl/>
        </w:rPr>
        <w:t xml:space="preserve"> 2019</w:t>
      </w:r>
      <w:r>
        <w:rPr>
          <w:rFonts w:hint="cs"/>
          <w:rtl/>
        </w:rPr>
        <w:t xml:space="preserve">. </w:t>
      </w:r>
    </w:p>
    <w:p w14:paraId="63BD9000" w14:textId="77777777" w:rsidR="002240BA" w:rsidRDefault="002240BA">
      <w:pPr>
        <w:bidi w:val="0"/>
        <w:spacing w:after="200" w:line="276" w:lineRule="auto"/>
        <w:rPr>
          <w:rtl/>
        </w:rPr>
      </w:pPr>
      <w:r>
        <w:rPr>
          <w:rtl/>
        </w:rPr>
        <w:br w:type="page"/>
      </w:r>
    </w:p>
    <w:p w14:paraId="39A5491E" w14:textId="38490124" w:rsidR="00C218DA" w:rsidRPr="002240BA" w:rsidRDefault="00C218DA" w:rsidP="002240BA">
      <w:pPr>
        <w:pStyle w:val="aa"/>
        <w:rPr>
          <w:b/>
          <w:bCs/>
          <w:rtl/>
        </w:rPr>
      </w:pPr>
      <w:r w:rsidRPr="009747FD">
        <w:rPr>
          <w:rFonts w:hint="eastAsia"/>
          <w:rtl/>
        </w:rPr>
        <w:lastRenderedPageBreak/>
        <w:t>תרשים</w:t>
      </w:r>
      <w:r w:rsidRPr="009747FD">
        <w:rPr>
          <w:rtl/>
        </w:rPr>
        <w:t xml:space="preserve"> 12: </w:t>
      </w:r>
      <w:r w:rsidRPr="002240BA">
        <w:rPr>
          <w:rFonts w:hint="cs"/>
          <w:b/>
          <w:bCs/>
          <w:rtl/>
        </w:rPr>
        <w:t>מספר</w:t>
      </w:r>
      <w:r w:rsidRPr="002240BA">
        <w:rPr>
          <w:b/>
          <w:bCs/>
          <w:rtl/>
        </w:rPr>
        <w:t xml:space="preserve"> </w:t>
      </w:r>
      <w:r w:rsidRPr="002240BA">
        <w:rPr>
          <w:rFonts w:hint="eastAsia"/>
          <w:b/>
          <w:bCs/>
          <w:rtl/>
        </w:rPr>
        <w:t>הדירות</w:t>
      </w:r>
      <w:r w:rsidRPr="002240BA">
        <w:rPr>
          <w:b/>
          <w:bCs/>
          <w:rtl/>
        </w:rPr>
        <w:t xml:space="preserve"> </w:t>
      </w:r>
      <w:r w:rsidRPr="002240BA">
        <w:rPr>
          <w:rFonts w:hint="eastAsia"/>
          <w:b/>
          <w:bCs/>
          <w:rtl/>
        </w:rPr>
        <w:t>הציבוריות</w:t>
      </w:r>
      <w:r w:rsidRPr="002240BA">
        <w:rPr>
          <w:b/>
          <w:bCs/>
          <w:rtl/>
        </w:rPr>
        <w:t xml:space="preserve"> </w:t>
      </w:r>
      <w:r w:rsidRPr="002240BA">
        <w:rPr>
          <w:rFonts w:hint="eastAsia"/>
          <w:b/>
          <w:bCs/>
          <w:rtl/>
        </w:rPr>
        <w:t>שנרכשו</w:t>
      </w:r>
      <w:r w:rsidRPr="002240BA">
        <w:rPr>
          <w:rFonts w:hint="cs"/>
          <w:b/>
          <w:bCs/>
          <w:rtl/>
        </w:rPr>
        <w:t>,</w:t>
      </w:r>
      <w:r w:rsidRPr="002240BA">
        <w:rPr>
          <w:b/>
          <w:bCs/>
          <w:rtl/>
        </w:rPr>
        <w:t xml:space="preserve"> </w:t>
      </w:r>
      <w:r w:rsidRPr="002240BA">
        <w:rPr>
          <w:rFonts w:hint="eastAsia"/>
          <w:b/>
          <w:bCs/>
          <w:rtl/>
        </w:rPr>
        <w:t>לפי</w:t>
      </w:r>
      <w:r w:rsidRPr="002240BA">
        <w:rPr>
          <w:rFonts w:hint="cs"/>
          <w:b/>
          <w:bCs/>
          <w:rtl/>
        </w:rPr>
        <w:t xml:space="preserve"> </w:t>
      </w:r>
      <w:r w:rsidRPr="002240BA">
        <w:rPr>
          <w:rFonts w:hint="eastAsia"/>
          <w:b/>
          <w:bCs/>
          <w:rtl/>
        </w:rPr>
        <w:t>מחוזות</w:t>
      </w:r>
      <w:r w:rsidRPr="002240BA">
        <w:rPr>
          <w:b/>
          <w:bCs/>
          <w:rtl/>
        </w:rPr>
        <w:t xml:space="preserve"> המשרד</w:t>
      </w:r>
      <w:r w:rsidRPr="002240BA">
        <w:rPr>
          <w:rFonts w:hint="cs"/>
          <w:b/>
          <w:bCs/>
          <w:rtl/>
        </w:rPr>
        <w:t>,</w:t>
      </w:r>
      <w:r w:rsidRPr="002240BA">
        <w:rPr>
          <w:b/>
          <w:bCs/>
          <w:rtl/>
        </w:rPr>
        <w:t xml:space="preserve"> ושיעור הרכישה בכל מחוז</w:t>
      </w:r>
      <w:r w:rsidRPr="002240BA">
        <w:rPr>
          <w:rFonts w:hint="cs"/>
          <w:b/>
          <w:bCs/>
          <w:rtl/>
        </w:rPr>
        <w:t xml:space="preserve"> מ</w:t>
      </w:r>
      <w:r w:rsidRPr="002240BA">
        <w:rPr>
          <w:b/>
          <w:bCs/>
          <w:rtl/>
        </w:rPr>
        <w:t>כלל הדירות שנרכשו</w:t>
      </w:r>
      <w:r w:rsidRPr="002240BA">
        <w:rPr>
          <w:rFonts w:hint="cs"/>
          <w:b/>
          <w:bCs/>
          <w:rtl/>
        </w:rPr>
        <w:t xml:space="preserve"> מ-2014 עד </w:t>
      </w:r>
      <w:r w:rsidRPr="002240BA">
        <w:rPr>
          <w:rFonts w:hint="eastAsia"/>
          <w:b/>
          <w:bCs/>
          <w:rtl/>
        </w:rPr>
        <w:t>יולי</w:t>
      </w:r>
      <w:r w:rsidRPr="002240BA">
        <w:rPr>
          <w:b/>
          <w:bCs/>
          <w:rtl/>
        </w:rPr>
        <w:t xml:space="preserve"> 2019</w:t>
      </w:r>
      <w:r w:rsidRPr="002240BA">
        <w:rPr>
          <w:rFonts w:hint="cs"/>
          <w:b/>
          <w:bCs/>
          <w:rtl/>
        </w:rPr>
        <w:t xml:space="preserve"> (באחוזים ובמספרים)</w:t>
      </w:r>
    </w:p>
    <w:p w14:paraId="14F2D7BF" w14:textId="77777777" w:rsidR="00C218DA" w:rsidRPr="00296FC0" w:rsidRDefault="00C218DA" w:rsidP="00C218DA">
      <w:pPr>
        <w:spacing w:line="269" w:lineRule="auto"/>
        <w:rPr>
          <w:sz w:val="24"/>
          <w:rtl/>
        </w:rPr>
      </w:pPr>
      <w:r>
        <w:rPr>
          <w:noProof/>
        </w:rPr>
        <w:drawing>
          <wp:inline distT="0" distB="0" distL="0" distR="0" wp14:anchorId="14AED777" wp14:editId="128CB937">
            <wp:extent cx="4010025" cy="3587117"/>
            <wp:effectExtent l="0" t="0" r="0" b="0"/>
            <wp:docPr id="17" name="תמונה 19" descr="C:\Users\elam_be\AppData\Local\Microsoft\Windows\INetCache\Content.Word\diur-m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m_be\AppData\Local\Microsoft\Windows\INetCache\Content.Word\diur-map1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85" r="4025" b="28551"/>
                    <a:stretch/>
                  </pic:blipFill>
                  <pic:spPr bwMode="auto">
                    <a:xfrm>
                      <a:off x="0" y="0"/>
                      <a:ext cx="4094185" cy="3662401"/>
                    </a:xfrm>
                    <a:prstGeom prst="rect">
                      <a:avLst/>
                    </a:prstGeom>
                    <a:noFill/>
                    <a:ln>
                      <a:noFill/>
                    </a:ln>
                    <a:extLst>
                      <a:ext uri="{53640926-AAD7-44D8-BBD7-CCE9431645EC}">
                        <a14:shadowObscured xmlns:a14="http://schemas.microsoft.com/office/drawing/2010/main"/>
                      </a:ext>
                    </a:extLst>
                  </pic:spPr>
                </pic:pic>
              </a:graphicData>
            </a:graphic>
          </wp:inline>
        </w:drawing>
      </w:r>
    </w:p>
    <w:p w14:paraId="413B1804" w14:textId="0F69B2C6" w:rsidR="00C218DA" w:rsidRDefault="00C218DA" w:rsidP="00223BE2">
      <w:pPr>
        <w:pStyle w:val="aff3"/>
        <w:rPr>
          <w:rtl/>
        </w:rPr>
      </w:pPr>
      <w:r w:rsidRPr="009747FD">
        <w:rPr>
          <w:rFonts w:hint="cs"/>
          <w:rtl/>
        </w:rPr>
        <w:t>על פי נתוני משרד הבינוי, בעיבוד משרד מבקר המדינה.</w:t>
      </w:r>
    </w:p>
    <w:p w14:paraId="64FC0EF3" w14:textId="77777777" w:rsidR="002240BA" w:rsidRPr="002240BA" w:rsidRDefault="002240BA" w:rsidP="002240BA">
      <w:pPr>
        <w:pStyle w:val="ac"/>
        <w:rPr>
          <w:highlight w:val="yellow"/>
          <w:rtl/>
        </w:rPr>
      </w:pPr>
    </w:p>
    <w:p w14:paraId="2DAF137B" w14:textId="2BD8615D" w:rsidR="00C218DA" w:rsidRDefault="00C218DA" w:rsidP="002240BA">
      <w:pPr>
        <w:pStyle w:val="100"/>
        <w:rPr>
          <w:rtl/>
        </w:rPr>
      </w:pPr>
      <w:r>
        <w:rPr>
          <w:rFonts w:hint="cs"/>
          <w:rtl/>
        </w:rPr>
        <w:t>מתרשים 12 עולה כי חלקן היחסי של הדירות שרכש משרד הבינוי במחוזות מרכז וירושלים מבין כל המחוזות הוא הגדול ביותר (51% ו-22% בהתאמה). כפי שעולה מתרשים 11, בשני מחוזות אלו משך ההמתנה לדירה הוא הארוך ביותר.</w:t>
      </w:r>
    </w:p>
    <w:p w14:paraId="308B2077" w14:textId="77777777" w:rsidR="00C218DA" w:rsidRDefault="00C218DA" w:rsidP="002240BA">
      <w:pPr>
        <w:pStyle w:val="100"/>
        <w:rPr>
          <w:rtl/>
        </w:rPr>
      </w:pPr>
      <w:r>
        <w:rPr>
          <w:rFonts w:hint="cs"/>
          <w:rtl/>
        </w:rPr>
        <w:t>בתרשים 13 שלהלן מוצג שיעור הדירות שרכש משרד הבינוי בשנים 2014 עד יוני 2019, לפי קבוצות מחיר בש"ח, וממנו</w:t>
      </w:r>
      <w:r w:rsidRPr="008C4884">
        <w:rPr>
          <w:rFonts w:hint="cs"/>
          <w:rtl/>
        </w:rPr>
        <w:t xml:space="preserve"> </w:t>
      </w:r>
      <w:r>
        <w:rPr>
          <w:rFonts w:hint="cs"/>
          <w:rtl/>
        </w:rPr>
        <w:t xml:space="preserve">עולה כי יותר מ-90% מהדירות נרכשו במחירים שבין 800,000 ש"ח ל-1.8 מיליון ש"ח: </w:t>
      </w:r>
    </w:p>
    <w:p w14:paraId="64693358" w14:textId="77777777" w:rsidR="00C218DA" w:rsidRDefault="00C218DA" w:rsidP="00C218DA">
      <w:pPr>
        <w:spacing w:line="269" w:lineRule="auto"/>
        <w:rPr>
          <w:rtl/>
        </w:rPr>
      </w:pPr>
    </w:p>
    <w:p w14:paraId="32E3A710" w14:textId="77777777" w:rsidR="00C218DA" w:rsidRDefault="00C218DA" w:rsidP="00C218DA">
      <w:pPr>
        <w:spacing w:line="269" w:lineRule="auto"/>
        <w:rPr>
          <w:rtl/>
        </w:rPr>
      </w:pPr>
    </w:p>
    <w:p w14:paraId="628CE076" w14:textId="77777777" w:rsidR="00C218DA" w:rsidRDefault="00C218DA" w:rsidP="00C218DA">
      <w:pPr>
        <w:spacing w:line="269" w:lineRule="auto"/>
        <w:rPr>
          <w:rtl/>
        </w:rPr>
      </w:pPr>
    </w:p>
    <w:p w14:paraId="518BEBED" w14:textId="77777777" w:rsidR="00C218DA" w:rsidRDefault="00C218DA" w:rsidP="00C218DA">
      <w:pPr>
        <w:spacing w:line="269" w:lineRule="auto"/>
        <w:rPr>
          <w:rtl/>
        </w:rPr>
      </w:pPr>
    </w:p>
    <w:p w14:paraId="7FE6D3DC" w14:textId="77777777" w:rsidR="00C218DA" w:rsidRDefault="00C218DA" w:rsidP="00C218DA">
      <w:pPr>
        <w:spacing w:line="269" w:lineRule="auto"/>
        <w:rPr>
          <w:rtl/>
        </w:rPr>
      </w:pPr>
    </w:p>
    <w:p w14:paraId="555AAD49" w14:textId="77777777" w:rsidR="00C218DA" w:rsidRDefault="00C218DA" w:rsidP="00C218DA">
      <w:pPr>
        <w:spacing w:line="269" w:lineRule="auto"/>
        <w:rPr>
          <w:rtl/>
        </w:rPr>
      </w:pPr>
    </w:p>
    <w:p w14:paraId="12B6A7DB" w14:textId="77777777" w:rsidR="00C218DA" w:rsidRDefault="00C218DA" w:rsidP="00C218DA">
      <w:pPr>
        <w:spacing w:line="269" w:lineRule="auto"/>
        <w:rPr>
          <w:rtl/>
        </w:rPr>
      </w:pPr>
    </w:p>
    <w:p w14:paraId="04524A57" w14:textId="77777777" w:rsidR="00C218DA" w:rsidRDefault="00C218DA" w:rsidP="00C218DA">
      <w:pPr>
        <w:spacing w:line="269" w:lineRule="auto"/>
        <w:rPr>
          <w:rtl/>
        </w:rPr>
      </w:pPr>
    </w:p>
    <w:p w14:paraId="63FA8D8C" w14:textId="77777777" w:rsidR="00C218DA" w:rsidRDefault="00C218DA" w:rsidP="00C218DA">
      <w:pPr>
        <w:spacing w:line="269" w:lineRule="auto"/>
        <w:rPr>
          <w:rtl/>
        </w:rPr>
      </w:pPr>
    </w:p>
    <w:p w14:paraId="1E151891" w14:textId="77777777" w:rsidR="00C218DA" w:rsidRDefault="00C218DA" w:rsidP="00C218DA">
      <w:pPr>
        <w:spacing w:line="269" w:lineRule="auto"/>
        <w:rPr>
          <w:rtl/>
        </w:rPr>
      </w:pPr>
    </w:p>
    <w:p w14:paraId="2A5C2AF3" w14:textId="77777777" w:rsidR="00C218DA" w:rsidRDefault="00C218DA" w:rsidP="00C218DA">
      <w:pPr>
        <w:bidi w:val="0"/>
        <w:spacing w:after="200" w:line="276" w:lineRule="auto"/>
        <w:rPr>
          <w:szCs w:val="20"/>
          <w:rtl/>
        </w:rPr>
      </w:pPr>
      <w:r>
        <w:rPr>
          <w:rtl/>
        </w:rPr>
        <w:br w:type="page"/>
      </w:r>
    </w:p>
    <w:p w14:paraId="6C0CC57F" w14:textId="77777777" w:rsidR="00C218DA" w:rsidRDefault="00C218DA" w:rsidP="002240BA">
      <w:pPr>
        <w:pStyle w:val="aa"/>
        <w:rPr>
          <w:rtl/>
        </w:rPr>
      </w:pPr>
      <w:r w:rsidRPr="00EC7EC7">
        <w:rPr>
          <w:rFonts w:hint="eastAsia"/>
          <w:rtl/>
        </w:rPr>
        <w:lastRenderedPageBreak/>
        <w:t>תרשים</w:t>
      </w:r>
      <w:r w:rsidRPr="00EC7EC7">
        <w:rPr>
          <w:rtl/>
        </w:rPr>
        <w:t xml:space="preserve"> 13: </w:t>
      </w:r>
      <w:r w:rsidRPr="002240BA">
        <w:rPr>
          <w:rFonts w:hint="cs"/>
          <w:b/>
          <w:bCs/>
          <w:rtl/>
        </w:rPr>
        <w:t xml:space="preserve">שיעור </w:t>
      </w:r>
      <w:r w:rsidRPr="002240BA">
        <w:rPr>
          <w:rFonts w:hint="eastAsia"/>
          <w:b/>
          <w:bCs/>
          <w:rtl/>
        </w:rPr>
        <w:t>הדירות</w:t>
      </w:r>
      <w:r w:rsidRPr="002240BA">
        <w:rPr>
          <w:b/>
          <w:bCs/>
          <w:rtl/>
        </w:rPr>
        <w:t xml:space="preserve"> שרכש משרד </w:t>
      </w:r>
      <w:r w:rsidRPr="002240BA">
        <w:rPr>
          <w:rFonts w:hint="eastAsia"/>
          <w:b/>
          <w:bCs/>
          <w:rtl/>
        </w:rPr>
        <w:t>הבינוי</w:t>
      </w:r>
      <w:r w:rsidRPr="002240BA">
        <w:rPr>
          <w:rFonts w:hint="cs"/>
          <w:b/>
          <w:bCs/>
          <w:rtl/>
        </w:rPr>
        <w:t>,</w:t>
      </w:r>
      <w:r w:rsidRPr="002240BA">
        <w:rPr>
          <w:b/>
          <w:bCs/>
          <w:rtl/>
        </w:rPr>
        <w:t xml:space="preserve"> לפי קבוצות מחיר ב</w:t>
      </w:r>
      <w:r w:rsidRPr="002240BA">
        <w:rPr>
          <w:rFonts w:hint="cs"/>
          <w:b/>
          <w:bCs/>
          <w:rtl/>
        </w:rPr>
        <w:t xml:space="preserve">אלפי </w:t>
      </w:r>
      <w:r w:rsidRPr="002240BA">
        <w:rPr>
          <w:b/>
          <w:bCs/>
          <w:rtl/>
        </w:rPr>
        <w:t>ש"ח</w:t>
      </w:r>
      <w:r w:rsidRPr="002240BA">
        <w:rPr>
          <w:rFonts w:hint="cs"/>
          <w:b/>
          <w:bCs/>
          <w:rtl/>
        </w:rPr>
        <w:t>, 2014 עד יוני 2019 (באחוזים)</w:t>
      </w:r>
    </w:p>
    <w:p w14:paraId="41017F57" w14:textId="77777777" w:rsidR="00C218DA" w:rsidRPr="00296FC0" w:rsidRDefault="00C218DA" w:rsidP="00C218DA">
      <w:pPr>
        <w:spacing w:line="269" w:lineRule="auto"/>
        <w:jc w:val="center"/>
        <w:rPr>
          <w:b/>
          <w:bCs/>
          <w:rtl/>
        </w:rPr>
      </w:pPr>
      <w:r>
        <w:rPr>
          <w:noProof/>
        </w:rPr>
        <w:drawing>
          <wp:inline distT="0" distB="0" distL="0" distR="0" wp14:anchorId="3BAA234F" wp14:editId="09196D9C">
            <wp:extent cx="3525488" cy="3267075"/>
            <wp:effectExtent l="0" t="0" r="0" b="0"/>
            <wp:docPr id="2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83258"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561837" cy="3300760"/>
                    </a:xfrm>
                    <a:prstGeom prst="rect">
                      <a:avLst/>
                    </a:prstGeom>
                    <a:noFill/>
                    <a:ln>
                      <a:noFill/>
                    </a:ln>
                  </pic:spPr>
                </pic:pic>
              </a:graphicData>
            </a:graphic>
          </wp:inline>
        </w:drawing>
      </w:r>
    </w:p>
    <w:p w14:paraId="717EFD27" w14:textId="77777777" w:rsidR="00C218DA" w:rsidRPr="00175C5D" w:rsidRDefault="00C218DA" w:rsidP="002240BA">
      <w:pPr>
        <w:pStyle w:val="ac"/>
        <w:rPr>
          <w:rtl/>
        </w:rPr>
      </w:pPr>
      <w:r w:rsidRPr="00EC7EC7">
        <w:rPr>
          <w:rFonts w:hint="eastAsia"/>
          <w:rtl/>
        </w:rPr>
        <w:t>על</w:t>
      </w:r>
      <w:r w:rsidRPr="00EC7EC7">
        <w:rPr>
          <w:rtl/>
        </w:rPr>
        <w:t xml:space="preserve"> פי </w:t>
      </w:r>
      <w:r w:rsidRPr="00EC7EC7">
        <w:rPr>
          <w:rFonts w:hint="eastAsia"/>
          <w:rtl/>
        </w:rPr>
        <w:t>נתוני</w:t>
      </w:r>
      <w:r w:rsidRPr="00EC7EC7">
        <w:rPr>
          <w:rtl/>
        </w:rPr>
        <w:t xml:space="preserve"> </w:t>
      </w:r>
      <w:r w:rsidRPr="00175C5D">
        <w:rPr>
          <w:rtl/>
        </w:rPr>
        <w:t xml:space="preserve">משרד </w:t>
      </w:r>
      <w:r>
        <w:rPr>
          <w:rFonts w:hint="cs"/>
          <w:rtl/>
        </w:rPr>
        <w:t xml:space="preserve">הבינוי, </w:t>
      </w:r>
      <w:r w:rsidRPr="00175C5D">
        <w:rPr>
          <w:rFonts w:hint="eastAsia"/>
          <w:rtl/>
        </w:rPr>
        <w:t>בעיבוד</w:t>
      </w:r>
      <w:r w:rsidRPr="00175C5D">
        <w:rPr>
          <w:rtl/>
        </w:rPr>
        <w:t xml:space="preserve"> </w:t>
      </w:r>
      <w:r w:rsidRPr="00175C5D">
        <w:rPr>
          <w:rFonts w:hint="eastAsia"/>
          <w:rtl/>
        </w:rPr>
        <w:t>משרד</w:t>
      </w:r>
      <w:r w:rsidRPr="00175C5D">
        <w:rPr>
          <w:rtl/>
        </w:rPr>
        <w:t xml:space="preserve"> </w:t>
      </w:r>
      <w:r w:rsidRPr="00175C5D">
        <w:rPr>
          <w:rFonts w:hint="eastAsia"/>
          <w:rtl/>
        </w:rPr>
        <w:t>מבקר</w:t>
      </w:r>
      <w:r w:rsidRPr="00175C5D">
        <w:rPr>
          <w:rtl/>
        </w:rPr>
        <w:t xml:space="preserve"> </w:t>
      </w:r>
      <w:r w:rsidRPr="00175C5D">
        <w:rPr>
          <w:rFonts w:hint="eastAsia"/>
          <w:rtl/>
        </w:rPr>
        <w:t>המדינה</w:t>
      </w:r>
      <w:r w:rsidRPr="00175C5D">
        <w:rPr>
          <w:rtl/>
        </w:rPr>
        <w:t>.</w:t>
      </w:r>
    </w:p>
    <w:p w14:paraId="271BFED5" w14:textId="77777777" w:rsidR="002240BA" w:rsidRDefault="002240BA" w:rsidP="002240BA">
      <w:pPr>
        <w:pStyle w:val="100"/>
        <w:rPr>
          <w:rtl/>
        </w:rPr>
      </w:pPr>
    </w:p>
    <w:p w14:paraId="59457C17" w14:textId="77777777" w:rsidR="00C218DA" w:rsidRDefault="00C218DA" w:rsidP="002240BA">
      <w:pPr>
        <w:pStyle w:val="100"/>
        <w:rPr>
          <w:rtl/>
        </w:rPr>
      </w:pPr>
      <w:r>
        <w:rPr>
          <w:rFonts w:hint="cs"/>
          <w:rtl/>
        </w:rPr>
        <w:t>על פי מדיניות משרד הבינוי, המשרד מקצה דירות לזכאים לפי מקומם ברשימת הממתינים ביישוב הרלוונטי (דירה קיימת שהתפנתה או דירה שנרכשה). המבקש זכאי לדירה ביישוב שבו הוא מתגורר, כדי שיוכל להמשיך להתגורר בסביבתו המוכרת, כפי שיפורט להלן. רשימת הממתינים היא גם הבסיס לקביעת התוכנית לרכישת הדירות.</w:t>
      </w:r>
    </w:p>
    <w:p w14:paraId="013CDC8E" w14:textId="4CA6DE40" w:rsidR="00C218DA" w:rsidRPr="002240BA" w:rsidRDefault="00C218DA" w:rsidP="002240BA">
      <w:pPr>
        <w:pStyle w:val="100"/>
        <w:rPr>
          <w:rFonts w:ascii="David" w:hAnsi="David"/>
          <w:sz w:val="24"/>
          <w:rtl/>
        </w:rPr>
      </w:pPr>
      <w:r w:rsidRPr="00C75E2F">
        <w:rPr>
          <w:rFonts w:hint="eastAsia"/>
          <w:rtl/>
        </w:rPr>
        <w:t>כפי</w:t>
      </w:r>
      <w:r w:rsidRPr="00C75E2F">
        <w:rPr>
          <w:rtl/>
        </w:rPr>
        <w:t xml:space="preserve"> </w:t>
      </w:r>
      <w:r w:rsidRPr="00C75E2F">
        <w:rPr>
          <w:rFonts w:hint="eastAsia"/>
          <w:rtl/>
        </w:rPr>
        <w:t>שעולה</w:t>
      </w:r>
      <w:r w:rsidRPr="00C75E2F">
        <w:rPr>
          <w:rtl/>
        </w:rPr>
        <w:t xml:space="preserve"> </w:t>
      </w:r>
      <w:r w:rsidRPr="00C75E2F">
        <w:rPr>
          <w:rFonts w:hint="eastAsia"/>
          <w:rtl/>
        </w:rPr>
        <w:t>מתרשים</w:t>
      </w:r>
      <w:r w:rsidRPr="00C75E2F">
        <w:rPr>
          <w:rtl/>
        </w:rPr>
        <w:t xml:space="preserve"> 13, עלותן </w:t>
      </w:r>
      <w:r w:rsidRPr="00F255E9">
        <w:rPr>
          <w:rtl/>
        </w:rPr>
        <w:t xml:space="preserve">של יותר מ-50% מהדירות הייתה </w:t>
      </w:r>
      <w:r>
        <w:rPr>
          <w:rFonts w:hint="cs"/>
          <w:rtl/>
        </w:rPr>
        <w:t>יותר</w:t>
      </w:r>
      <w:r w:rsidRPr="00F255E9">
        <w:rPr>
          <w:rtl/>
        </w:rPr>
        <w:t xml:space="preserve"> </w:t>
      </w:r>
      <w:r>
        <w:rPr>
          <w:rFonts w:hint="cs"/>
          <w:rtl/>
        </w:rPr>
        <w:t>מ-</w:t>
      </w:r>
      <w:r w:rsidRPr="00F255E9">
        <w:rPr>
          <w:rtl/>
        </w:rPr>
        <w:t xml:space="preserve">1.3 מיליון ש"ח לדירה. </w:t>
      </w:r>
      <w:r w:rsidRPr="00F255E9">
        <w:rPr>
          <w:rFonts w:hint="eastAsia"/>
          <w:rtl/>
        </w:rPr>
        <w:t>אשר</w:t>
      </w:r>
      <w:r w:rsidRPr="00F255E9">
        <w:rPr>
          <w:rtl/>
        </w:rPr>
        <w:t xml:space="preserve"> </w:t>
      </w:r>
      <w:r w:rsidRPr="00F255E9">
        <w:rPr>
          <w:rFonts w:hint="eastAsia"/>
          <w:rtl/>
        </w:rPr>
        <w:t>לאפשרות</w:t>
      </w:r>
      <w:r w:rsidRPr="00F255E9">
        <w:rPr>
          <w:rtl/>
        </w:rPr>
        <w:t xml:space="preserve"> </w:t>
      </w:r>
      <w:r w:rsidRPr="00F255E9">
        <w:rPr>
          <w:rFonts w:hint="eastAsia"/>
          <w:rtl/>
        </w:rPr>
        <w:t>להגדיל</w:t>
      </w:r>
      <w:r w:rsidRPr="00F255E9">
        <w:rPr>
          <w:rtl/>
        </w:rPr>
        <w:t xml:space="preserve"> </w:t>
      </w:r>
      <w:r w:rsidRPr="00F255E9">
        <w:rPr>
          <w:rFonts w:hint="eastAsia"/>
          <w:rtl/>
        </w:rPr>
        <w:t>את</w:t>
      </w:r>
      <w:r w:rsidRPr="00F255E9">
        <w:rPr>
          <w:rtl/>
        </w:rPr>
        <w:t xml:space="preserve"> </w:t>
      </w:r>
      <w:r w:rsidRPr="00F255E9">
        <w:rPr>
          <w:rFonts w:hint="eastAsia"/>
          <w:rtl/>
        </w:rPr>
        <w:t>מספר</w:t>
      </w:r>
      <w:r w:rsidRPr="00F255E9">
        <w:rPr>
          <w:rtl/>
        </w:rPr>
        <w:t xml:space="preserve"> </w:t>
      </w:r>
      <w:r w:rsidRPr="00F255E9">
        <w:rPr>
          <w:rFonts w:hint="eastAsia"/>
          <w:rtl/>
        </w:rPr>
        <w:t>הדירות</w:t>
      </w:r>
      <w:r w:rsidRPr="00F255E9">
        <w:rPr>
          <w:rtl/>
        </w:rPr>
        <w:t xml:space="preserve"> הנרכשות </w:t>
      </w:r>
      <w:r w:rsidRPr="00F255E9">
        <w:rPr>
          <w:rFonts w:hint="eastAsia"/>
          <w:rtl/>
        </w:rPr>
        <w:t>באמצעות</w:t>
      </w:r>
      <w:r w:rsidRPr="00F255E9">
        <w:rPr>
          <w:rtl/>
        </w:rPr>
        <w:t xml:space="preserve"> </w:t>
      </w:r>
      <w:r w:rsidRPr="00F255E9">
        <w:rPr>
          <w:rFonts w:hint="eastAsia"/>
          <w:rtl/>
        </w:rPr>
        <w:t>רכ</w:t>
      </w:r>
      <w:r>
        <w:rPr>
          <w:rFonts w:hint="cs"/>
          <w:rtl/>
        </w:rPr>
        <w:t>י</w:t>
      </w:r>
      <w:r w:rsidRPr="00F255E9">
        <w:rPr>
          <w:rFonts w:hint="eastAsia"/>
          <w:rtl/>
        </w:rPr>
        <w:t>ש</w:t>
      </w:r>
      <w:r>
        <w:rPr>
          <w:rFonts w:hint="cs"/>
          <w:rtl/>
        </w:rPr>
        <w:t>ת</w:t>
      </w:r>
      <w:r w:rsidRPr="00F255E9">
        <w:rPr>
          <w:rtl/>
        </w:rPr>
        <w:t xml:space="preserve"> </w:t>
      </w:r>
      <w:r w:rsidRPr="00F255E9">
        <w:rPr>
          <w:rFonts w:hint="eastAsia"/>
          <w:rtl/>
        </w:rPr>
        <w:t>דירות</w:t>
      </w:r>
      <w:r w:rsidRPr="00F255E9">
        <w:rPr>
          <w:rtl/>
        </w:rPr>
        <w:t xml:space="preserve"> </w:t>
      </w:r>
      <w:r w:rsidRPr="00F255E9">
        <w:rPr>
          <w:rFonts w:hint="eastAsia"/>
          <w:rtl/>
        </w:rPr>
        <w:t>זולות</w:t>
      </w:r>
      <w:r w:rsidRPr="00F255E9">
        <w:rPr>
          <w:rtl/>
        </w:rPr>
        <w:t xml:space="preserve"> </w:t>
      </w:r>
      <w:r w:rsidRPr="00F255E9">
        <w:rPr>
          <w:rFonts w:hint="eastAsia"/>
          <w:rtl/>
        </w:rPr>
        <w:t>במקום</w:t>
      </w:r>
      <w:r w:rsidRPr="00F255E9">
        <w:rPr>
          <w:rtl/>
        </w:rPr>
        <w:t xml:space="preserve"> </w:t>
      </w:r>
      <w:r w:rsidRPr="00F255E9">
        <w:rPr>
          <w:rFonts w:hint="eastAsia"/>
          <w:rtl/>
        </w:rPr>
        <w:t>יקרות</w:t>
      </w:r>
      <w:r w:rsidRPr="00F255E9">
        <w:rPr>
          <w:rtl/>
        </w:rPr>
        <w:t xml:space="preserve">, </w:t>
      </w:r>
      <w:r w:rsidRPr="00F255E9">
        <w:rPr>
          <w:rFonts w:hint="eastAsia"/>
          <w:rtl/>
        </w:rPr>
        <w:t>למשל</w:t>
      </w:r>
      <w:r w:rsidRPr="00F255E9">
        <w:rPr>
          <w:rtl/>
        </w:rPr>
        <w:t xml:space="preserve"> </w:t>
      </w:r>
      <w:r w:rsidRPr="00F255E9">
        <w:rPr>
          <w:rFonts w:hint="eastAsia"/>
          <w:rtl/>
        </w:rPr>
        <w:t>באמצעות</w:t>
      </w:r>
      <w:r w:rsidRPr="00F255E9">
        <w:rPr>
          <w:rtl/>
        </w:rPr>
        <w:t xml:space="preserve"> </w:t>
      </w:r>
      <w:r w:rsidRPr="00F255E9">
        <w:rPr>
          <w:rFonts w:hint="eastAsia"/>
          <w:rtl/>
        </w:rPr>
        <w:t>הסטת</w:t>
      </w:r>
      <w:r w:rsidRPr="00F255E9">
        <w:rPr>
          <w:rtl/>
        </w:rPr>
        <w:t xml:space="preserve"> </w:t>
      </w:r>
      <w:r w:rsidRPr="00F255E9">
        <w:rPr>
          <w:rFonts w:hint="eastAsia"/>
          <w:rtl/>
        </w:rPr>
        <w:t>הרכש</w:t>
      </w:r>
      <w:r w:rsidRPr="00F255E9">
        <w:rPr>
          <w:rtl/>
        </w:rPr>
        <w:t xml:space="preserve"> </w:t>
      </w:r>
      <w:r w:rsidRPr="00F255E9">
        <w:rPr>
          <w:rFonts w:hint="eastAsia"/>
          <w:rtl/>
        </w:rPr>
        <w:t>לאזורים</w:t>
      </w:r>
      <w:r w:rsidRPr="00F255E9">
        <w:rPr>
          <w:rtl/>
        </w:rPr>
        <w:t xml:space="preserve"> </w:t>
      </w:r>
      <w:r w:rsidRPr="00F255E9">
        <w:rPr>
          <w:rFonts w:hint="eastAsia"/>
          <w:rtl/>
        </w:rPr>
        <w:t>בעלי</w:t>
      </w:r>
      <w:r w:rsidRPr="00F255E9">
        <w:rPr>
          <w:rtl/>
        </w:rPr>
        <w:t xml:space="preserve"> </w:t>
      </w:r>
      <w:r w:rsidRPr="00F255E9">
        <w:rPr>
          <w:rFonts w:hint="eastAsia"/>
          <w:rtl/>
        </w:rPr>
        <w:t>ביקוש</w:t>
      </w:r>
      <w:r w:rsidRPr="00F255E9">
        <w:rPr>
          <w:rtl/>
        </w:rPr>
        <w:t xml:space="preserve"> </w:t>
      </w:r>
      <w:r w:rsidRPr="00F255E9">
        <w:rPr>
          <w:rFonts w:hint="eastAsia"/>
          <w:rtl/>
        </w:rPr>
        <w:t>מופחת</w:t>
      </w:r>
      <w:r>
        <w:rPr>
          <w:rFonts w:hint="cs"/>
          <w:rtl/>
        </w:rPr>
        <w:t xml:space="preserve"> לדירות</w:t>
      </w:r>
      <w:r w:rsidRPr="00F255E9">
        <w:rPr>
          <w:rtl/>
        </w:rPr>
        <w:t xml:space="preserve">, </w:t>
      </w:r>
      <w:r w:rsidRPr="00F255E9">
        <w:rPr>
          <w:rFonts w:hint="eastAsia"/>
          <w:rtl/>
        </w:rPr>
        <w:t>ו</w:t>
      </w:r>
      <w:r>
        <w:rPr>
          <w:rFonts w:hint="cs"/>
          <w:rtl/>
        </w:rPr>
        <w:t>ב</w:t>
      </w:r>
      <w:r w:rsidRPr="00F255E9">
        <w:rPr>
          <w:rFonts w:hint="eastAsia"/>
          <w:rtl/>
        </w:rPr>
        <w:t>כך</w:t>
      </w:r>
      <w:r w:rsidRPr="00F255E9">
        <w:rPr>
          <w:rtl/>
        </w:rPr>
        <w:t xml:space="preserve"> לה</w:t>
      </w:r>
      <w:r>
        <w:rPr>
          <w:rFonts w:hint="cs"/>
          <w:rtl/>
        </w:rPr>
        <w:t>גדיל את המענה הניתן לזכאים הממתינים</w:t>
      </w:r>
      <w:r w:rsidRPr="00F255E9">
        <w:rPr>
          <w:rtl/>
        </w:rPr>
        <w:t xml:space="preserve">, ציין </w:t>
      </w:r>
      <w:r>
        <w:rPr>
          <w:rFonts w:hint="cs"/>
          <w:rtl/>
        </w:rPr>
        <w:t>משרד הבינוי בתשובתו למשרד מבקר המדינה כי</w:t>
      </w:r>
      <w:r w:rsidRPr="00347DFE">
        <w:rPr>
          <w:rFonts w:ascii="David" w:hAnsi="David"/>
          <w:sz w:val="24"/>
          <w:rtl/>
        </w:rPr>
        <w:t xml:space="preserve"> משמעות יישומה של ה</w:t>
      </w:r>
      <w:r>
        <w:rPr>
          <w:rFonts w:ascii="David" w:hAnsi="David" w:hint="cs"/>
          <w:sz w:val="24"/>
          <w:rtl/>
        </w:rPr>
        <w:t>אפשרות</w:t>
      </w:r>
      <w:r w:rsidRPr="00347DFE">
        <w:rPr>
          <w:rFonts w:ascii="David" w:hAnsi="David"/>
          <w:sz w:val="24"/>
          <w:rtl/>
        </w:rPr>
        <w:t xml:space="preserve"> </w:t>
      </w:r>
      <w:r>
        <w:rPr>
          <w:rFonts w:ascii="David" w:hAnsi="David" w:hint="cs"/>
          <w:sz w:val="24"/>
          <w:rtl/>
        </w:rPr>
        <w:t>לעיל</w:t>
      </w:r>
      <w:r w:rsidRPr="00347DFE">
        <w:rPr>
          <w:rFonts w:ascii="David" w:hAnsi="David"/>
          <w:sz w:val="24"/>
          <w:rtl/>
        </w:rPr>
        <w:t xml:space="preserve"> היא ריכוז הרכישות בשכונות </w:t>
      </w:r>
      <w:r>
        <w:rPr>
          <w:rFonts w:ascii="David" w:hAnsi="David" w:hint="cs"/>
          <w:sz w:val="24"/>
          <w:rtl/>
        </w:rPr>
        <w:t xml:space="preserve">או </w:t>
      </w:r>
      <w:r w:rsidRPr="00347DFE">
        <w:rPr>
          <w:rFonts w:ascii="David" w:hAnsi="David"/>
          <w:sz w:val="24"/>
          <w:rtl/>
        </w:rPr>
        <w:t>בי</w:t>
      </w:r>
      <w:r>
        <w:rPr>
          <w:rFonts w:ascii="David" w:hAnsi="David" w:hint="cs"/>
          <w:sz w:val="24"/>
          <w:rtl/>
        </w:rPr>
        <w:t>י</w:t>
      </w:r>
      <w:r w:rsidRPr="00347DFE">
        <w:rPr>
          <w:rFonts w:ascii="David" w:hAnsi="David"/>
          <w:sz w:val="24"/>
          <w:rtl/>
        </w:rPr>
        <w:t xml:space="preserve">שובים </w:t>
      </w:r>
      <w:r>
        <w:rPr>
          <w:rFonts w:ascii="David" w:hAnsi="David" w:hint="cs"/>
          <w:sz w:val="24"/>
          <w:rtl/>
        </w:rPr>
        <w:t xml:space="preserve">שבהם הדירות </w:t>
      </w:r>
      <w:r w:rsidRPr="00347DFE">
        <w:rPr>
          <w:rFonts w:ascii="David" w:hAnsi="David"/>
          <w:sz w:val="24"/>
          <w:rtl/>
        </w:rPr>
        <w:t>זול</w:t>
      </w:r>
      <w:r>
        <w:rPr>
          <w:rFonts w:ascii="David" w:hAnsi="David" w:hint="cs"/>
          <w:sz w:val="24"/>
          <w:rtl/>
        </w:rPr>
        <w:t xml:space="preserve">ות. </w:t>
      </w:r>
      <w:r w:rsidRPr="00347DFE">
        <w:rPr>
          <w:rFonts w:ascii="David" w:hAnsi="David"/>
          <w:sz w:val="24"/>
          <w:rtl/>
        </w:rPr>
        <w:t>המשרד סבור ש</w:t>
      </w:r>
      <w:r>
        <w:rPr>
          <w:rFonts w:ascii="David" w:hAnsi="David" w:hint="cs"/>
          <w:sz w:val="24"/>
          <w:rtl/>
        </w:rPr>
        <w:t>ב</w:t>
      </w:r>
      <w:r w:rsidRPr="00347DFE">
        <w:rPr>
          <w:rFonts w:ascii="David" w:hAnsi="David"/>
          <w:sz w:val="24"/>
          <w:rtl/>
        </w:rPr>
        <w:t>מדיניות</w:t>
      </w:r>
      <w:r>
        <w:rPr>
          <w:rFonts w:ascii="David" w:hAnsi="David" w:hint="cs"/>
          <w:sz w:val="24"/>
          <w:rtl/>
        </w:rPr>
        <w:t xml:space="preserve"> הרכש</w:t>
      </w:r>
      <w:r w:rsidRPr="00347DFE">
        <w:rPr>
          <w:rFonts w:ascii="David" w:hAnsi="David"/>
          <w:sz w:val="24"/>
          <w:rtl/>
        </w:rPr>
        <w:t xml:space="preserve"> </w:t>
      </w:r>
      <w:r>
        <w:rPr>
          <w:rFonts w:ascii="David" w:hAnsi="David" w:hint="cs"/>
          <w:sz w:val="24"/>
          <w:rtl/>
        </w:rPr>
        <w:t>הנוכחית קיימת</w:t>
      </w:r>
      <w:r w:rsidRPr="00347DFE">
        <w:rPr>
          <w:rFonts w:ascii="David" w:hAnsi="David"/>
          <w:sz w:val="24"/>
          <w:rtl/>
        </w:rPr>
        <w:t xml:space="preserve"> נקודת איזון </w:t>
      </w:r>
      <w:r>
        <w:rPr>
          <w:rFonts w:ascii="David" w:hAnsi="David" w:hint="cs"/>
          <w:sz w:val="24"/>
          <w:rtl/>
        </w:rPr>
        <w:t xml:space="preserve">ראויה </w:t>
      </w:r>
      <w:r w:rsidRPr="00347DFE">
        <w:rPr>
          <w:rFonts w:ascii="David" w:hAnsi="David"/>
          <w:sz w:val="24"/>
          <w:rtl/>
        </w:rPr>
        <w:t xml:space="preserve">בין </w:t>
      </w:r>
      <w:r>
        <w:rPr>
          <w:rFonts w:ascii="David" w:hAnsi="David" w:hint="cs"/>
          <w:sz w:val="24"/>
          <w:rtl/>
        </w:rPr>
        <w:t>התחשבות ב</w:t>
      </w:r>
      <w:r w:rsidRPr="00347DFE">
        <w:rPr>
          <w:rFonts w:ascii="David" w:hAnsi="David"/>
          <w:sz w:val="24"/>
          <w:rtl/>
        </w:rPr>
        <w:t>צ</w:t>
      </w:r>
      <w:r>
        <w:rPr>
          <w:rFonts w:ascii="David" w:hAnsi="David" w:hint="cs"/>
          <w:sz w:val="24"/>
          <w:rtl/>
        </w:rPr>
        <w:t>ו</w:t>
      </w:r>
      <w:r w:rsidRPr="00347DFE">
        <w:rPr>
          <w:rFonts w:ascii="David" w:hAnsi="David"/>
          <w:sz w:val="24"/>
          <w:rtl/>
        </w:rPr>
        <w:t xml:space="preserve">רכי הזכאים לבין </w:t>
      </w:r>
      <w:r>
        <w:rPr>
          <w:rFonts w:ascii="David" w:hAnsi="David" w:hint="cs"/>
          <w:sz w:val="24"/>
          <w:rtl/>
        </w:rPr>
        <w:t>עלות</w:t>
      </w:r>
      <w:r w:rsidRPr="00347DFE">
        <w:rPr>
          <w:rFonts w:ascii="David" w:hAnsi="David"/>
          <w:sz w:val="24"/>
          <w:rtl/>
        </w:rPr>
        <w:t xml:space="preserve"> הדירות</w:t>
      </w:r>
      <w:r>
        <w:rPr>
          <w:rFonts w:ascii="David" w:hAnsi="David" w:hint="cs"/>
          <w:sz w:val="24"/>
          <w:rtl/>
        </w:rPr>
        <w:t xml:space="preserve"> הנרכשות</w:t>
      </w:r>
      <w:r w:rsidRPr="00347DFE">
        <w:rPr>
          <w:rFonts w:ascii="David" w:hAnsi="David"/>
          <w:sz w:val="24"/>
          <w:rtl/>
        </w:rPr>
        <w:t xml:space="preserve">. </w:t>
      </w:r>
      <w:r>
        <w:rPr>
          <w:rFonts w:ascii="David" w:hAnsi="David" w:hint="cs"/>
          <w:sz w:val="24"/>
          <w:rtl/>
        </w:rPr>
        <w:t>עוד הדגיש המשרד כי הוא קבע תקרת מחיר לרכישת הדירות</w:t>
      </w:r>
      <w:r w:rsidRPr="00347DFE">
        <w:rPr>
          <w:rFonts w:ascii="David" w:hAnsi="David"/>
          <w:sz w:val="24"/>
          <w:rtl/>
        </w:rPr>
        <w:t xml:space="preserve"> </w:t>
      </w:r>
      <w:r>
        <w:rPr>
          <w:rFonts w:ascii="David" w:hAnsi="David" w:hint="cs"/>
          <w:sz w:val="24"/>
          <w:rtl/>
        </w:rPr>
        <w:t>כדי להבטיח</w:t>
      </w:r>
      <w:r w:rsidRPr="00347DFE">
        <w:rPr>
          <w:rFonts w:ascii="David" w:hAnsi="David"/>
          <w:sz w:val="24"/>
          <w:rtl/>
        </w:rPr>
        <w:t xml:space="preserve"> רכ</w:t>
      </w:r>
      <w:r>
        <w:rPr>
          <w:rFonts w:ascii="David" w:hAnsi="David" w:hint="cs"/>
          <w:sz w:val="24"/>
          <w:rtl/>
        </w:rPr>
        <w:t>י</w:t>
      </w:r>
      <w:r w:rsidRPr="00347DFE">
        <w:rPr>
          <w:rFonts w:ascii="David" w:hAnsi="David"/>
          <w:sz w:val="24"/>
          <w:rtl/>
        </w:rPr>
        <w:t>ש</w:t>
      </w:r>
      <w:r>
        <w:rPr>
          <w:rFonts w:ascii="David" w:hAnsi="David" w:hint="cs"/>
          <w:sz w:val="24"/>
          <w:rtl/>
        </w:rPr>
        <w:t>ה</w:t>
      </w:r>
      <w:r w:rsidRPr="00347DFE">
        <w:rPr>
          <w:rFonts w:ascii="David" w:hAnsi="David"/>
          <w:sz w:val="24"/>
          <w:rtl/>
        </w:rPr>
        <w:t xml:space="preserve"> במחירים סבירים, תוך הקפדה על איכות הדירות.</w:t>
      </w:r>
    </w:p>
    <w:p w14:paraId="16E5E4F7" w14:textId="77777777" w:rsidR="00C218DA" w:rsidRDefault="00C218DA" w:rsidP="002240BA">
      <w:pPr>
        <w:pStyle w:val="af5"/>
        <w:rPr>
          <w:rtl/>
        </w:rPr>
      </w:pPr>
      <w:r w:rsidRPr="00F255E9">
        <w:rPr>
          <w:rFonts w:hint="eastAsia"/>
          <w:rtl/>
        </w:rPr>
        <w:t>משרד</w:t>
      </w:r>
      <w:r w:rsidRPr="00F255E9">
        <w:rPr>
          <w:rtl/>
        </w:rPr>
        <w:t xml:space="preserve"> </w:t>
      </w:r>
      <w:r w:rsidRPr="00F255E9">
        <w:rPr>
          <w:rFonts w:hint="eastAsia"/>
          <w:rtl/>
        </w:rPr>
        <w:t>מבקר</w:t>
      </w:r>
      <w:r w:rsidRPr="00F255E9">
        <w:rPr>
          <w:rtl/>
        </w:rPr>
        <w:t xml:space="preserve"> </w:t>
      </w:r>
      <w:r w:rsidRPr="00F255E9">
        <w:rPr>
          <w:rFonts w:hint="eastAsia"/>
          <w:rtl/>
        </w:rPr>
        <w:t>המדינה</w:t>
      </w:r>
      <w:r w:rsidRPr="00F255E9">
        <w:rPr>
          <w:rtl/>
        </w:rPr>
        <w:t xml:space="preserve"> </w:t>
      </w:r>
      <w:r w:rsidRPr="00F255E9">
        <w:rPr>
          <w:rFonts w:hint="eastAsia"/>
          <w:rtl/>
        </w:rPr>
        <w:t>סבור</w:t>
      </w:r>
      <w:r w:rsidRPr="00F255E9">
        <w:rPr>
          <w:rtl/>
        </w:rPr>
        <w:t xml:space="preserve"> </w:t>
      </w:r>
      <w:r w:rsidRPr="00F255E9">
        <w:rPr>
          <w:rFonts w:hint="eastAsia"/>
          <w:rtl/>
        </w:rPr>
        <w:t>כי</w:t>
      </w:r>
      <w:r w:rsidRPr="00F255E9">
        <w:rPr>
          <w:rtl/>
        </w:rPr>
        <w:t xml:space="preserve"> </w:t>
      </w:r>
      <w:r w:rsidRPr="00F255E9">
        <w:rPr>
          <w:rFonts w:hint="eastAsia"/>
          <w:rtl/>
        </w:rPr>
        <w:t>ראוי</w:t>
      </w:r>
      <w:r w:rsidRPr="00F255E9">
        <w:rPr>
          <w:rtl/>
        </w:rPr>
        <w:t xml:space="preserve"> </w:t>
      </w:r>
      <w:r w:rsidRPr="00F255E9">
        <w:rPr>
          <w:rFonts w:hint="eastAsia"/>
          <w:rtl/>
        </w:rPr>
        <w:t>ששיקול</w:t>
      </w:r>
      <w:r w:rsidRPr="00F255E9">
        <w:rPr>
          <w:rtl/>
        </w:rPr>
        <w:t xml:space="preserve"> </w:t>
      </w:r>
      <w:r w:rsidRPr="00F255E9">
        <w:rPr>
          <w:rFonts w:hint="eastAsia"/>
          <w:rtl/>
        </w:rPr>
        <w:t>זה</w:t>
      </w:r>
      <w:r w:rsidRPr="00F255E9">
        <w:rPr>
          <w:rtl/>
        </w:rPr>
        <w:t xml:space="preserve"> </w:t>
      </w:r>
      <w:r w:rsidRPr="00F255E9">
        <w:rPr>
          <w:rFonts w:hint="eastAsia"/>
          <w:rtl/>
        </w:rPr>
        <w:t>י</w:t>
      </w:r>
      <w:r>
        <w:rPr>
          <w:rFonts w:hint="cs"/>
          <w:rtl/>
        </w:rPr>
        <w:t>י</w:t>
      </w:r>
      <w:r w:rsidRPr="00F255E9">
        <w:rPr>
          <w:rFonts w:hint="eastAsia"/>
          <w:rtl/>
        </w:rPr>
        <w:t>בחן</w:t>
      </w:r>
      <w:r w:rsidRPr="00F255E9">
        <w:rPr>
          <w:rtl/>
        </w:rPr>
        <w:t xml:space="preserve"> </w:t>
      </w:r>
      <w:r>
        <w:rPr>
          <w:rFonts w:hint="cs"/>
          <w:rtl/>
        </w:rPr>
        <w:t>מפעם לפעם</w:t>
      </w:r>
      <w:r w:rsidRPr="00F255E9">
        <w:rPr>
          <w:rtl/>
        </w:rPr>
        <w:t xml:space="preserve">, </w:t>
      </w:r>
      <w:r w:rsidRPr="00F255E9">
        <w:rPr>
          <w:rFonts w:hint="eastAsia"/>
          <w:rtl/>
        </w:rPr>
        <w:t>תוך</w:t>
      </w:r>
      <w:r w:rsidRPr="00F255E9">
        <w:rPr>
          <w:rtl/>
        </w:rPr>
        <w:t xml:space="preserve"> </w:t>
      </w:r>
      <w:r w:rsidRPr="00F255E9">
        <w:rPr>
          <w:rFonts w:hint="eastAsia"/>
          <w:rtl/>
        </w:rPr>
        <w:t>הקפדה</w:t>
      </w:r>
      <w:r w:rsidRPr="00F255E9">
        <w:rPr>
          <w:rtl/>
        </w:rPr>
        <w:t xml:space="preserve"> </w:t>
      </w:r>
      <w:r w:rsidRPr="00F255E9">
        <w:rPr>
          <w:rFonts w:hint="eastAsia"/>
          <w:rtl/>
        </w:rPr>
        <w:t>על</w:t>
      </w:r>
      <w:r w:rsidRPr="00F255E9">
        <w:rPr>
          <w:rtl/>
        </w:rPr>
        <w:t xml:space="preserve"> </w:t>
      </w:r>
      <w:r w:rsidRPr="00F255E9">
        <w:rPr>
          <w:rFonts w:hint="eastAsia"/>
          <w:rtl/>
        </w:rPr>
        <w:t>האיזון</w:t>
      </w:r>
      <w:r w:rsidRPr="00F255E9">
        <w:rPr>
          <w:rtl/>
        </w:rPr>
        <w:t xml:space="preserve"> </w:t>
      </w:r>
      <w:r w:rsidRPr="00F255E9">
        <w:rPr>
          <w:rFonts w:hint="eastAsia"/>
          <w:rtl/>
        </w:rPr>
        <w:t>הראוי</w:t>
      </w:r>
      <w:r w:rsidRPr="00F255E9">
        <w:rPr>
          <w:rtl/>
        </w:rPr>
        <w:t xml:space="preserve"> </w:t>
      </w:r>
      <w:r w:rsidRPr="00F255E9">
        <w:rPr>
          <w:rFonts w:hint="eastAsia"/>
          <w:rtl/>
        </w:rPr>
        <w:t>בין</w:t>
      </w:r>
      <w:r w:rsidRPr="00F255E9">
        <w:rPr>
          <w:rtl/>
        </w:rPr>
        <w:t xml:space="preserve"> </w:t>
      </w:r>
      <w:r w:rsidRPr="00F255E9">
        <w:rPr>
          <w:rFonts w:hint="eastAsia"/>
          <w:rtl/>
        </w:rPr>
        <w:t>צורכי</w:t>
      </w:r>
      <w:r w:rsidRPr="00F255E9">
        <w:rPr>
          <w:rtl/>
        </w:rPr>
        <w:t xml:space="preserve"> </w:t>
      </w:r>
      <w:r w:rsidRPr="00F255E9">
        <w:rPr>
          <w:rFonts w:hint="eastAsia"/>
          <w:rtl/>
        </w:rPr>
        <w:t>הזכאים</w:t>
      </w:r>
      <w:r w:rsidRPr="00F255E9">
        <w:rPr>
          <w:rtl/>
        </w:rPr>
        <w:t xml:space="preserve">, </w:t>
      </w:r>
      <w:r w:rsidRPr="00F255E9">
        <w:rPr>
          <w:rFonts w:hint="eastAsia"/>
          <w:rtl/>
        </w:rPr>
        <w:t>פיזור</w:t>
      </w:r>
      <w:r w:rsidRPr="00F255E9">
        <w:rPr>
          <w:rtl/>
        </w:rPr>
        <w:t xml:space="preserve"> </w:t>
      </w:r>
      <w:r w:rsidRPr="00F255E9">
        <w:rPr>
          <w:rFonts w:hint="eastAsia"/>
          <w:rtl/>
        </w:rPr>
        <w:t>נדרש</w:t>
      </w:r>
      <w:r w:rsidRPr="00F255E9">
        <w:rPr>
          <w:rtl/>
        </w:rPr>
        <w:t xml:space="preserve"> </w:t>
      </w:r>
      <w:r w:rsidRPr="00F255E9">
        <w:rPr>
          <w:rFonts w:hint="eastAsia"/>
          <w:rtl/>
        </w:rPr>
        <w:t>של</w:t>
      </w:r>
      <w:r w:rsidRPr="00F255E9">
        <w:rPr>
          <w:rtl/>
        </w:rPr>
        <w:t xml:space="preserve"> </w:t>
      </w:r>
      <w:r>
        <w:rPr>
          <w:rFonts w:hint="cs"/>
          <w:rtl/>
        </w:rPr>
        <w:t>ה</w:t>
      </w:r>
      <w:r w:rsidRPr="00F255E9">
        <w:rPr>
          <w:rFonts w:hint="eastAsia"/>
          <w:rtl/>
        </w:rPr>
        <w:t>דירות</w:t>
      </w:r>
      <w:r w:rsidRPr="00F255E9">
        <w:rPr>
          <w:rtl/>
        </w:rPr>
        <w:t xml:space="preserve"> </w:t>
      </w:r>
      <w:r w:rsidRPr="00F255E9">
        <w:rPr>
          <w:rFonts w:hint="eastAsia"/>
          <w:rtl/>
        </w:rPr>
        <w:t>הציבורי</w:t>
      </w:r>
      <w:r>
        <w:rPr>
          <w:rFonts w:hint="cs"/>
          <w:rtl/>
        </w:rPr>
        <w:t>ות</w:t>
      </w:r>
      <w:r w:rsidRPr="00F255E9">
        <w:rPr>
          <w:rtl/>
        </w:rPr>
        <w:t xml:space="preserve"> </w:t>
      </w:r>
      <w:r w:rsidRPr="00F255E9">
        <w:rPr>
          <w:rFonts w:hint="eastAsia"/>
          <w:rtl/>
        </w:rPr>
        <w:t>והעלויות</w:t>
      </w:r>
      <w:r w:rsidRPr="00F255E9">
        <w:rPr>
          <w:rtl/>
        </w:rPr>
        <w:t xml:space="preserve"> </w:t>
      </w:r>
      <w:r w:rsidRPr="00F255E9">
        <w:rPr>
          <w:rFonts w:hint="eastAsia"/>
          <w:rtl/>
        </w:rPr>
        <w:t>של</w:t>
      </w:r>
      <w:r w:rsidRPr="00F255E9">
        <w:rPr>
          <w:rtl/>
        </w:rPr>
        <w:t xml:space="preserve"> </w:t>
      </w:r>
      <w:r w:rsidRPr="00F255E9">
        <w:rPr>
          <w:rFonts w:hint="eastAsia"/>
          <w:rtl/>
        </w:rPr>
        <w:t>הדירות</w:t>
      </w:r>
      <w:r w:rsidRPr="00F255E9">
        <w:rPr>
          <w:rtl/>
        </w:rPr>
        <w:t xml:space="preserve"> </w:t>
      </w:r>
      <w:r w:rsidRPr="00F255E9">
        <w:rPr>
          <w:rFonts w:hint="eastAsia"/>
          <w:rtl/>
        </w:rPr>
        <w:t>הנרכשות</w:t>
      </w:r>
      <w:r w:rsidRPr="00F255E9">
        <w:rPr>
          <w:rtl/>
        </w:rPr>
        <w:t>.</w:t>
      </w:r>
    </w:p>
    <w:p w14:paraId="3CBFB562" w14:textId="4CC49E0C" w:rsidR="00C218DA" w:rsidRDefault="00C218DA" w:rsidP="002240BA">
      <w:pPr>
        <w:pStyle w:val="414"/>
        <w:rPr>
          <w:rtl/>
        </w:rPr>
      </w:pPr>
      <w:r>
        <w:rPr>
          <w:rFonts w:hint="cs"/>
          <w:rtl/>
        </w:rPr>
        <w:lastRenderedPageBreak/>
        <w:t>אי-רכישת דירות ציבוריות בחלק מהיישובים שבהם ממתינים זכאים לדיור ציבורי</w:t>
      </w:r>
    </w:p>
    <w:p w14:paraId="51D56499" w14:textId="2D0C6AAF" w:rsidR="00C218DA" w:rsidRDefault="00C218DA" w:rsidP="002240BA">
      <w:pPr>
        <w:pStyle w:val="100"/>
        <w:rPr>
          <w:rtl/>
        </w:rPr>
      </w:pPr>
      <w:r w:rsidRPr="00846F38">
        <w:rPr>
          <w:rFonts w:hint="cs"/>
          <w:rtl/>
        </w:rPr>
        <w:t xml:space="preserve">לפי נוהל משרד </w:t>
      </w:r>
      <w:r>
        <w:rPr>
          <w:rFonts w:hint="cs"/>
          <w:rtl/>
        </w:rPr>
        <w:t>הבינוי,</w:t>
      </w:r>
      <w:r w:rsidRPr="00846F38">
        <w:rPr>
          <w:rFonts w:hint="cs"/>
          <w:rtl/>
        </w:rPr>
        <w:t xml:space="preserve"> </w:t>
      </w:r>
      <w:r>
        <w:rPr>
          <w:rFonts w:hint="cs"/>
          <w:rtl/>
        </w:rPr>
        <w:t>ה</w:t>
      </w:r>
      <w:r w:rsidRPr="00846F38">
        <w:rPr>
          <w:rtl/>
        </w:rPr>
        <w:t>זכאות ל</w:t>
      </w:r>
      <w:r>
        <w:rPr>
          <w:rFonts w:hint="cs"/>
          <w:rtl/>
        </w:rPr>
        <w:t>התגורר ב</w:t>
      </w:r>
      <w:r w:rsidRPr="00846F38">
        <w:rPr>
          <w:rtl/>
        </w:rPr>
        <w:t xml:space="preserve">דירה </w:t>
      </w:r>
      <w:r>
        <w:rPr>
          <w:rFonts w:hint="cs"/>
          <w:rtl/>
        </w:rPr>
        <w:t>ציבורית תמומש</w:t>
      </w:r>
      <w:r w:rsidRPr="00846F38">
        <w:rPr>
          <w:rtl/>
        </w:rPr>
        <w:t xml:space="preserve"> ביישוב המגורים של </w:t>
      </w:r>
      <w:r>
        <w:rPr>
          <w:rFonts w:hint="cs"/>
          <w:rtl/>
        </w:rPr>
        <w:t>הזכאי</w:t>
      </w:r>
      <w:r>
        <w:rPr>
          <w:rStyle w:val="FootnoteReference"/>
          <w:sz w:val="24"/>
          <w:rtl/>
        </w:rPr>
        <w:footnoteReference w:id="26"/>
      </w:r>
      <w:r w:rsidRPr="00846F38">
        <w:rPr>
          <w:rFonts w:hint="cs"/>
          <w:rtl/>
        </w:rPr>
        <w:t xml:space="preserve">. </w:t>
      </w:r>
      <w:r>
        <w:rPr>
          <w:rFonts w:hint="cs"/>
          <w:rtl/>
        </w:rPr>
        <w:t>הסיבה לכך היא בעיקר התחשבות בזכאים - מדובר באוכלוסייה חלשה מבחינה חברתית-כלכלית שלעיתים מטופלת על ידי גורמי הרווחה או הבריאות, וניתוקה ממערכות החינוך, הבריאות והרווחה שבהן היא מוכרת, מקהילתה וממקורות תמיכה משפחתיים או אחרים ביישוב מגוריה, עלול להחלישה עוד יותר.</w:t>
      </w:r>
    </w:p>
    <w:p w14:paraId="02812790" w14:textId="77777777" w:rsidR="00C218DA" w:rsidRPr="009747FD" w:rsidRDefault="00C218DA" w:rsidP="002240BA">
      <w:pPr>
        <w:pStyle w:val="af5"/>
        <w:rPr>
          <w:rtl/>
        </w:rPr>
      </w:pPr>
      <w:r w:rsidRPr="009747FD">
        <w:rPr>
          <w:rFonts w:hint="cs"/>
          <w:rtl/>
        </w:rPr>
        <w:t>יש לראות בחיוב את הפעולות שנקט המשרד לרכישת הדירות הציבוריות. עם זאת, עלה כי כעניין שבמדיניות, המשרד רוכש דירות ציבוריות רק ביישובים שבהם כבר קיימות דירות כאלה - רשימה סגורה של 110 יישובים, שרובם ככולם, בשל נסיבות היסטוריות, יישובים יהודיים עירוניים ותיקים. במקור נועדו הדירות הציבוריות ברבים מהיישובים האלה לשכן את העולים החדשים שהגיעו לישראל בעשורים שלאחר קום המדינה</w:t>
      </w:r>
      <w:r w:rsidRPr="009747FD">
        <w:rPr>
          <w:rtl/>
        </w:rPr>
        <w:t>.</w:t>
      </w:r>
      <w:r w:rsidRPr="009747FD">
        <w:rPr>
          <w:rFonts w:hint="cs"/>
          <w:rtl/>
        </w:rPr>
        <w:t xml:space="preserve"> ואולם, הנסיבות ההיסטוריות אינן רלוונטיות לפריסה הגיאוגרפית הנוכחית של הזכאים לדיור ציבורי. כפועל יוצא, המשרד אינו רוכש דירות ביישובים שבהם אין דירות ציבוריות, ובכלל זה ב-12 ערים שעשר מהן באשכול חברתי-כלכלי נמוך</w:t>
      </w:r>
      <w:r w:rsidRPr="009747FD">
        <w:rPr>
          <w:rStyle w:val="FootnoteReference"/>
          <w:b/>
          <w:bCs/>
          <w:rtl/>
        </w:rPr>
        <w:footnoteReference w:id="27"/>
      </w:r>
      <w:r w:rsidRPr="009747FD">
        <w:rPr>
          <w:rFonts w:hint="cs"/>
          <w:rtl/>
        </w:rPr>
        <w:t xml:space="preserve"> ושבהן מתגוררים בסך הכול יותר מחצי מיליון תושבים (ראו פירוט בלוח 2 שלהלן)</w:t>
      </w:r>
      <w:r w:rsidRPr="009747FD">
        <w:rPr>
          <w:rStyle w:val="FootnoteReference"/>
          <w:b/>
          <w:bCs/>
          <w:sz w:val="24"/>
          <w:rtl/>
        </w:rPr>
        <w:footnoteReference w:id="28"/>
      </w:r>
      <w:r w:rsidRPr="009747FD">
        <w:rPr>
          <w:rFonts w:hint="cs"/>
          <w:rtl/>
        </w:rPr>
        <w:t xml:space="preserve">. בכך נמנעת מהתושבים ביישובים האלה האפשרות לממש את זכאותם לדיור ציבורי בעיר מגוריהם, בדומה לתושבים ביישובים שבהם קיימות דירות ציבוריות. זכאים אלה נאלצים לקבל סיוע כספי לשכירת דירה בשוק החופשי או להתנתק מקהילתם ומהשירותים החברתיים המוכרים להם ולעבור להתגורר ביישוב אחר, שבו קיים דיור ציבורי. </w:t>
      </w:r>
    </w:p>
    <w:p w14:paraId="6491F022" w14:textId="77777777" w:rsidR="002240BA" w:rsidRDefault="002240BA">
      <w:pPr>
        <w:bidi w:val="0"/>
        <w:spacing w:after="200" w:line="276" w:lineRule="auto"/>
        <w:rPr>
          <w:rFonts w:ascii="Tahoma" w:eastAsiaTheme="minorEastAsia" w:hAnsi="Tahoma" w:cs="Tahoma"/>
          <w:color w:val="365F91" w:themeColor="accent1" w:themeShade="BF"/>
          <w:szCs w:val="20"/>
          <w:rtl/>
        </w:rPr>
      </w:pPr>
      <w:r>
        <w:rPr>
          <w:rtl/>
        </w:rPr>
        <w:br w:type="page"/>
      </w:r>
    </w:p>
    <w:p w14:paraId="7894D2F5" w14:textId="50659856" w:rsidR="00C218DA" w:rsidRPr="00F338E2" w:rsidRDefault="00C218DA" w:rsidP="002240BA">
      <w:pPr>
        <w:pStyle w:val="aa"/>
        <w:rPr>
          <w:rtl/>
        </w:rPr>
      </w:pPr>
      <w:r w:rsidRPr="00F338E2">
        <w:rPr>
          <w:rFonts w:hint="eastAsia"/>
          <w:rtl/>
        </w:rPr>
        <w:lastRenderedPageBreak/>
        <w:t>לוח</w:t>
      </w:r>
      <w:r w:rsidRPr="00F338E2">
        <w:rPr>
          <w:rtl/>
        </w:rPr>
        <w:t xml:space="preserve"> 2: </w:t>
      </w:r>
      <w:r w:rsidRPr="002240BA">
        <w:rPr>
          <w:rFonts w:hint="eastAsia"/>
          <w:b/>
          <w:bCs/>
          <w:rtl/>
        </w:rPr>
        <w:t>מספר</w:t>
      </w:r>
      <w:r w:rsidRPr="002240BA">
        <w:rPr>
          <w:b/>
          <w:bCs/>
          <w:rtl/>
        </w:rPr>
        <w:t xml:space="preserve"> </w:t>
      </w:r>
      <w:r w:rsidRPr="002240BA">
        <w:rPr>
          <w:rFonts w:hint="eastAsia"/>
          <w:b/>
          <w:bCs/>
          <w:rtl/>
        </w:rPr>
        <w:t>התושבים</w:t>
      </w:r>
      <w:r w:rsidRPr="002240BA">
        <w:rPr>
          <w:b/>
          <w:bCs/>
          <w:rtl/>
        </w:rPr>
        <w:t xml:space="preserve"> </w:t>
      </w:r>
      <w:r w:rsidRPr="002240BA">
        <w:rPr>
          <w:rFonts w:hint="eastAsia"/>
          <w:b/>
          <w:bCs/>
          <w:rtl/>
        </w:rPr>
        <w:t>ב</w:t>
      </w:r>
      <w:r w:rsidRPr="002240BA">
        <w:rPr>
          <w:b/>
          <w:bCs/>
          <w:sz w:val="24"/>
          <w:rtl/>
        </w:rPr>
        <w:t>-</w:t>
      </w:r>
      <w:r w:rsidRPr="002240BA">
        <w:rPr>
          <w:b/>
          <w:bCs/>
          <w:rtl/>
        </w:rPr>
        <w:t xml:space="preserve">12 </w:t>
      </w:r>
      <w:r w:rsidRPr="002240BA">
        <w:rPr>
          <w:rFonts w:hint="eastAsia"/>
          <w:b/>
          <w:bCs/>
          <w:rtl/>
        </w:rPr>
        <w:t>ערים</w:t>
      </w:r>
      <w:r w:rsidRPr="002240BA">
        <w:rPr>
          <w:b/>
          <w:bCs/>
          <w:rtl/>
        </w:rPr>
        <w:t xml:space="preserve"> </w:t>
      </w:r>
      <w:r w:rsidRPr="002240BA">
        <w:rPr>
          <w:rFonts w:hint="eastAsia"/>
          <w:b/>
          <w:bCs/>
          <w:rtl/>
        </w:rPr>
        <w:t>שבהן</w:t>
      </w:r>
      <w:r w:rsidRPr="002240BA">
        <w:rPr>
          <w:b/>
          <w:bCs/>
          <w:rtl/>
        </w:rPr>
        <w:t xml:space="preserve"> </w:t>
      </w:r>
      <w:r w:rsidRPr="002240BA">
        <w:rPr>
          <w:rFonts w:hint="eastAsia"/>
          <w:b/>
          <w:bCs/>
          <w:rtl/>
        </w:rPr>
        <w:t>אין</w:t>
      </w:r>
      <w:r w:rsidRPr="002240BA">
        <w:rPr>
          <w:b/>
          <w:bCs/>
          <w:rtl/>
        </w:rPr>
        <w:t xml:space="preserve"> </w:t>
      </w:r>
      <w:r w:rsidRPr="002240BA">
        <w:rPr>
          <w:rFonts w:hint="eastAsia"/>
          <w:b/>
          <w:bCs/>
          <w:rtl/>
        </w:rPr>
        <w:t>דירות</w:t>
      </w:r>
      <w:r w:rsidRPr="002240BA">
        <w:rPr>
          <w:b/>
          <w:bCs/>
          <w:rtl/>
        </w:rPr>
        <w:t xml:space="preserve"> </w:t>
      </w:r>
      <w:r w:rsidRPr="002240BA">
        <w:rPr>
          <w:rFonts w:hint="eastAsia"/>
          <w:b/>
          <w:bCs/>
          <w:rtl/>
        </w:rPr>
        <w:t>ציבוריות</w:t>
      </w:r>
      <w:r w:rsidRPr="002240BA">
        <w:rPr>
          <w:rFonts w:hint="cs"/>
          <w:b/>
          <w:bCs/>
          <w:rtl/>
        </w:rPr>
        <w:t xml:space="preserve"> והאשכול החברתי-כלכלי שבו הן מדורגות</w:t>
      </w:r>
      <w:r w:rsidRPr="002240BA">
        <w:rPr>
          <w:b/>
          <w:bCs/>
          <w:rtl/>
        </w:rPr>
        <w:t>, 2017</w:t>
      </w:r>
    </w:p>
    <w:tbl>
      <w:tblPr>
        <w:bidiVisual/>
        <w:tblW w:w="0" w:type="auto"/>
        <w:jc w:val="center"/>
        <w:tblLook w:val="04A0" w:firstRow="1" w:lastRow="0" w:firstColumn="1" w:lastColumn="0" w:noHBand="0" w:noVBand="1"/>
      </w:tblPr>
      <w:tblGrid>
        <w:gridCol w:w="2268"/>
        <w:gridCol w:w="2519"/>
        <w:gridCol w:w="3326"/>
      </w:tblGrid>
      <w:tr w:rsidR="00C218DA" w14:paraId="65BEB274" w14:textId="77777777" w:rsidTr="002240BA">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006DFC91" w14:textId="77777777" w:rsidR="00C218DA" w:rsidRPr="00282E2D" w:rsidRDefault="00C218DA" w:rsidP="002240BA">
            <w:pPr>
              <w:pStyle w:val="af1"/>
            </w:pPr>
            <w:r w:rsidRPr="00282E2D">
              <w:rPr>
                <w:rFonts w:hint="cs"/>
                <w:rtl/>
              </w:rPr>
              <w:t>שם היישוב</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167EE806" w14:textId="77777777" w:rsidR="00C218DA" w:rsidRPr="00282E2D" w:rsidRDefault="00C218DA" w:rsidP="002240BA">
            <w:pPr>
              <w:pStyle w:val="af1"/>
              <w:rPr>
                <w:rtl/>
              </w:rPr>
            </w:pPr>
            <w:r w:rsidRPr="00282E2D">
              <w:rPr>
                <w:rFonts w:hint="cs"/>
                <w:rtl/>
              </w:rPr>
              <w:t>מספר התושבים (2017)</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1D97DB24" w14:textId="77777777" w:rsidR="00C218DA" w:rsidRPr="00282E2D" w:rsidRDefault="00C218DA" w:rsidP="002240BA">
            <w:pPr>
              <w:pStyle w:val="af1"/>
              <w:rPr>
                <w:rtl/>
              </w:rPr>
            </w:pPr>
            <w:r>
              <w:rPr>
                <w:rFonts w:hint="cs"/>
                <w:rtl/>
              </w:rPr>
              <w:t>האשכול</w:t>
            </w:r>
            <w:r w:rsidRPr="00282E2D">
              <w:rPr>
                <w:rFonts w:hint="cs"/>
                <w:rtl/>
              </w:rPr>
              <w:t xml:space="preserve"> </w:t>
            </w:r>
            <w:r>
              <w:rPr>
                <w:rFonts w:hint="cs"/>
                <w:rtl/>
              </w:rPr>
              <w:t>ה</w:t>
            </w:r>
            <w:r w:rsidRPr="00282E2D">
              <w:rPr>
                <w:rFonts w:hint="cs"/>
                <w:rtl/>
              </w:rPr>
              <w:t>חברתי-כלכלי (2015)</w:t>
            </w:r>
          </w:p>
        </w:tc>
      </w:tr>
      <w:tr w:rsidR="00C218DA" w14:paraId="7C6C6EF1"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FD10170" w14:textId="77777777" w:rsidR="00C218DA" w:rsidRPr="002240BA" w:rsidRDefault="00C218DA" w:rsidP="002240BA">
            <w:pPr>
              <w:pStyle w:val="B"/>
              <w:rPr>
                <w:szCs w:val="20"/>
                <w:rtl/>
              </w:rPr>
            </w:pPr>
            <w:r w:rsidRPr="002240BA">
              <w:rPr>
                <w:rFonts w:hint="cs"/>
                <w:szCs w:val="20"/>
                <w:rtl/>
              </w:rPr>
              <w:t>אום אל-פחם</w:t>
            </w:r>
          </w:p>
        </w:tc>
        <w:tc>
          <w:tcPr>
            <w:tcW w:w="0" w:type="auto"/>
            <w:tcBorders>
              <w:top w:val="nil"/>
              <w:left w:val="single" w:sz="4" w:space="0" w:color="auto"/>
              <w:bottom w:val="single" w:sz="4" w:space="0" w:color="auto"/>
              <w:right w:val="single" w:sz="4" w:space="0" w:color="auto"/>
            </w:tcBorders>
            <w:shd w:val="clear" w:color="auto" w:fill="auto"/>
            <w:hideMark/>
          </w:tcPr>
          <w:p w14:paraId="7031206B" w14:textId="77777777" w:rsidR="00C218DA" w:rsidRPr="006E0E38" w:rsidRDefault="00C218DA" w:rsidP="002240BA">
            <w:pPr>
              <w:pStyle w:val="R"/>
              <w:rPr>
                <w:rtl/>
              </w:rPr>
            </w:pPr>
            <w:r>
              <w:rPr>
                <w:rFonts w:hint="cs"/>
                <w:rtl/>
              </w:rPr>
              <w:t>54,000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596F1" w14:textId="77777777" w:rsidR="00C218DA" w:rsidRPr="00282E2D" w:rsidRDefault="00C218DA" w:rsidP="002240BA">
            <w:pPr>
              <w:pStyle w:val="R"/>
            </w:pPr>
            <w:r w:rsidRPr="00282E2D">
              <w:rPr>
                <w:rFonts w:hint="cs"/>
              </w:rPr>
              <w:t>2</w:t>
            </w:r>
          </w:p>
        </w:tc>
      </w:tr>
      <w:tr w:rsidR="00C218DA" w14:paraId="5C93079A"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6E91A1F" w14:textId="77777777" w:rsidR="00C218DA" w:rsidRPr="002240BA" w:rsidRDefault="00C218DA" w:rsidP="002240BA">
            <w:pPr>
              <w:pStyle w:val="B"/>
              <w:rPr>
                <w:szCs w:val="20"/>
                <w:rtl/>
              </w:rPr>
            </w:pPr>
            <w:r w:rsidRPr="002240BA">
              <w:rPr>
                <w:rFonts w:hint="cs"/>
                <w:szCs w:val="20"/>
                <w:rtl/>
              </w:rPr>
              <w:t>באקה אל-גרבייה</w:t>
            </w:r>
          </w:p>
        </w:tc>
        <w:tc>
          <w:tcPr>
            <w:tcW w:w="0" w:type="auto"/>
            <w:tcBorders>
              <w:top w:val="nil"/>
              <w:left w:val="single" w:sz="4" w:space="0" w:color="auto"/>
              <w:bottom w:val="single" w:sz="4" w:space="0" w:color="auto"/>
              <w:right w:val="single" w:sz="4" w:space="0" w:color="auto"/>
            </w:tcBorders>
            <w:shd w:val="clear" w:color="auto" w:fill="auto"/>
            <w:hideMark/>
          </w:tcPr>
          <w:p w14:paraId="179BF9CC" w14:textId="77777777" w:rsidR="00C218DA" w:rsidRPr="006E0E38" w:rsidRDefault="00C218DA" w:rsidP="002240BA">
            <w:pPr>
              <w:pStyle w:val="R"/>
              <w:rPr>
                <w:rtl/>
              </w:rPr>
            </w:pPr>
            <w:r>
              <w:rPr>
                <w:rFonts w:hint="cs"/>
                <w:rtl/>
              </w:rPr>
              <w:t>29,000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CAB51D" w14:textId="77777777" w:rsidR="00C218DA" w:rsidRPr="00282E2D" w:rsidRDefault="00C218DA" w:rsidP="002240BA">
            <w:pPr>
              <w:pStyle w:val="R"/>
            </w:pPr>
            <w:r w:rsidRPr="00282E2D">
              <w:rPr>
                <w:rFonts w:hint="cs"/>
              </w:rPr>
              <w:t>3</w:t>
            </w:r>
          </w:p>
        </w:tc>
      </w:tr>
      <w:tr w:rsidR="00C218DA" w14:paraId="6DDBC5B3"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F9798A2" w14:textId="77777777" w:rsidR="00C218DA" w:rsidRPr="002240BA" w:rsidRDefault="00C218DA" w:rsidP="002240BA">
            <w:pPr>
              <w:pStyle w:val="B"/>
            </w:pPr>
            <w:r w:rsidRPr="002240BA">
              <w:rPr>
                <w:rFonts w:hint="cs"/>
                <w:szCs w:val="20"/>
                <w:rtl/>
              </w:rPr>
              <w:t>טייבה</w:t>
            </w:r>
          </w:p>
        </w:tc>
        <w:tc>
          <w:tcPr>
            <w:tcW w:w="0" w:type="auto"/>
            <w:tcBorders>
              <w:top w:val="nil"/>
              <w:left w:val="single" w:sz="4" w:space="0" w:color="auto"/>
              <w:bottom w:val="single" w:sz="4" w:space="0" w:color="auto"/>
              <w:right w:val="single" w:sz="4" w:space="0" w:color="auto"/>
            </w:tcBorders>
            <w:shd w:val="clear" w:color="auto" w:fill="auto"/>
            <w:hideMark/>
          </w:tcPr>
          <w:p w14:paraId="45C731BA" w14:textId="77777777" w:rsidR="00C218DA" w:rsidRPr="006E0E38" w:rsidRDefault="00C218DA" w:rsidP="002240BA">
            <w:pPr>
              <w:pStyle w:val="R"/>
              <w:rPr>
                <w:rtl/>
              </w:rPr>
            </w:pPr>
            <w:r>
              <w:rPr>
                <w:rFonts w:hint="cs"/>
                <w:rtl/>
              </w:rPr>
              <w:t>42,000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B933A" w14:textId="77777777" w:rsidR="00C218DA" w:rsidRPr="00282E2D" w:rsidRDefault="00C218DA" w:rsidP="002240BA">
            <w:pPr>
              <w:pStyle w:val="R"/>
              <w:rPr>
                <w:b/>
                <w:bCs/>
              </w:rPr>
            </w:pPr>
            <w:r w:rsidRPr="00282E2D">
              <w:rPr>
                <w:rFonts w:hint="cs"/>
                <w:b/>
                <w:bCs/>
              </w:rPr>
              <w:t>3</w:t>
            </w:r>
          </w:p>
        </w:tc>
      </w:tr>
      <w:tr w:rsidR="00C218DA" w14:paraId="12293137"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33C559F" w14:textId="77777777" w:rsidR="00C218DA" w:rsidRPr="002240BA" w:rsidRDefault="00C218DA" w:rsidP="002240BA">
            <w:pPr>
              <w:pStyle w:val="B"/>
            </w:pPr>
            <w:r w:rsidRPr="002240BA">
              <w:rPr>
                <w:rFonts w:hint="cs"/>
                <w:szCs w:val="20"/>
                <w:rtl/>
              </w:rPr>
              <w:t>טירה</w:t>
            </w:r>
          </w:p>
        </w:tc>
        <w:tc>
          <w:tcPr>
            <w:tcW w:w="0" w:type="auto"/>
            <w:tcBorders>
              <w:top w:val="nil"/>
              <w:left w:val="single" w:sz="4" w:space="0" w:color="auto"/>
              <w:bottom w:val="single" w:sz="4" w:space="0" w:color="auto"/>
              <w:right w:val="single" w:sz="4" w:space="0" w:color="auto"/>
            </w:tcBorders>
            <w:shd w:val="clear" w:color="auto" w:fill="auto"/>
            <w:hideMark/>
          </w:tcPr>
          <w:p w14:paraId="5CAD7653" w14:textId="77777777" w:rsidR="00C218DA" w:rsidRPr="006E0E38" w:rsidRDefault="00C218DA" w:rsidP="002240BA">
            <w:pPr>
              <w:pStyle w:val="R"/>
              <w:rPr>
                <w:rtl/>
              </w:rPr>
            </w:pPr>
            <w:r>
              <w:rPr>
                <w:rFonts w:hint="cs"/>
                <w:rtl/>
              </w:rPr>
              <w:t>26,000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A12586" w14:textId="77777777" w:rsidR="00C218DA" w:rsidRPr="00282E2D" w:rsidRDefault="00C218DA" w:rsidP="002240BA">
            <w:pPr>
              <w:pStyle w:val="R"/>
              <w:rPr>
                <w:b/>
                <w:bCs/>
              </w:rPr>
            </w:pPr>
            <w:r w:rsidRPr="00282E2D">
              <w:rPr>
                <w:rFonts w:hint="cs"/>
                <w:b/>
                <w:bCs/>
              </w:rPr>
              <w:t>4</w:t>
            </w:r>
          </w:p>
        </w:tc>
      </w:tr>
      <w:tr w:rsidR="00C218DA" w14:paraId="4461E33E"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151D2E9" w14:textId="77777777" w:rsidR="00C218DA" w:rsidRPr="002240BA" w:rsidRDefault="00C218DA" w:rsidP="002240BA">
            <w:pPr>
              <w:pStyle w:val="B"/>
            </w:pPr>
            <w:r w:rsidRPr="002240BA">
              <w:rPr>
                <w:rFonts w:hint="cs"/>
                <w:szCs w:val="20"/>
                <w:rtl/>
              </w:rPr>
              <w:t>טמרה</w:t>
            </w:r>
          </w:p>
        </w:tc>
        <w:tc>
          <w:tcPr>
            <w:tcW w:w="0" w:type="auto"/>
            <w:tcBorders>
              <w:top w:val="nil"/>
              <w:left w:val="single" w:sz="4" w:space="0" w:color="auto"/>
              <w:bottom w:val="single" w:sz="4" w:space="0" w:color="auto"/>
              <w:right w:val="single" w:sz="4" w:space="0" w:color="auto"/>
            </w:tcBorders>
            <w:shd w:val="clear" w:color="auto" w:fill="auto"/>
            <w:hideMark/>
          </w:tcPr>
          <w:p w14:paraId="4B151CDF" w14:textId="77777777" w:rsidR="00C218DA" w:rsidRPr="006E0E38" w:rsidRDefault="00C218DA" w:rsidP="002240BA">
            <w:pPr>
              <w:pStyle w:val="R"/>
              <w:rPr>
                <w:rtl/>
              </w:rPr>
            </w:pPr>
            <w:r>
              <w:rPr>
                <w:rFonts w:hint="cs"/>
                <w:rtl/>
              </w:rPr>
              <w:t>33,000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0163E4" w14:textId="77777777" w:rsidR="00C218DA" w:rsidRPr="00282E2D" w:rsidRDefault="00C218DA" w:rsidP="002240BA">
            <w:pPr>
              <w:pStyle w:val="R"/>
              <w:rPr>
                <w:b/>
                <w:bCs/>
              </w:rPr>
            </w:pPr>
            <w:r w:rsidRPr="00282E2D">
              <w:rPr>
                <w:rFonts w:hint="cs"/>
                <w:b/>
                <w:bCs/>
              </w:rPr>
              <w:t>2</w:t>
            </w:r>
          </w:p>
        </w:tc>
      </w:tr>
      <w:tr w:rsidR="00C218DA" w14:paraId="42A52FE2"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A578AF3" w14:textId="77777777" w:rsidR="00C218DA" w:rsidRPr="002240BA" w:rsidRDefault="00C218DA" w:rsidP="002240BA">
            <w:pPr>
              <w:pStyle w:val="B"/>
            </w:pPr>
            <w:r w:rsidRPr="002240BA">
              <w:rPr>
                <w:rFonts w:hint="cs"/>
                <w:szCs w:val="20"/>
                <w:rtl/>
              </w:rPr>
              <w:t>כפר קאסם</w:t>
            </w:r>
          </w:p>
        </w:tc>
        <w:tc>
          <w:tcPr>
            <w:tcW w:w="0" w:type="auto"/>
            <w:tcBorders>
              <w:top w:val="nil"/>
              <w:left w:val="single" w:sz="4" w:space="0" w:color="auto"/>
              <w:bottom w:val="single" w:sz="4" w:space="0" w:color="auto"/>
              <w:right w:val="single" w:sz="4" w:space="0" w:color="auto"/>
            </w:tcBorders>
            <w:shd w:val="clear" w:color="auto" w:fill="auto"/>
            <w:hideMark/>
          </w:tcPr>
          <w:p w14:paraId="0B7A8CC8" w14:textId="77777777" w:rsidR="00C218DA" w:rsidRPr="006E0E38" w:rsidRDefault="00C218DA" w:rsidP="002240BA">
            <w:pPr>
              <w:pStyle w:val="R"/>
              <w:rPr>
                <w:rtl/>
              </w:rPr>
            </w:pPr>
            <w:r>
              <w:rPr>
                <w:rFonts w:hint="cs"/>
                <w:rtl/>
              </w:rPr>
              <w:t>23,000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779BE9" w14:textId="77777777" w:rsidR="00C218DA" w:rsidRPr="00282E2D" w:rsidRDefault="00C218DA" w:rsidP="002240BA">
            <w:pPr>
              <w:pStyle w:val="R"/>
              <w:rPr>
                <w:b/>
                <w:bCs/>
              </w:rPr>
            </w:pPr>
            <w:r w:rsidRPr="00282E2D">
              <w:rPr>
                <w:rFonts w:hint="cs"/>
                <w:b/>
                <w:bCs/>
              </w:rPr>
              <w:t>3</w:t>
            </w:r>
          </w:p>
        </w:tc>
      </w:tr>
      <w:tr w:rsidR="00C218DA" w14:paraId="18279431"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62ABCDA" w14:textId="77777777" w:rsidR="00C218DA" w:rsidRPr="002240BA" w:rsidRDefault="00C218DA" w:rsidP="002240BA">
            <w:pPr>
              <w:pStyle w:val="B"/>
            </w:pPr>
            <w:r w:rsidRPr="002240BA">
              <w:rPr>
                <w:rFonts w:hint="cs"/>
                <w:szCs w:val="20"/>
                <w:rtl/>
              </w:rPr>
              <w:t>מודיעין-מכבים-רעות</w:t>
            </w:r>
          </w:p>
        </w:tc>
        <w:tc>
          <w:tcPr>
            <w:tcW w:w="0" w:type="auto"/>
            <w:tcBorders>
              <w:top w:val="nil"/>
              <w:left w:val="single" w:sz="4" w:space="0" w:color="auto"/>
              <w:bottom w:val="single" w:sz="4" w:space="0" w:color="auto"/>
              <w:right w:val="single" w:sz="4" w:space="0" w:color="auto"/>
            </w:tcBorders>
            <w:shd w:val="clear" w:color="auto" w:fill="auto"/>
            <w:hideMark/>
          </w:tcPr>
          <w:p w14:paraId="409BE989" w14:textId="77777777" w:rsidR="00C218DA" w:rsidRPr="006E0E38" w:rsidRDefault="00C218DA" w:rsidP="002240BA">
            <w:pPr>
              <w:pStyle w:val="R"/>
              <w:rPr>
                <w:rtl/>
              </w:rPr>
            </w:pPr>
            <w:r>
              <w:rPr>
                <w:rFonts w:hint="cs"/>
                <w:rtl/>
              </w:rPr>
              <w:t>91,000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5B0DA7" w14:textId="77777777" w:rsidR="00C218DA" w:rsidRPr="00282E2D" w:rsidRDefault="00C218DA" w:rsidP="002240BA">
            <w:pPr>
              <w:pStyle w:val="R"/>
              <w:rPr>
                <w:b/>
                <w:bCs/>
              </w:rPr>
            </w:pPr>
            <w:r w:rsidRPr="00282E2D">
              <w:rPr>
                <w:rFonts w:hint="cs"/>
                <w:b/>
                <w:bCs/>
              </w:rPr>
              <w:t>8</w:t>
            </w:r>
          </w:p>
        </w:tc>
      </w:tr>
      <w:tr w:rsidR="00C218DA" w14:paraId="121034A3"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16CCB15" w14:textId="77777777" w:rsidR="00C218DA" w:rsidRPr="002240BA" w:rsidRDefault="00C218DA" w:rsidP="002240BA">
            <w:pPr>
              <w:pStyle w:val="B"/>
            </w:pPr>
            <w:r w:rsidRPr="002240BA">
              <w:rPr>
                <w:rFonts w:hint="cs"/>
                <w:szCs w:val="20"/>
                <w:rtl/>
              </w:rPr>
              <w:t>מודיעין עילית</w:t>
            </w:r>
          </w:p>
        </w:tc>
        <w:tc>
          <w:tcPr>
            <w:tcW w:w="0" w:type="auto"/>
            <w:tcBorders>
              <w:top w:val="nil"/>
              <w:left w:val="single" w:sz="4" w:space="0" w:color="auto"/>
              <w:bottom w:val="single" w:sz="4" w:space="0" w:color="auto"/>
              <w:right w:val="single" w:sz="4" w:space="0" w:color="auto"/>
            </w:tcBorders>
            <w:shd w:val="clear" w:color="auto" w:fill="auto"/>
            <w:hideMark/>
          </w:tcPr>
          <w:p w14:paraId="05B7AFB6" w14:textId="77777777" w:rsidR="00C218DA" w:rsidRPr="006E0E38" w:rsidRDefault="00C218DA" w:rsidP="002240BA">
            <w:pPr>
              <w:pStyle w:val="R"/>
              <w:rPr>
                <w:rtl/>
              </w:rPr>
            </w:pPr>
            <w:r>
              <w:rPr>
                <w:rFonts w:hint="cs"/>
                <w:rtl/>
              </w:rPr>
              <w:t>70,000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C8CBD" w14:textId="77777777" w:rsidR="00C218DA" w:rsidRPr="00282E2D" w:rsidRDefault="00C218DA" w:rsidP="002240BA">
            <w:pPr>
              <w:pStyle w:val="R"/>
              <w:rPr>
                <w:b/>
                <w:bCs/>
              </w:rPr>
            </w:pPr>
            <w:r w:rsidRPr="00282E2D">
              <w:rPr>
                <w:rFonts w:hint="cs"/>
                <w:b/>
                <w:bCs/>
              </w:rPr>
              <w:t>1</w:t>
            </w:r>
          </w:p>
        </w:tc>
      </w:tr>
      <w:tr w:rsidR="00C218DA" w14:paraId="62E64389"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FFC01" w14:textId="77777777" w:rsidR="00C218DA" w:rsidRPr="002240BA" w:rsidRDefault="00C218DA" w:rsidP="002240BA">
            <w:pPr>
              <w:pStyle w:val="B"/>
            </w:pPr>
            <w:r w:rsidRPr="002240BA">
              <w:rPr>
                <w:rFonts w:hint="cs"/>
                <w:szCs w:val="20"/>
                <w:rtl/>
              </w:rPr>
              <w:t>סח'נין</w:t>
            </w:r>
          </w:p>
        </w:tc>
        <w:tc>
          <w:tcPr>
            <w:tcW w:w="0" w:type="auto"/>
            <w:tcBorders>
              <w:top w:val="nil"/>
              <w:left w:val="single" w:sz="4" w:space="0" w:color="auto"/>
              <w:bottom w:val="single" w:sz="4" w:space="0" w:color="auto"/>
              <w:right w:val="single" w:sz="4" w:space="0" w:color="auto"/>
            </w:tcBorders>
            <w:shd w:val="clear" w:color="auto" w:fill="auto"/>
            <w:hideMark/>
          </w:tcPr>
          <w:p w14:paraId="6A335AF9" w14:textId="77777777" w:rsidR="00C218DA" w:rsidRPr="006E0E38" w:rsidRDefault="00C218DA" w:rsidP="002240BA">
            <w:pPr>
              <w:pStyle w:val="R"/>
              <w:rPr>
                <w:rtl/>
              </w:rPr>
            </w:pPr>
            <w:r>
              <w:rPr>
                <w:rFonts w:hint="cs"/>
                <w:rtl/>
              </w:rPr>
              <w:t>31,000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35ED87" w14:textId="77777777" w:rsidR="00C218DA" w:rsidRPr="00282E2D" w:rsidRDefault="00C218DA" w:rsidP="002240BA">
            <w:pPr>
              <w:pStyle w:val="R"/>
              <w:rPr>
                <w:b/>
                <w:bCs/>
              </w:rPr>
            </w:pPr>
            <w:r w:rsidRPr="00282E2D">
              <w:rPr>
                <w:rFonts w:hint="cs"/>
                <w:b/>
                <w:bCs/>
              </w:rPr>
              <w:t>3</w:t>
            </w:r>
          </w:p>
        </w:tc>
      </w:tr>
      <w:tr w:rsidR="00C218DA" w14:paraId="5388D3D8"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6B9C366" w14:textId="77777777" w:rsidR="00C218DA" w:rsidRPr="002240BA" w:rsidRDefault="00C218DA" w:rsidP="002240BA">
            <w:pPr>
              <w:pStyle w:val="B"/>
            </w:pPr>
            <w:r w:rsidRPr="002240BA">
              <w:rPr>
                <w:rFonts w:hint="cs"/>
                <w:szCs w:val="20"/>
                <w:rtl/>
              </w:rPr>
              <w:t>עראבה</w:t>
            </w:r>
          </w:p>
        </w:tc>
        <w:tc>
          <w:tcPr>
            <w:tcW w:w="0" w:type="auto"/>
            <w:tcBorders>
              <w:top w:val="nil"/>
              <w:left w:val="single" w:sz="4" w:space="0" w:color="auto"/>
              <w:bottom w:val="single" w:sz="4" w:space="0" w:color="auto"/>
              <w:right w:val="single" w:sz="4" w:space="0" w:color="auto"/>
            </w:tcBorders>
            <w:shd w:val="clear" w:color="auto" w:fill="auto"/>
            <w:hideMark/>
          </w:tcPr>
          <w:p w14:paraId="0F89F7B9" w14:textId="77777777" w:rsidR="00C218DA" w:rsidRPr="006E0E38" w:rsidRDefault="00C218DA" w:rsidP="002240BA">
            <w:pPr>
              <w:pStyle w:val="R"/>
              <w:rPr>
                <w:rtl/>
              </w:rPr>
            </w:pPr>
            <w:r>
              <w:rPr>
                <w:rFonts w:hint="cs"/>
                <w:rtl/>
              </w:rPr>
              <w:t>25,000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F13B9D" w14:textId="77777777" w:rsidR="00C218DA" w:rsidRPr="00282E2D" w:rsidRDefault="00C218DA" w:rsidP="002240BA">
            <w:pPr>
              <w:pStyle w:val="R"/>
              <w:rPr>
                <w:b/>
                <w:bCs/>
              </w:rPr>
            </w:pPr>
            <w:r w:rsidRPr="00282E2D">
              <w:rPr>
                <w:rFonts w:hint="cs"/>
                <w:b/>
                <w:bCs/>
              </w:rPr>
              <w:t>2</w:t>
            </w:r>
          </w:p>
        </w:tc>
      </w:tr>
      <w:tr w:rsidR="00C218DA" w14:paraId="29F5BB22"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333EF31" w14:textId="77777777" w:rsidR="00C218DA" w:rsidRPr="002240BA" w:rsidRDefault="00C218DA" w:rsidP="002240BA">
            <w:pPr>
              <w:pStyle w:val="B"/>
            </w:pPr>
            <w:r w:rsidRPr="002240BA">
              <w:rPr>
                <w:rFonts w:hint="cs"/>
                <w:szCs w:val="20"/>
                <w:rtl/>
              </w:rPr>
              <w:t>קלנסווה</w:t>
            </w:r>
          </w:p>
        </w:tc>
        <w:tc>
          <w:tcPr>
            <w:tcW w:w="0" w:type="auto"/>
            <w:tcBorders>
              <w:top w:val="nil"/>
              <w:left w:val="single" w:sz="4" w:space="0" w:color="auto"/>
              <w:bottom w:val="single" w:sz="4" w:space="0" w:color="auto"/>
              <w:right w:val="single" w:sz="4" w:space="0" w:color="auto"/>
            </w:tcBorders>
            <w:shd w:val="clear" w:color="auto" w:fill="auto"/>
            <w:hideMark/>
          </w:tcPr>
          <w:p w14:paraId="3A6C0FF4" w14:textId="77777777" w:rsidR="00C218DA" w:rsidRPr="006E0E38" w:rsidRDefault="00C218DA" w:rsidP="002240BA">
            <w:pPr>
              <w:pStyle w:val="R"/>
              <w:rPr>
                <w:rtl/>
              </w:rPr>
            </w:pPr>
            <w:r>
              <w:rPr>
                <w:rFonts w:hint="cs"/>
                <w:rtl/>
              </w:rPr>
              <w:t>22,000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ACE5B8" w14:textId="77777777" w:rsidR="00C218DA" w:rsidRPr="00282E2D" w:rsidRDefault="00C218DA" w:rsidP="002240BA">
            <w:pPr>
              <w:pStyle w:val="R"/>
              <w:rPr>
                <w:b/>
                <w:bCs/>
              </w:rPr>
            </w:pPr>
            <w:r w:rsidRPr="00282E2D">
              <w:rPr>
                <w:rFonts w:hint="cs"/>
                <w:b/>
                <w:bCs/>
              </w:rPr>
              <w:t>2</w:t>
            </w:r>
          </w:p>
        </w:tc>
      </w:tr>
      <w:tr w:rsidR="00C218DA" w14:paraId="569613A8" w14:textId="77777777" w:rsidTr="005138F5">
        <w:trPr>
          <w:trHeight w:val="31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318C16C" w14:textId="77777777" w:rsidR="00C218DA" w:rsidRPr="002240BA" w:rsidRDefault="00C218DA" w:rsidP="002240BA">
            <w:pPr>
              <w:pStyle w:val="B"/>
            </w:pPr>
            <w:r w:rsidRPr="002240BA">
              <w:rPr>
                <w:rFonts w:hint="cs"/>
                <w:szCs w:val="20"/>
                <w:rtl/>
              </w:rPr>
              <w:t>רהט</w:t>
            </w:r>
          </w:p>
        </w:tc>
        <w:tc>
          <w:tcPr>
            <w:tcW w:w="0" w:type="auto"/>
            <w:tcBorders>
              <w:top w:val="nil"/>
              <w:left w:val="single" w:sz="4" w:space="0" w:color="auto"/>
              <w:bottom w:val="single" w:sz="4" w:space="0" w:color="auto"/>
              <w:right w:val="single" w:sz="4" w:space="0" w:color="auto"/>
            </w:tcBorders>
            <w:shd w:val="clear" w:color="auto" w:fill="auto"/>
            <w:hideMark/>
          </w:tcPr>
          <w:p w14:paraId="77C11D4E" w14:textId="77777777" w:rsidR="00C218DA" w:rsidRPr="006E0E38" w:rsidRDefault="00C218DA" w:rsidP="002240BA">
            <w:pPr>
              <w:pStyle w:val="R"/>
              <w:rPr>
                <w:rtl/>
              </w:rPr>
            </w:pPr>
            <w:r>
              <w:rPr>
                <w:rFonts w:hint="cs"/>
                <w:rtl/>
              </w:rPr>
              <w:t>67,000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E27B5" w14:textId="77777777" w:rsidR="00C218DA" w:rsidRPr="00282E2D" w:rsidRDefault="00C218DA" w:rsidP="002240BA">
            <w:pPr>
              <w:pStyle w:val="R"/>
              <w:rPr>
                <w:b/>
                <w:bCs/>
              </w:rPr>
            </w:pPr>
            <w:r w:rsidRPr="00282E2D">
              <w:rPr>
                <w:rFonts w:hint="cs"/>
                <w:b/>
                <w:bCs/>
              </w:rPr>
              <w:t>1</w:t>
            </w:r>
          </w:p>
        </w:tc>
      </w:tr>
      <w:tr w:rsidR="00C218DA" w14:paraId="7EA33565" w14:textId="77777777" w:rsidTr="002240BA">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567D0A1E" w14:textId="77777777" w:rsidR="00C218DA" w:rsidRPr="002240BA" w:rsidRDefault="00C218DA" w:rsidP="002240BA">
            <w:pPr>
              <w:pStyle w:val="B"/>
              <w:rPr>
                <w:szCs w:val="20"/>
                <w:rtl/>
              </w:rPr>
            </w:pPr>
            <w:r w:rsidRPr="002240BA">
              <w:rPr>
                <w:rFonts w:hint="cs"/>
                <w:szCs w:val="20"/>
                <w:rtl/>
              </w:rPr>
              <w:t>סה"כ</w:t>
            </w:r>
          </w:p>
        </w:tc>
        <w:tc>
          <w:tcPr>
            <w:tcW w:w="0" w:type="auto"/>
            <w:tcBorders>
              <w:top w:val="single" w:sz="4" w:space="0" w:color="auto"/>
              <w:left w:val="nil"/>
              <w:bottom w:val="single" w:sz="4" w:space="0" w:color="auto"/>
              <w:right w:val="single" w:sz="4" w:space="0" w:color="auto"/>
            </w:tcBorders>
            <w:shd w:val="clear" w:color="auto" w:fill="C6D9F1"/>
            <w:noWrap/>
            <w:vAlign w:val="bottom"/>
            <w:hideMark/>
          </w:tcPr>
          <w:p w14:paraId="15FA04EE" w14:textId="77777777" w:rsidR="00C218DA" w:rsidRPr="00690EAB" w:rsidRDefault="00C218DA" w:rsidP="002240BA">
            <w:pPr>
              <w:pStyle w:val="R"/>
              <w:rPr>
                <w:b/>
                <w:bCs/>
                <w:rtl/>
              </w:rPr>
            </w:pPr>
            <w:r>
              <w:rPr>
                <w:rFonts w:hint="cs"/>
                <w:b/>
                <w:bCs/>
                <w:rtl/>
              </w:rPr>
              <w:t>513,000</w:t>
            </w:r>
          </w:p>
        </w:tc>
        <w:tc>
          <w:tcPr>
            <w:tcW w:w="0" w:type="auto"/>
            <w:tcBorders>
              <w:top w:val="single" w:sz="4" w:space="0" w:color="auto"/>
              <w:left w:val="single" w:sz="4" w:space="0" w:color="auto"/>
              <w:bottom w:val="single" w:sz="4" w:space="0" w:color="auto"/>
              <w:right w:val="single" w:sz="4" w:space="0" w:color="auto"/>
            </w:tcBorders>
            <w:shd w:val="clear" w:color="auto" w:fill="C6D9F1"/>
            <w:noWrap/>
            <w:vAlign w:val="bottom"/>
            <w:hideMark/>
          </w:tcPr>
          <w:p w14:paraId="339BE4BF" w14:textId="77777777" w:rsidR="00C218DA" w:rsidRPr="00282E2D" w:rsidRDefault="00C218DA" w:rsidP="002240BA">
            <w:pPr>
              <w:pStyle w:val="R"/>
              <w:rPr>
                <w:b/>
                <w:bCs/>
              </w:rPr>
            </w:pPr>
          </w:p>
        </w:tc>
      </w:tr>
    </w:tbl>
    <w:p w14:paraId="564464DE" w14:textId="77777777" w:rsidR="00C218DA" w:rsidRPr="00DC0C84" w:rsidRDefault="00C218DA" w:rsidP="002240BA">
      <w:pPr>
        <w:pStyle w:val="aff3"/>
        <w:rPr>
          <w:rtl/>
        </w:rPr>
      </w:pPr>
      <w:r w:rsidRPr="00F338E2">
        <w:rPr>
          <w:rFonts w:hint="eastAsia"/>
          <w:rtl/>
        </w:rPr>
        <w:t>על</w:t>
      </w:r>
      <w:r w:rsidRPr="00F338E2">
        <w:rPr>
          <w:rtl/>
        </w:rPr>
        <w:t xml:space="preserve"> פי </w:t>
      </w:r>
      <w:r w:rsidRPr="00F338E2">
        <w:rPr>
          <w:rFonts w:hint="eastAsia"/>
          <w:rtl/>
        </w:rPr>
        <w:t>נתוני</w:t>
      </w:r>
      <w:r w:rsidRPr="00F338E2">
        <w:rPr>
          <w:rtl/>
        </w:rPr>
        <w:t xml:space="preserve"> </w:t>
      </w:r>
      <w:r w:rsidRPr="00F338E2">
        <w:rPr>
          <w:rFonts w:hint="eastAsia"/>
          <w:rtl/>
        </w:rPr>
        <w:t>משרד</w:t>
      </w:r>
      <w:r w:rsidRPr="00F338E2">
        <w:rPr>
          <w:rtl/>
        </w:rPr>
        <w:t xml:space="preserve"> </w:t>
      </w:r>
      <w:r w:rsidRPr="00F338E2">
        <w:rPr>
          <w:rFonts w:hint="eastAsia"/>
          <w:rtl/>
        </w:rPr>
        <w:t>ה</w:t>
      </w:r>
      <w:r>
        <w:rPr>
          <w:rFonts w:hint="cs"/>
          <w:rtl/>
        </w:rPr>
        <w:t>בינוי</w:t>
      </w:r>
      <w:r w:rsidRPr="00F338E2">
        <w:rPr>
          <w:rtl/>
        </w:rPr>
        <w:t xml:space="preserve"> </w:t>
      </w:r>
      <w:r w:rsidRPr="002240BA">
        <w:rPr>
          <w:rtl/>
        </w:rPr>
        <w:t>ו</w:t>
      </w:r>
      <w:r w:rsidRPr="002240BA">
        <w:rPr>
          <w:rFonts w:hint="cs"/>
          <w:rtl/>
        </w:rPr>
        <w:t>נתוני</w:t>
      </w:r>
      <w:r>
        <w:rPr>
          <w:rFonts w:hint="cs"/>
          <w:rtl/>
        </w:rPr>
        <w:t xml:space="preserve"> </w:t>
      </w:r>
      <w:r w:rsidRPr="00DC0C84">
        <w:rPr>
          <w:rFonts w:hint="eastAsia"/>
          <w:rtl/>
        </w:rPr>
        <w:t>הלשכה</w:t>
      </w:r>
      <w:r w:rsidRPr="00DC0C84">
        <w:rPr>
          <w:rtl/>
        </w:rPr>
        <w:t xml:space="preserve"> </w:t>
      </w:r>
      <w:r w:rsidRPr="00DC0C84">
        <w:rPr>
          <w:rFonts w:hint="eastAsia"/>
          <w:rtl/>
        </w:rPr>
        <w:t>המרכזית</w:t>
      </w:r>
      <w:r w:rsidRPr="00DC0C84">
        <w:rPr>
          <w:rtl/>
        </w:rPr>
        <w:t xml:space="preserve"> </w:t>
      </w:r>
      <w:r w:rsidRPr="00DC0C84">
        <w:rPr>
          <w:rFonts w:hint="eastAsia"/>
          <w:rtl/>
        </w:rPr>
        <w:t>לסטטיסטיקה</w:t>
      </w:r>
      <w:r>
        <w:rPr>
          <w:rFonts w:hint="cs"/>
          <w:rtl/>
        </w:rPr>
        <w:t xml:space="preserve"> משנת 2017</w:t>
      </w:r>
      <w:r w:rsidRPr="00DC0C84">
        <w:rPr>
          <w:rtl/>
        </w:rPr>
        <w:t xml:space="preserve">, </w:t>
      </w:r>
      <w:r w:rsidRPr="00DC0C84">
        <w:rPr>
          <w:rFonts w:hint="eastAsia"/>
          <w:rtl/>
        </w:rPr>
        <w:t>בעיבוד</w:t>
      </w:r>
      <w:r w:rsidRPr="00DC0C84">
        <w:rPr>
          <w:rtl/>
        </w:rPr>
        <w:t xml:space="preserve"> </w:t>
      </w:r>
      <w:r w:rsidRPr="00DC0C84">
        <w:rPr>
          <w:rFonts w:hint="eastAsia"/>
          <w:rtl/>
        </w:rPr>
        <w:t>של</w:t>
      </w:r>
      <w:r w:rsidRPr="00DC0C84">
        <w:rPr>
          <w:rtl/>
        </w:rPr>
        <w:t xml:space="preserve"> </w:t>
      </w:r>
      <w:r w:rsidRPr="00DC0C84">
        <w:rPr>
          <w:rFonts w:hint="eastAsia"/>
          <w:rtl/>
        </w:rPr>
        <w:t>משרד</w:t>
      </w:r>
      <w:r w:rsidRPr="00DC0C84">
        <w:rPr>
          <w:rtl/>
        </w:rPr>
        <w:t xml:space="preserve"> </w:t>
      </w:r>
      <w:r w:rsidRPr="00DC0C84">
        <w:rPr>
          <w:rFonts w:hint="eastAsia"/>
          <w:rtl/>
        </w:rPr>
        <w:t>מבקר</w:t>
      </w:r>
      <w:r w:rsidRPr="00DC0C84">
        <w:rPr>
          <w:rtl/>
        </w:rPr>
        <w:t xml:space="preserve"> </w:t>
      </w:r>
      <w:r w:rsidRPr="00DC0C84">
        <w:rPr>
          <w:rFonts w:hint="eastAsia"/>
          <w:rtl/>
        </w:rPr>
        <w:t>המדינה</w:t>
      </w:r>
      <w:r w:rsidRPr="00DC0C84">
        <w:rPr>
          <w:rtl/>
        </w:rPr>
        <w:t>.</w:t>
      </w:r>
    </w:p>
    <w:p w14:paraId="18DE782F" w14:textId="4DB640D6" w:rsidR="00C218DA" w:rsidRDefault="00C218DA" w:rsidP="002240BA">
      <w:pPr>
        <w:pStyle w:val="aff8"/>
        <w:spacing w:line="269" w:lineRule="auto"/>
        <w:ind w:left="0"/>
        <w:rPr>
          <w:rtl/>
        </w:rPr>
      </w:pPr>
    </w:p>
    <w:p w14:paraId="29B56D41" w14:textId="77777777" w:rsidR="00C218DA" w:rsidRDefault="00C218DA" w:rsidP="002240BA">
      <w:pPr>
        <w:pStyle w:val="100"/>
        <w:rPr>
          <w:rtl/>
        </w:rPr>
      </w:pPr>
      <w:r>
        <w:rPr>
          <w:rFonts w:hint="cs"/>
          <w:rtl/>
        </w:rPr>
        <w:t xml:space="preserve">מהנתונים בלוח 2 ניתן לראות שב-12 הערים שאין בהן דיור ציבורי, כ-400,000 תושבים (כ-77%) מתגוררים בערים המדורגות באשכול חברתי-כלכלי נמוך (3-1), וכ-350,000 תושבים (כ-70%) מתגוררים ביישובי מיעוטים. </w:t>
      </w:r>
    </w:p>
    <w:p w14:paraId="4FA5EF73" w14:textId="77777777" w:rsidR="00C218DA" w:rsidRDefault="00C218DA" w:rsidP="002240BA">
      <w:pPr>
        <w:pStyle w:val="100"/>
        <w:rPr>
          <w:rtl/>
        </w:rPr>
      </w:pPr>
      <w:r>
        <w:rPr>
          <w:rFonts w:hint="cs"/>
          <w:rtl/>
        </w:rPr>
        <w:t xml:space="preserve">אופן הפעולה של המשרד, כאמור, בא לידי ביטוי למשל במקרים האלה: זכאים מהאוכלוסייה הבדואית המתגוררים ברהט - האפשרות שמעמיד לפניהם משרד הבינוי היא להתנתק מקהילתם ולהתגורר בדירה ציבורית בבאר שבע; לזכאים המתגוררים במודיעין עילית המאופיינת באוכלוסייה חרדית, המשרד מציע דירה ציבורית בלוד. </w:t>
      </w:r>
    </w:p>
    <w:p w14:paraId="4BB19B9E" w14:textId="77777777" w:rsidR="00C218DA" w:rsidRPr="002F1AE1" w:rsidRDefault="00C218DA" w:rsidP="002240BA">
      <w:pPr>
        <w:pStyle w:val="100"/>
        <w:rPr>
          <w:rtl/>
        </w:rPr>
      </w:pPr>
      <w:r w:rsidRPr="002F1AE1">
        <w:rPr>
          <w:rFonts w:hint="eastAsia"/>
          <w:rtl/>
        </w:rPr>
        <w:t>בדיקת</w:t>
      </w:r>
      <w:r w:rsidRPr="002F1AE1">
        <w:rPr>
          <w:rtl/>
        </w:rPr>
        <w:t xml:space="preserve"> משרד מבקר המדינה העלתה </w:t>
      </w:r>
      <w:r w:rsidRPr="002F1AE1">
        <w:rPr>
          <w:rFonts w:hint="eastAsia"/>
          <w:rtl/>
        </w:rPr>
        <w:t>כי</w:t>
      </w:r>
      <w:r w:rsidRPr="002F1AE1">
        <w:rPr>
          <w:rtl/>
        </w:rPr>
        <w:t xml:space="preserve"> </w:t>
      </w:r>
      <w:r w:rsidRPr="002F1AE1">
        <w:rPr>
          <w:rFonts w:hint="eastAsia"/>
          <w:rtl/>
        </w:rPr>
        <w:t>משרד</w:t>
      </w:r>
      <w:r w:rsidRPr="002F1AE1">
        <w:rPr>
          <w:rtl/>
        </w:rPr>
        <w:t xml:space="preserve"> </w:t>
      </w:r>
      <w:r w:rsidRPr="002F1AE1">
        <w:rPr>
          <w:rFonts w:hint="eastAsia"/>
          <w:rtl/>
        </w:rPr>
        <w:t>הבינוי</w:t>
      </w:r>
      <w:r w:rsidRPr="002F1AE1">
        <w:rPr>
          <w:rtl/>
        </w:rPr>
        <w:t xml:space="preserve"> </w:t>
      </w:r>
      <w:r w:rsidRPr="002F1AE1">
        <w:rPr>
          <w:rFonts w:hint="eastAsia"/>
          <w:rtl/>
        </w:rPr>
        <w:t>אינו</w:t>
      </w:r>
      <w:r w:rsidRPr="002F1AE1">
        <w:rPr>
          <w:rtl/>
        </w:rPr>
        <w:t xml:space="preserve"> </w:t>
      </w:r>
      <w:r w:rsidRPr="002F1AE1">
        <w:rPr>
          <w:rFonts w:hint="eastAsia"/>
          <w:rtl/>
        </w:rPr>
        <w:t>מרכז</w:t>
      </w:r>
      <w:r w:rsidRPr="002F1AE1">
        <w:rPr>
          <w:rtl/>
        </w:rPr>
        <w:t xml:space="preserve"> </w:t>
      </w:r>
      <w:r w:rsidRPr="002F1AE1">
        <w:rPr>
          <w:rFonts w:hint="eastAsia"/>
          <w:rtl/>
        </w:rPr>
        <w:t>נתונים</w:t>
      </w:r>
      <w:r w:rsidRPr="002F1AE1">
        <w:rPr>
          <w:rtl/>
        </w:rPr>
        <w:t xml:space="preserve"> על תושבים </w:t>
      </w:r>
      <w:r w:rsidRPr="002F1AE1">
        <w:rPr>
          <w:rFonts w:hint="eastAsia"/>
          <w:rtl/>
        </w:rPr>
        <w:t>שוויתרו</w:t>
      </w:r>
      <w:r w:rsidRPr="002F1AE1">
        <w:rPr>
          <w:rtl/>
        </w:rPr>
        <w:t xml:space="preserve"> </w:t>
      </w:r>
      <w:r w:rsidRPr="002F1AE1">
        <w:rPr>
          <w:rFonts w:hint="eastAsia"/>
          <w:rtl/>
        </w:rPr>
        <w:t>על</w:t>
      </w:r>
      <w:r w:rsidRPr="002F1AE1">
        <w:rPr>
          <w:rtl/>
        </w:rPr>
        <w:t xml:space="preserve"> </w:t>
      </w:r>
      <w:r w:rsidRPr="002F1AE1">
        <w:rPr>
          <w:rFonts w:hint="eastAsia"/>
          <w:rtl/>
        </w:rPr>
        <w:t>האפשרות</w:t>
      </w:r>
      <w:r w:rsidRPr="002F1AE1">
        <w:rPr>
          <w:rtl/>
        </w:rPr>
        <w:t xml:space="preserve"> </w:t>
      </w:r>
      <w:r w:rsidRPr="002F1AE1">
        <w:rPr>
          <w:rFonts w:hint="eastAsia"/>
          <w:rtl/>
        </w:rPr>
        <w:t>לעבור</w:t>
      </w:r>
      <w:r w:rsidRPr="002F1AE1">
        <w:rPr>
          <w:rtl/>
        </w:rPr>
        <w:t xml:space="preserve"> </w:t>
      </w:r>
      <w:r w:rsidRPr="002F1AE1">
        <w:rPr>
          <w:rFonts w:hint="eastAsia"/>
          <w:rtl/>
        </w:rPr>
        <w:t>להתגורר</w:t>
      </w:r>
      <w:r w:rsidRPr="002F1AE1">
        <w:rPr>
          <w:rtl/>
        </w:rPr>
        <w:t xml:space="preserve"> </w:t>
      </w:r>
      <w:r w:rsidRPr="002F1AE1">
        <w:rPr>
          <w:rFonts w:hint="eastAsia"/>
          <w:rtl/>
        </w:rPr>
        <w:t>בדיור</w:t>
      </w:r>
      <w:r w:rsidRPr="002F1AE1">
        <w:rPr>
          <w:rtl/>
        </w:rPr>
        <w:t xml:space="preserve"> </w:t>
      </w:r>
      <w:r w:rsidRPr="002F1AE1">
        <w:rPr>
          <w:rFonts w:hint="eastAsia"/>
          <w:rtl/>
        </w:rPr>
        <w:t>ציבורי</w:t>
      </w:r>
      <w:r w:rsidRPr="002F1AE1">
        <w:rPr>
          <w:rtl/>
        </w:rPr>
        <w:t xml:space="preserve"> </w:t>
      </w:r>
      <w:r w:rsidRPr="002F1AE1">
        <w:rPr>
          <w:rFonts w:hint="eastAsia"/>
          <w:rtl/>
        </w:rPr>
        <w:t>ביישוב</w:t>
      </w:r>
      <w:r w:rsidRPr="002F1AE1">
        <w:rPr>
          <w:rtl/>
        </w:rPr>
        <w:t xml:space="preserve"> </w:t>
      </w:r>
      <w:r w:rsidRPr="002F1AE1">
        <w:rPr>
          <w:rFonts w:hint="eastAsia"/>
          <w:rtl/>
        </w:rPr>
        <w:t>אחר</w:t>
      </w:r>
      <w:r w:rsidRPr="002F1AE1">
        <w:rPr>
          <w:rtl/>
        </w:rPr>
        <w:t xml:space="preserve"> </w:t>
      </w:r>
      <w:r w:rsidRPr="002F1AE1">
        <w:rPr>
          <w:rFonts w:hint="eastAsia"/>
          <w:rtl/>
        </w:rPr>
        <w:t>ובחרו</w:t>
      </w:r>
      <w:r w:rsidRPr="002F1AE1">
        <w:rPr>
          <w:rtl/>
        </w:rPr>
        <w:t xml:space="preserve"> </w:t>
      </w:r>
      <w:r w:rsidRPr="002F1AE1">
        <w:rPr>
          <w:rFonts w:hint="eastAsia"/>
          <w:rtl/>
        </w:rPr>
        <w:t>להישאר</w:t>
      </w:r>
      <w:r w:rsidRPr="002F1AE1">
        <w:rPr>
          <w:rtl/>
        </w:rPr>
        <w:t xml:space="preserve"> </w:t>
      </w:r>
      <w:r w:rsidRPr="002F1AE1">
        <w:rPr>
          <w:rFonts w:hint="eastAsia"/>
          <w:rtl/>
        </w:rPr>
        <w:t>להתגורר</w:t>
      </w:r>
      <w:r w:rsidRPr="002F1AE1">
        <w:rPr>
          <w:rtl/>
        </w:rPr>
        <w:t xml:space="preserve"> </w:t>
      </w:r>
      <w:r w:rsidRPr="002F1AE1">
        <w:rPr>
          <w:rFonts w:hint="eastAsia"/>
          <w:rtl/>
        </w:rPr>
        <w:t>ביישוב</w:t>
      </w:r>
      <w:r w:rsidRPr="002F1AE1">
        <w:rPr>
          <w:rtl/>
        </w:rPr>
        <w:t xml:space="preserve"> </w:t>
      </w:r>
      <w:r w:rsidRPr="002F1AE1">
        <w:rPr>
          <w:rFonts w:hint="eastAsia"/>
          <w:rtl/>
        </w:rPr>
        <w:t>מגוריהם</w:t>
      </w:r>
      <w:r w:rsidRPr="002F1AE1">
        <w:rPr>
          <w:rtl/>
        </w:rPr>
        <w:t>, ש</w:t>
      </w:r>
      <w:r>
        <w:rPr>
          <w:rFonts w:hint="cs"/>
          <w:rtl/>
        </w:rPr>
        <w:t xml:space="preserve">בו </w:t>
      </w:r>
      <w:r w:rsidRPr="002F1AE1">
        <w:rPr>
          <w:rtl/>
        </w:rPr>
        <w:t>אין דירות ציבוריות, ו</w:t>
      </w:r>
      <w:r w:rsidRPr="002F1AE1">
        <w:rPr>
          <w:rFonts w:hint="eastAsia"/>
          <w:rtl/>
        </w:rPr>
        <w:t>לקבל</w:t>
      </w:r>
      <w:r w:rsidRPr="002F1AE1">
        <w:rPr>
          <w:rtl/>
        </w:rPr>
        <w:t xml:space="preserve"> סיוע כספי לשכירת דירה בשוק החופשי. </w:t>
      </w:r>
    </w:p>
    <w:p w14:paraId="6E9375AC" w14:textId="7721BFA0" w:rsidR="00C218DA" w:rsidRDefault="00C218DA" w:rsidP="002240BA">
      <w:pPr>
        <w:pStyle w:val="100"/>
        <w:rPr>
          <w:rtl/>
        </w:rPr>
      </w:pPr>
      <w:r>
        <w:rPr>
          <w:rFonts w:hint="cs"/>
          <w:rtl/>
        </w:rPr>
        <w:t>יש לציין</w:t>
      </w:r>
      <w:r w:rsidRPr="00E51364">
        <w:rPr>
          <w:rFonts w:hint="cs"/>
          <w:rtl/>
        </w:rPr>
        <w:t xml:space="preserve"> כי </w:t>
      </w:r>
      <w:r>
        <w:rPr>
          <w:rFonts w:hint="cs"/>
          <w:rtl/>
        </w:rPr>
        <w:t>ב-2019</w:t>
      </w:r>
      <w:r w:rsidRPr="00E51364">
        <w:rPr>
          <w:rFonts w:hint="cs"/>
          <w:rtl/>
        </w:rPr>
        <w:t xml:space="preserve"> נדונה בלשכת שרת הבינוי הצע</w:t>
      </w:r>
      <w:r>
        <w:rPr>
          <w:rFonts w:hint="cs"/>
          <w:rtl/>
        </w:rPr>
        <w:t>ה</w:t>
      </w:r>
      <w:r w:rsidRPr="00E51364">
        <w:rPr>
          <w:rFonts w:hint="cs"/>
          <w:rtl/>
        </w:rPr>
        <w:t xml:space="preserve"> </w:t>
      </w:r>
      <w:r>
        <w:rPr>
          <w:rFonts w:hint="cs"/>
          <w:rtl/>
        </w:rPr>
        <w:t xml:space="preserve">מאת </w:t>
      </w:r>
      <w:r w:rsidRPr="00E51364">
        <w:rPr>
          <w:rFonts w:hint="cs"/>
          <w:rtl/>
        </w:rPr>
        <w:t xml:space="preserve">הגורמים המקצועיים במשרד לשינוי </w:t>
      </w:r>
      <w:r>
        <w:rPr>
          <w:rFonts w:hint="cs"/>
          <w:rtl/>
        </w:rPr>
        <w:t>אמות המידה</w:t>
      </w:r>
      <w:r w:rsidRPr="00E51364">
        <w:rPr>
          <w:rFonts w:hint="cs"/>
          <w:rtl/>
        </w:rPr>
        <w:t xml:space="preserve"> לזכאות לדירה ציבורית והרחבת פתרונות הדיור</w:t>
      </w:r>
      <w:r>
        <w:rPr>
          <w:rFonts w:hint="cs"/>
          <w:rtl/>
        </w:rPr>
        <w:t xml:space="preserve"> לאוכלוסייה הנזקקת</w:t>
      </w:r>
      <w:r w:rsidRPr="00E51364">
        <w:rPr>
          <w:rFonts w:hint="cs"/>
          <w:rtl/>
        </w:rPr>
        <w:t xml:space="preserve">. </w:t>
      </w:r>
      <w:r>
        <w:rPr>
          <w:rFonts w:hint="cs"/>
          <w:rtl/>
        </w:rPr>
        <w:t>ע</w:t>
      </w:r>
      <w:r w:rsidRPr="00E51364">
        <w:rPr>
          <w:rFonts w:hint="cs"/>
          <w:rtl/>
        </w:rPr>
        <w:t>ל</w:t>
      </w:r>
      <w:r>
        <w:rPr>
          <w:rFonts w:hint="cs"/>
          <w:rtl/>
        </w:rPr>
        <w:t xml:space="preserve"> </w:t>
      </w:r>
      <w:r w:rsidRPr="00E51364">
        <w:rPr>
          <w:rFonts w:hint="cs"/>
          <w:rtl/>
        </w:rPr>
        <w:t>פי ההצעה</w:t>
      </w:r>
      <w:r>
        <w:rPr>
          <w:rFonts w:hint="cs"/>
          <w:rtl/>
        </w:rPr>
        <w:t xml:space="preserve">, הפתרון שהועלה לאוכלוסיות שונות, לרבות מי שכיום </w:t>
      </w:r>
      <w:r w:rsidRPr="00E51364">
        <w:rPr>
          <w:rFonts w:hint="cs"/>
          <w:rtl/>
        </w:rPr>
        <w:t xml:space="preserve">זכאים </w:t>
      </w:r>
      <w:r>
        <w:rPr>
          <w:rFonts w:hint="cs"/>
          <w:rtl/>
        </w:rPr>
        <w:t>לדיור ציבורי ו</w:t>
      </w:r>
      <w:r w:rsidRPr="00E51364">
        <w:rPr>
          <w:rFonts w:hint="cs"/>
          <w:rtl/>
        </w:rPr>
        <w:t xml:space="preserve">מתגוררים ביישובים </w:t>
      </w:r>
      <w:r>
        <w:rPr>
          <w:rFonts w:hint="cs"/>
          <w:rtl/>
        </w:rPr>
        <w:t>ש</w:t>
      </w:r>
      <w:r w:rsidRPr="00E51364">
        <w:rPr>
          <w:rFonts w:hint="cs"/>
          <w:rtl/>
        </w:rPr>
        <w:t xml:space="preserve">בהם אין דיור ציבורי, </w:t>
      </w:r>
      <w:r>
        <w:rPr>
          <w:rFonts w:hint="cs"/>
          <w:rtl/>
        </w:rPr>
        <w:t xml:space="preserve">הוא </w:t>
      </w:r>
      <w:r w:rsidRPr="00E51364">
        <w:rPr>
          <w:rFonts w:hint="cs"/>
          <w:rtl/>
        </w:rPr>
        <w:t xml:space="preserve">השתתפות </w:t>
      </w:r>
      <w:r>
        <w:rPr>
          <w:rFonts w:hint="cs"/>
          <w:rtl/>
        </w:rPr>
        <w:t xml:space="preserve">המדינה </w:t>
      </w:r>
      <w:r w:rsidRPr="00E51364">
        <w:rPr>
          <w:rFonts w:hint="cs"/>
          <w:rtl/>
        </w:rPr>
        <w:t xml:space="preserve">בשכר דירה במודל של שכירות ארוכת טווח באמצעות </w:t>
      </w:r>
      <w:r w:rsidRPr="00E51364">
        <w:rPr>
          <w:rtl/>
        </w:rPr>
        <w:t xml:space="preserve">התקשרויות </w:t>
      </w:r>
      <w:r w:rsidRPr="00E51364">
        <w:rPr>
          <w:rFonts w:hint="cs"/>
          <w:rtl/>
        </w:rPr>
        <w:t xml:space="preserve">של המשרד </w:t>
      </w:r>
      <w:r w:rsidRPr="00E51364">
        <w:rPr>
          <w:rtl/>
        </w:rPr>
        <w:t>עם</w:t>
      </w:r>
      <w:r w:rsidRPr="00E51364">
        <w:rPr>
          <w:rFonts w:hint="cs"/>
          <w:rtl/>
        </w:rPr>
        <w:t xml:space="preserve"> צדדים שלישיים</w:t>
      </w:r>
      <w:r>
        <w:rPr>
          <w:rFonts w:hint="cs"/>
          <w:rtl/>
        </w:rPr>
        <w:t>, לשם</w:t>
      </w:r>
      <w:r w:rsidRPr="00E51364">
        <w:rPr>
          <w:rFonts w:hint="cs"/>
          <w:rtl/>
        </w:rPr>
        <w:t xml:space="preserve"> </w:t>
      </w:r>
      <w:r w:rsidRPr="00E51364">
        <w:rPr>
          <w:rtl/>
        </w:rPr>
        <w:t xml:space="preserve">יצירת מאגר דירות </w:t>
      </w:r>
      <w:r w:rsidRPr="00E51364">
        <w:rPr>
          <w:rtl/>
        </w:rPr>
        <w:lastRenderedPageBreak/>
        <w:t>להשכרה</w:t>
      </w:r>
      <w:r>
        <w:rPr>
          <w:rStyle w:val="FootnoteReference"/>
          <w:sz w:val="24"/>
          <w:rtl/>
        </w:rPr>
        <w:footnoteReference w:id="29"/>
      </w:r>
      <w:r w:rsidRPr="00E51364">
        <w:rPr>
          <w:rFonts w:hint="cs"/>
          <w:rtl/>
        </w:rPr>
        <w:t xml:space="preserve">. עם זאת, מדובר בדיון </w:t>
      </w:r>
      <w:r>
        <w:rPr>
          <w:rFonts w:hint="cs"/>
          <w:rtl/>
        </w:rPr>
        <w:t xml:space="preserve">ראשוני </w:t>
      </w:r>
      <w:r w:rsidRPr="00E51364">
        <w:rPr>
          <w:rFonts w:hint="cs"/>
          <w:rtl/>
        </w:rPr>
        <w:t>וטרם התקבלו החלטות בנושא.</w:t>
      </w:r>
      <w:r>
        <w:rPr>
          <w:rFonts w:hint="cs"/>
          <w:rtl/>
        </w:rPr>
        <w:t xml:space="preserve"> משרד הבינוי מסר לצוות הביקורת כי נכון למועד סיום הביקורת </w:t>
      </w:r>
      <w:r w:rsidRPr="009C4884">
        <w:rPr>
          <w:rtl/>
        </w:rPr>
        <w:t xml:space="preserve">מתקיימת עבודת מטה משותפת </w:t>
      </w:r>
      <w:r>
        <w:rPr>
          <w:rFonts w:hint="cs"/>
          <w:rtl/>
        </w:rPr>
        <w:t>בינו</w:t>
      </w:r>
      <w:r w:rsidRPr="009C4884">
        <w:rPr>
          <w:rtl/>
        </w:rPr>
        <w:t xml:space="preserve"> </w:t>
      </w:r>
      <w:r>
        <w:rPr>
          <w:rFonts w:hint="cs"/>
          <w:rtl/>
        </w:rPr>
        <w:t xml:space="preserve">ובין </w:t>
      </w:r>
      <w:r w:rsidRPr="009C4884">
        <w:rPr>
          <w:rtl/>
        </w:rPr>
        <w:t xml:space="preserve">משרד האוצר </w:t>
      </w:r>
      <w:r>
        <w:rPr>
          <w:rFonts w:hint="cs"/>
          <w:rtl/>
        </w:rPr>
        <w:t>ו</w:t>
      </w:r>
      <w:r w:rsidRPr="009C4884">
        <w:rPr>
          <w:rtl/>
        </w:rPr>
        <w:t xml:space="preserve">במסגרתה נבחנת ישימות התוכנית </w:t>
      </w:r>
      <w:r>
        <w:rPr>
          <w:rFonts w:hint="cs"/>
          <w:rtl/>
        </w:rPr>
        <w:t xml:space="preserve">למודל שכירות ארוכת טווח, </w:t>
      </w:r>
      <w:r w:rsidRPr="009C4884">
        <w:rPr>
          <w:rtl/>
        </w:rPr>
        <w:t xml:space="preserve">הן מבחינת היצע </w:t>
      </w:r>
      <w:r>
        <w:rPr>
          <w:rFonts w:hint="cs"/>
          <w:rtl/>
        </w:rPr>
        <w:t xml:space="preserve">הדירות </w:t>
      </w:r>
      <w:r w:rsidRPr="009C4884">
        <w:rPr>
          <w:rtl/>
        </w:rPr>
        <w:t>בשוק והן מ</w:t>
      </w:r>
      <w:r>
        <w:rPr>
          <w:rFonts w:hint="cs"/>
          <w:rtl/>
        </w:rPr>
        <w:t>ה</w:t>
      </w:r>
      <w:r w:rsidRPr="009C4884">
        <w:rPr>
          <w:rtl/>
        </w:rPr>
        <w:t xml:space="preserve">בחינה </w:t>
      </w:r>
      <w:r>
        <w:rPr>
          <w:rFonts w:hint="cs"/>
          <w:rtl/>
        </w:rPr>
        <w:t>ה</w:t>
      </w:r>
      <w:r w:rsidRPr="009C4884">
        <w:rPr>
          <w:rtl/>
        </w:rPr>
        <w:t>כלכלית</w:t>
      </w:r>
      <w:r>
        <w:rPr>
          <w:rFonts w:hint="cs"/>
          <w:rtl/>
        </w:rPr>
        <w:t>, וכי הם פועלים להשלמת עבודת המטה בחודשים הקרובים</w:t>
      </w:r>
      <w:r w:rsidRPr="009C4884">
        <w:rPr>
          <w:rtl/>
        </w:rPr>
        <w:t>.</w:t>
      </w:r>
    </w:p>
    <w:p w14:paraId="2F0353B9" w14:textId="0F01C79B" w:rsidR="00C218DA" w:rsidRDefault="00C218DA" w:rsidP="002240BA">
      <w:pPr>
        <w:pStyle w:val="af5"/>
        <w:rPr>
          <w:rtl/>
        </w:rPr>
      </w:pPr>
      <w:r w:rsidRPr="009747FD">
        <w:rPr>
          <w:rFonts w:hint="cs"/>
          <w:rtl/>
        </w:rPr>
        <w:t xml:space="preserve">משרד מבקר המדינה ממליץ כי משרד הבינוי יבחן את האפשרות לתת לכל זכאי המתגורר ביישובים שבהם אין דירה ציבורית, ובפרט ביישובים המדורגים באשכול חברתי-כלכלי נמוך בהם מתגוררות אוכלוסיות בני מיעוטים וחרדים, את אותן הזכויות הניתנות לאלה המתגוררים ביישובים שבהם יש דיור ציבורי, כלומר הזכות להמשיך להתגורר ביישוב מגוריו, שבו נמצאות רשתות התמיכה והסיוע שלו, בהתאם לתפיסה שעומדת בבסיס נוהל המשרד כמפורט לעיל. לשם כך יהיה על המשרד לרכוש דירות ציבוריות גם ביישובים שבהם מתגוררים זכאים שכיום אין ביישובם דיור ציבורי. בד בבד מוצע כי המשרד יבחן מתן פתרונות מיידיים לאותם זכאים באופן שיצמצם את הפגיעה בהם, וזאת עד מתן פתרון מלא, למשל בדרך של סיוע מוגדל בשכר הדירה עד שתוצע להם דירה מתאימה ביישוב מגוריהם. </w:t>
      </w:r>
    </w:p>
    <w:p w14:paraId="2DAFBA46" w14:textId="77777777" w:rsidR="00C218DA" w:rsidRDefault="00C218DA" w:rsidP="002240BA">
      <w:pPr>
        <w:pStyle w:val="100"/>
        <w:rPr>
          <w:rtl/>
        </w:rPr>
      </w:pPr>
      <w:r>
        <w:rPr>
          <w:rFonts w:hint="cs"/>
          <w:rtl/>
        </w:rPr>
        <w:t>משרד הבינוי מסר בתשובתו כי הוא מקבל את הערת הביקורת לעניין רכש הדירות כמפורט לעיל, וכי "</w:t>
      </w:r>
      <w:r w:rsidRPr="00347DFE">
        <w:rPr>
          <w:rtl/>
        </w:rPr>
        <w:t>עם הרכבת הממשלה הבאה וסיום תכנית הרכש הנוכחית, יובאו בפני השר/ה הנכנסים המלצות לרכש דירות גם ביישובים בהם לא קיימות כיום דירות דיור ציבורי, אך קיים פוטנציאל ביקושים</w:t>
      </w:r>
      <w:r>
        <w:rPr>
          <w:rFonts w:hint="cs"/>
          <w:rtl/>
        </w:rPr>
        <w:t>". עוד מסר כי הוא פועל לכך שפרויקטים של "מחיר למשתכן" שיוקמו ביישובים שאין בהם דירות ציבוריות ושיש בהם זכאים פוטנציאליים יכללו דירות ציבוריות (ראו להלן).</w:t>
      </w:r>
    </w:p>
    <w:p w14:paraId="75BE2E71" w14:textId="706EAD3A" w:rsidR="00C218DA" w:rsidRPr="00652F7B" w:rsidRDefault="00C218DA" w:rsidP="004E073D">
      <w:pPr>
        <w:pStyle w:val="af5"/>
        <w:rPr>
          <w:rtl/>
        </w:rPr>
      </w:pPr>
      <w:r w:rsidRPr="004C1ACE">
        <w:rPr>
          <w:rFonts w:hint="cs"/>
          <w:rtl/>
        </w:rPr>
        <w:t xml:space="preserve">מתשובת המשרד עולה כי </w:t>
      </w:r>
      <w:r>
        <w:rPr>
          <w:rFonts w:hint="cs"/>
          <w:rtl/>
        </w:rPr>
        <w:t xml:space="preserve">כיום אין לוח זמנים מוגדר לרכישת דירות ציבוריות ביישובים שבהם אין דירות ציבוריות, כך שיינתן מענה לזכאים הפוטנציאליים באותם יישובים. זאת ועוד, טרם אושרו </w:t>
      </w:r>
      <w:r w:rsidRPr="004C1ACE">
        <w:rPr>
          <w:rFonts w:hint="cs"/>
          <w:rtl/>
        </w:rPr>
        <w:t>פרויקט</w:t>
      </w:r>
      <w:r>
        <w:rPr>
          <w:rFonts w:hint="cs"/>
          <w:rtl/>
        </w:rPr>
        <w:t>ים</w:t>
      </w:r>
      <w:r w:rsidRPr="004C1ACE">
        <w:rPr>
          <w:rFonts w:hint="cs"/>
          <w:rtl/>
        </w:rPr>
        <w:t xml:space="preserve"> </w:t>
      </w:r>
      <w:r>
        <w:rPr>
          <w:rFonts w:hint="cs"/>
          <w:rtl/>
        </w:rPr>
        <w:t xml:space="preserve">של </w:t>
      </w:r>
      <w:r w:rsidRPr="004C1ACE">
        <w:rPr>
          <w:rFonts w:hint="cs"/>
          <w:rtl/>
        </w:rPr>
        <w:t xml:space="preserve">"מחיר למשתכן" </w:t>
      </w:r>
      <w:r>
        <w:rPr>
          <w:rFonts w:hint="cs"/>
          <w:rtl/>
        </w:rPr>
        <w:t>ביישובים שבהם אין דיור ציבורי,</w:t>
      </w:r>
      <w:r w:rsidRPr="004C1ACE">
        <w:rPr>
          <w:rFonts w:hint="cs"/>
          <w:rtl/>
        </w:rPr>
        <w:t xml:space="preserve"> </w:t>
      </w:r>
      <w:r>
        <w:rPr>
          <w:rFonts w:hint="cs"/>
          <w:rtl/>
        </w:rPr>
        <w:t>כך שאף אם יאושרו פרויקטים כאלו, בנייתן של הדירות במסגרת הפרויקטים לא תסתיים בשנים הקרובות</w:t>
      </w:r>
      <w:r w:rsidRPr="004C1ACE">
        <w:rPr>
          <w:rFonts w:hint="cs"/>
          <w:rtl/>
        </w:rPr>
        <w:t>. על כן מ</w:t>
      </w:r>
      <w:r>
        <w:rPr>
          <w:rFonts w:hint="cs"/>
          <w:rtl/>
        </w:rPr>
        <w:t>ו</w:t>
      </w:r>
      <w:r w:rsidRPr="004C1ACE">
        <w:rPr>
          <w:rFonts w:hint="cs"/>
          <w:rtl/>
        </w:rPr>
        <w:t xml:space="preserve">דגש הצורך </w:t>
      </w:r>
      <w:r>
        <w:rPr>
          <w:rFonts w:hint="cs"/>
          <w:rtl/>
        </w:rPr>
        <w:t xml:space="preserve">לבחון גם מתן </w:t>
      </w:r>
      <w:r w:rsidRPr="004C1ACE">
        <w:rPr>
          <w:rFonts w:hint="cs"/>
          <w:rtl/>
        </w:rPr>
        <w:t>פתרונות מי</w:t>
      </w:r>
      <w:r>
        <w:rPr>
          <w:rFonts w:hint="cs"/>
          <w:rtl/>
        </w:rPr>
        <w:t>י</w:t>
      </w:r>
      <w:r w:rsidRPr="004C1ACE">
        <w:rPr>
          <w:rFonts w:hint="cs"/>
          <w:rtl/>
        </w:rPr>
        <w:t xml:space="preserve">דיים </w:t>
      </w:r>
      <w:r w:rsidRPr="004C1ACE">
        <w:rPr>
          <w:rtl/>
        </w:rPr>
        <w:t xml:space="preserve">לאותם זכאים באופן שיצמצם את הפגיעה בהם, </w:t>
      </w:r>
      <w:r w:rsidRPr="004C1ACE">
        <w:rPr>
          <w:rFonts w:hint="cs"/>
          <w:rtl/>
        </w:rPr>
        <w:t>כמפורט לעיל.</w:t>
      </w:r>
    </w:p>
    <w:p w14:paraId="1C088C9B" w14:textId="77777777" w:rsidR="00C218DA" w:rsidRDefault="00C218DA" w:rsidP="004E073D">
      <w:pPr>
        <w:pStyle w:val="316"/>
        <w:rPr>
          <w:rtl/>
        </w:rPr>
      </w:pPr>
      <w:r>
        <w:rPr>
          <w:rFonts w:hint="cs"/>
          <w:rtl/>
        </w:rPr>
        <w:lastRenderedPageBreak/>
        <w:t>מימוש מועט של מקורות אחרים להרחבת מאגר הדירות</w:t>
      </w:r>
    </w:p>
    <w:p w14:paraId="12A5F3A0" w14:textId="77777777" w:rsidR="00C218DA" w:rsidRDefault="00C218DA" w:rsidP="004E073D">
      <w:pPr>
        <w:pStyle w:val="100"/>
        <w:rPr>
          <w:rtl/>
        </w:rPr>
      </w:pPr>
      <w:r w:rsidRPr="00017D9C">
        <w:rPr>
          <w:rFonts w:hint="cs"/>
          <w:rtl/>
        </w:rPr>
        <w:t>מלבד רכישת דירות למלאי הדירות מ</w:t>
      </w:r>
      <w:r>
        <w:rPr>
          <w:rFonts w:hint="cs"/>
          <w:rtl/>
        </w:rPr>
        <w:t>כספי ה</w:t>
      </w:r>
      <w:r w:rsidRPr="00017D9C">
        <w:rPr>
          <w:rFonts w:hint="cs"/>
          <w:rtl/>
        </w:rPr>
        <w:t xml:space="preserve">קרן </w:t>
      </w:r>
      <w:r>
        <w:rPr>
          <w:rFonts w:hint="cs"/>
          <w:rtl/>
        </w:rPr>
        <w:t>ל</w:t>
      </w:r>
      <w:r w:rsidRPr="00017D9C">
        <w:rPr>
          <w:rFonts w:hint="cs"/>
          <w:rtl/>
        </w:rPr>
        <w:t>דיור ציבורי</w:t>
      </w:r>
      <w:r>
        <w:rPr>
          <w:rFonts w:hint="cs"/>
          <w:rtl/>
        </w:rPr>
        <w:t>,</w:t>
      </w:r>
      <w:r w:rsidRPr="00017D9C">
        <w:rPr>
          <w:rFonts w:hint="cs"/>
          <w:rtl/>
        </w:rPr>
        <w:t xml:space="preserve"> </w:t>
      </w:r>
      <w:r>
        <w:rPr>
          <w:rFonts w:hint="cs"/>
          <w:rtl/>
        </w:rPr>
        <w:t>כלומר</w:t>
      </w:r>
      <w:r w:rsidRPr="00017D9C">
        <w:rPr>
          <w:rFonts w:hint="cs"/>
          <w:rtl/>
        </w:rPr>
        <w:t xml:space="preserve"> </w:t>
      </w:r>
      <w:r>
        <w:rPr>
          <w:rFonts w:hint="cs"/>
          <w:rtl/>
        </w:rPr>
        <w:t>מכספי</w:t>
      </w:r>
      <w:r w:rsidRPr="00017D9C">
        <w:rPr>
          <w:rFonts w:hint="cs"/>
          <w:rtl/>
        </w:rPr>
        <w:t xml:space="preserve"> תקציב המדינה, </w:t>
      </w:r>
      <w:r w:rsidRPr="00017D9C">
        <w:rPr>
          <w:rtl/>
        </w:rPr>
        <w:t>הגופים הממשלתיים השונים פועלים להרחבת מלאי הדירות הציבוריות בדרכים שונות</w:t>
      </w:r>
      <w:r>
        <w:rPr>
          <w:rFonts w:hint="cs"/>
          <w:rtl/>
        </w:rPr>
        <w:t>,</w:t>
      </w:r>
      <w:r w:rsidRPr="00017D9C">
        <w:rPr>
          <w:rtl/>
        </w:rPr>
        <w:t xml:space="preserve"> שנקבעו בין היתר בהחלטת ממשלה ובהחלטת מועצת מקרקעי ישראל</w:t>
      </w:r>
      <w:r>
        <w:rPr>
          <w:rFonts w:hint="cs"/>
          <w:rtl/>
        </w:rPr>
        <w:t>, כפי שיפורט להלן</w:t>
      </w:r>
      <w:r w:rsidRPr="00017D9C">
        <w:rPr>
          <w:rtl/>
        </w:rPr>
        <w:t>.</w:t>
      </w:r>
      <w:r w:rsidRPr="00017D9C">
        <w:rPr>
          <w:rFonts w:hint="cs"/>
          <w:rtl/>
        </w:rPr>
        <w:t xml:space="preserve"> </w:t>
      </w:r>
    </w:p>
    <w:p w14:paraId="7FBC60B2" w14:textId="1109BCE3" w:rsidR="00C218DA" w:rsidRDefault="00C218DA" w:rsidP="00ED0C93">
      <w:pPr>
        <w:pStyle w:val="af5"/>
        <w:rPr>
          <w:rtl/>
        </w:rPr>
      </w:pPr>
      <w:r>
        <w:rPr>
          <w:rFonts w:hint="cs"/>
          <w:rtl/>
        </w:rPr>
        <w:t xml:space="preserve">הביקורת העלתה כי </w:t>
      </w:r>
      <w:r w:rsidRPr="00B70E78">
        <w:rPr>
          <w:rFonts w:hint="cs"/>
          <w:rtl/>
        </w:rPr>
        <w:t xml:space="preserve">על אף פעולות שונות </w:t>
      </w:r>
      <w:r>
        <w:rPr>
          <w:rFonts w:hint="cs"/>
          <w:rtl/>
        </w:rPr>
        <w:t>שננקטו להגדלת</w:t>
      </w:r>
      <w:r w:rsidRPr="00B70E78">
        <w:rPr>
          <w:rFonts w:hint="cs"/>
          <w:rtl/>
        </w:rPr>
        <w:t xml:space="preserve"> מאגר הדירות</w:t>
      </w:r>
      <w:r>
        <w:rPr>
          <w:rFonts w:hint="cs"/>
          <w:rtl/>
        </w:rPr>
        <w:t xml:space="preserve"> הציבוריות</w:t>
      </w:r>
      <w:r w:rsidRPr="00B70E78">
        <w:rPr>
          <w:rFonts w:hint="cs"/>
          <w:rtl/>
        </w:rPr>
        <w:t xml:space="preserve">, </w:t>
      </w:r>
      <w:r>
        <w:rPr>
          <w:rFonts w:hint="cs"/>
          <w:rtl/>
        </w:rPr>
        <w:t>תוספת הדירות הצפויה בגינן בשנים הקרובות זעומה ביחס למלאי הדירות הקיים ולמספר הממתינים לדיור ציבורי</w:t>
      </w:r>
      <w:r w:rsidRPr="00B70E78">
        <w:rPr>
          <w:rFonts w:hint="cs"/>
          <w:rtl/>
        </w:rPr>
        <w:t xml:space="preserve">. </w:t>
      </w:r>
      <w:r>
        <w:rPr>
          <w:rFonts w:hint="cs"/>
          <w:rtl/>
        </w:rPr>
        <w:t>הפרטים יובאו להלן.</w:t>
      </w:r>
    </w:p>
    <w:p w14:paraId="5A290F7F" w14:textId="77777777" w:rsidR="00C218DA" w:rsidRPr="00794082" w:rsidRDefault="00C218DA" w:rsidP="004E073D">
      <w:pPr>
        <w:pStyle w:val="414"/>
        <w:rPr>
          <w:rtl/>
        </w:rPr>
      </w:pPr>
      <w:r>
        <w:rPr>
          <w:rFonts w:hint="cs"/>
          <w:rtl/>
        </w:rPr>
        <w:t>בניית</w:t>
      </w:r>
      <w:r w:rsidRPr="00794082">
        <w:rPr>
          <w:rtl/>
        </w:rPr>
        <w:t xml:space="preserve"> דירות ציבוריות </w:t>
      </w:r>
      <w:r w:rsidRPr="004E073D">
        <w:rPr>
          <w:rtl/>
        </w:rPr>
        <w:t>במסגרת</w:t>
      </w:r>
      <w:r w:rsidRPr="00794082">
        <w:rPr>
          <w:rtl/>
        </w:rPr>
        <w:t xml:space="preserve"> </w:t>
      </w:r>
      <w:r>
        <w:rPr>
          <w:rFonts w:hint="cs"/>
          <w:rtl/>
        </w:rPr>
        <w:t xml:space="preserve">פרויקטים של </w:t>
      </w:r>
      <w:r w:rsidRPr="00794082">
        <w:rPr>
          <w:rtl/>
        </w:rPr>
        <w:t>"מחיר למשתכן"</w:t>
      </w:r>
    </w:p>
    <w:p w14:paraId="7BD05440" w14:textId="77777777" w:rsidR="00C218DA" w:rsidRPr="00CD4354" w:rsidRDefault="00C218DA" w:rsidP="004E073D">
      <w:pPr>
        <w:pStyle w:val="100"/>
        <w:rPr>
          <w:rtl/>
        </w:rPr>
      </w:pPr>
      <w:r w:rsidRPr="000B43D0">
        <w:rPr>
          <w:rFonts w:hint="cs"/>
          <w:sz w:val="24"/>
          <w:rtl/>
          <w:lang w:eastAsia="he-IL"/>
        </w:rPr>
        <w:t>כדי להתמודד</w:t>
      </w:r>
      <w:r w:rsidRPr="000B43D0">
        <w:rPr>
          <w:sz w:val="24"/>
          <w:rtl/>
          <w:lang w:eastAsia="he-IL"/>
        </w:rPr>
        <w:t xml:space="preserve"> </w:t>
      </w:r>
      <w:r w:rsidRPr="000B43D0">
        <w:rPr>
          <w:rFonts w:hint="cs"/>
          <w:sz w:val="24"/>
          <w:rtl/>
          <w:lang w:eastAsia="he-IL"/>
        </w:rPr>
        <w:t>עם</w:t>
      </w:r>
      <w:r w:rsidRPr="000B43D0">
        <w:rPr>
          <w:sz w:val="24"/>
          <w:rtl/>
          <w:lang w:eastAsia="he-IL"/>
        </w:rPr>
        <w:t xml:space="preserve"> </w:t>
      </w:r>
      <w:r w:rsidRPr="000B43D0">
        <w:rPr>
          <w:rFonts w:hint="cs"/>
          <w:sz w:val="24"/>
          <w:rtl/>
          <w:lang w:eastAsia="he-IL"/>
        </w:rPr>
        <w:t>משבר הדיור ולסייע לזוגות צעירים לרכוש דירה, החליטה הממשלה בשנת</w:t>
      </w:r>
      <w:r w:rsidRPr="000B43D0">
        <w:rPr>
          <w:sz w:val="24"/>
          <w:rtl/>
          <w:lang w:eastAsia="he-IL"/>
        </w:rPr>
        <w:t xml:space="preserve"> </w:t>
      </w:r>
      <w:r w:rsidRPr="000B43D0">
        <w:rPr>
          <w:rFonts w:hint="cs"/>
          <w:sz w:val="24"/>
          <w:rtl/>
          <w:lang w:eastAsia="he-IL"/>
        </w:rPr>
        <w:t>2015</w:t>
      </w:r>
      <w:r>
        <w:rPr>
          <w:rStyle w:val="FootnoteReference"/>
          <w:sz w:val="24"/>
          <w:rtl/>
          <w:lang w:eastAsia="he-IL"/>
        </w:rPr>
        <w:footnoteReference w:id="30"/>
      </w:r>
      <w:r w:rsidRPr="000B43D0">
        <w:rPr>
          <w:rFonts w:hint="cs"/>
          <w:sz w:val="24"/>
          <w:rtl/>
          <w:lang w:eastAsia="he-IL"/>
        </w:rPr>
        <w:t xml:space="preserve"> על ביצוע התוכנית </w:t>
      </w:r>
      <w:r w:rsidRPr="000B43D0">
        <w:rPr>
          <w:sz w:val="24"/>
          <w:rtl/>
          <w:lang w:eastAsia="he-IL"/>
        </w:rPr>
        <w:t>"</w:t>
      </w:r>
      <w:r w:rsidRPr="000B43D0">
        <w:rPr>
          <w:rFonts w:hint="cs"/>
          <w:sz w:val="24"/>
          <w:rtl/>
          <w:lang w:eastAsia="he-IL"/>
        </w:rPr>
        <w:t>מחיר</w:t>
      </w:r>
      <w:r w:rsidRPr="000B43D0">
        <w:rPr>
          <w:sz w:val="24"/>
          <w:rtl/>
          <w:lang w:eastAsia="he-IL"/>
        </w:rPr>
        <w:t xml:space="preserve"> </w:t>
      </w:r>
      <w:r w:rsidRPr="000B43D0">
        <w:rPr>
          <w:rFonts w:hint="cs"/>
          <w:sz w:val="24"/>
          <w:rtl/>
          <w:lang w:eastAsia="he-IL"/>
        </w:rPr>
        <w:t>למשתכן</w:t>
      </w:r>
      <w:r w:rsidRPr="000B43D0">
        <w:rPr>
          <w:sz w:val="24"/>
          <w:rtl/>
          <w:lang w:eastAsia="he-IL"/>
        </w:rPr>
        <w:t>"</w:t>
      </w:r>
      <w:r w:rsidRPr="000B43D0">
        <w:rPr>
          <w:rFonts w:hint="cs"/>
          <w:sz w:val="24"/>
          <w:rtl/>
          <w:lang w:eastAsia="he-IL"/>
        </w:rPr>
        <w:t xml:space="preserve"> (להלן - "מחיר למשתכן")</w:t>
      </w:r>
      <w:r>
        <w:rPr>
          <w:rStyle w:val="FootnoteReference"/>
          <w:sz w:val="24"/>
          <w:rtl/>
          <w:lang w:eastAsia="he-IL"/>
        </w:rPr>
        <w:footnoteReference w:id="31"/>
      </w:r>
      <w:r w:rsidRPr="000B43D0">
        <w:rPr>
          <w:rFonts w:hint="cs"/>
          <w:sz w:val="24"/>
          <w:rtl/>
          <w:lang w:eastAsia="he-IL"/>
        </w:rPr>
        <w:t xml:space="preserve">. </w:t>
      </w:r>
      <w:r>
        <w:rPr>
          <w:rFonts w:hint="cs"/>
          <w:sz w:val="24"/>
          <w:rtl/>
          <w:lang w:eastAsia="he-IL"/>
        </w:rPr>
        <w:t>ע</w:t>
      </w:r>
      <w:r w:rsidRPr="000B43D0">
        <w:rPr>
          <w:rFonts w:hint="cs"/>
          <w:sz w:val="24"/>
          <w:rtl/>
          <w:lang w:eastAsia="he-IL"/>
        </w:rPr>
        <w:t>ל</w:t>
      </w:r>
      <w:r>
        <w:rPr>
          <w:rFonts w:hint="cs"/>
          <w:sz w:val="24"/>
          <w:rtl/>
          <w:lang w:eastAsia="he-IL"/>
        </w:rPr>
        <w:t xml:space="preserve"> </w:t>
      </w:r>
      <w:r w:rsidRPr="000B43D0">
        <w:rPr>
          <w:rFonts w:hint="cs"/>
          <w:sz w:val="24"/>
          <w:rtl/>
          <w:lang w:eastAsia="he-IL"/>
        </w:rPr>
        <w:t xml:space="preserve">פי התוכנית, המדינה </w:t>
      </w:r>
      <w:r>
        <w:rPr>
          <w:rFonts w:hint="cs"/>
          <w:sz w:val="24"/>
          <w:rtl/>
          <w:lang w:eastAsia="he-IL"/>
        </w:rPr>
        <w:t xml:space="preserve">מחכירה </w:t>
      </w:r>
      <w:r w:rsidRPr="000B43D0">
        <w:rPr>
          <w:rFonts w:hint="cs"/>
          <w:sz w:val="24"/>
          <w:rtl/>
          <w:lang w:eastAsia="he-IL"/>
        </w:rPr>
        <w:t xml:space="preserve">ליזמים שזכו במכרז את הזכויות </w:t>
      </w:r>
      <w:r>
        <w:rPr>
          <w:rFonts w:hint="cs"/>
          <w:sz w:val="24"/>
          <w:rtl/>
          <w:lang w:eastAsia="he-IL"/>
        </w:rPr>
        <w:t xml:space="preserve">על </w:t>
      </w:r>
      <w:r w:rsidRPr="000B43D0">
        <w:rPr>
          <w:rFonts w:hint="cs"/>
          <w:sz w:val="24"/>
          <w:rtl/>
          <w:lang w:eastAsia="he-IL"/>
        </w:rPr>
        <w:t>קרקע</w:t>
      </w:r>
      <w:r>
        <w:rPr>
          <w:rFonts w:hint="cs"/>
          <w:sz w:val="24"/>
          <w:rtl/>
          <w:lang w:eastAsia="he-IL"/>
        </w:rPr>
        <w:t>ותיה</w:t>
      </w:r>
      <w:r w:rsidRPr="000B43D0">
        <w:rPr>
          <w:rFonts w:hint="cs"/>
          <w:sz w:val="24"/>
          <w:rtl/>
          <w:lang w:eastAsia="he-IL"/>
        </w:rPr>
        <w:t xml:space="preserve"> במחיר מופחת, כך שהזכאים</w:t>
      </w:r>
      <w:r>
        <w:rPr>
          <w:rFonts w:hint="cs"/>
          <w:sz w:val="24"/>
          <w:rtl/>
          <w:lang w:eastAsia="he-IL"/>
        </w:rPr>
        <w:t xml:space="preserve"> להשתתף בתוכנית</w:t>
      </w:r>
      <w:r>
        <w:rPr>
          <w:rStyle w:val="FootnoteReference"/>
          <w:sz w:val="24"/>
          <w:rtl/>
          <w:lang w:eastAsia="he-IL"/>
        </w:rPr>
        <w:footnoteReference w:id="32"/>
      </w:r>
      <w:r w:rsidRPr="000B43D0">
        <w:rPr>
          <w:rFonts w:hint="cs"/>
          <w:sz w:val="24"/>
          <w:rtl/>
          <w:lang w:eastAsia="he-IL"/>
        </w:rPr>
        <w:t xml:space="preserve"> יכולים לרכוש מהיזם דירה במחיר נמוך ממחיר השוק</w:t>
      </w:r>
      <w:r>
        <w:rPr>
          <w:rStyle w:val="FootnoteReference"/>
          <w:sz w:val="24"/>
          <w:rtl/>
          <w:lang w:eastAsia="he-IL"/>
        </w:rPr>
        <w:footnoteReference w:id="33"/>
      </w:r>
      <w:r w:rsidRPr="000B43D0">
        <w:rPr>
          <w:rFonts w:hint="cs"/>
          <w:sz w:val="24"/>
          <w:rtl/>
          <w:lang w:eastAsia="he-IL"/>
        </w:rPr>
        <w:t xml:space="preserve">. </w:t>
      </w:r>
    </w:p>
    <w:p w14:paraId="7A172821" w14:textId="77777777" w:rsidR="00C218DA" w:rsidRDefault="00C218DA" w:rsidP="004E073D">
      <w:pPr>
        <w:pStyle w:val="100"/>
        <w:rPr>
          <w:rFonts w:asciiTheme="minorHAnsi" w:hAnsiTheme="minorHAnsi"/>
          <w:sz w:val="24"/>
          <w:rtl/>
        </w:rPr>
      </w:pPr>
      <w:r>
        <w:rPr>
          <w:rFonts w:asciiTheme="minorHAnsi" w:hAnsiTheme="minorHAnsi" w:hint="cs"/>
          <w:sz w:val="24"/>
          <w:rtl/>
        </w:rPr>
        <w:t>ב</w:t>
      </w:r>
      <w:r w:rsidRPr="00017D9C">
        <w:rPr>
          <w:rFonts w:asciiTheme="minorHAnsi" w:hAnsiTheme="minorHAnsi" w:hint="cs"/>
          <w:sz w:val="24"/>
          <w:rtl/>
        </w:rPr>
        <w:t>מאי</w:t>
      </w:r>
      <w:r w:rsidRPr="00017D9C">
        <w:rPr>
          <w:rFonts w:asciiTheme="minorHAnsi" w:hAnsiTheme="minorHAnsi"/>
          <w:sz w:val="24"/>
          <w:rtl/>
        </w:rPr>
        <w:t xml:space="preserve"> 2017</w:t>
      </w:r>
      <w:r>
        <w:rPr>
          <w:rFonts w:asciiTheme="minorHAnsi" w:hAnsiTheme="minorHAnsi" w:hint="cs"/>
          <w:sz w:val="24"/>
          <w:rtl/>
        </w:rPr>
        <w:t xml:space="preserve"> החליטה </w:t>
      </w:r>
      <w:r w:rsidRPr="00017D9C">
        <w:rPr>
          <w:rFonts w:asciiTheme="minorHAnsi" w:hAnsiTheme="minorHAnsi"/>
          <w:sz w:val="24"/>
          <w:rtl/>
        </w:rPr>
        <w:t>מועצת מקרקעי ישראל כי הוועדה לתכנון ופיתוח</w:t>
      </w:r>
      <w:r>
        <w:rPr>
          <w:rStyle w:val="FootnoteReference"/>
          <w:rFonts w:asciiTheme="minorHAnsi" w:hAnsiTheme="minorHAnsi"/>
          <w:sz w:val="24"/>
          <w:rtl/>
        </w:rPr>
        <w:footnoteReference w:id="34"/>
      </w:r>
      <w:r>
        <w:rPr>
          <w:rFonts w:asciiTheme="minorHAnsi" w:hAnsiTheme="minorHAnsi" w:hint="cs"/>
          <w:sz w:val="24"/>
          <w:rtl/>
        </w:rPr>
        <w:t xml:space="preserve"> (להלן - הוות"פ)</w:t>
      </w:r>
      <w:r w:rsidRPr="00017D9C">
        <w:rPr>
          <w:rFonts w:asciiTheme="minorHAnsi" w:hAnsiTheme="minorHAnsi"/>
          <w:sz w:val="24"/>
          <w:rtl/>
        </w:rPr>
        <w:t xml:space="preserve"> רשאית לקבוע כי עד 5% מכלל </w:t>
      </w:r>
      <w:r>
        <w:rPr>
          <w:rFonts w:asciiTheme="minorHAnsi" w:hAnsiTheme="minorHAnsi" w:hint="cs"/>
          <w:sz w:val="24"/>
          <w:rtl/>
        </w:rPr>
        <w:t xml:space="preserve">דירות </w:t>
      </w:r>
      <w:r w:rsidRPr="00017D9C">
        <w:rPr>
          <w:rFonts w:asciiTheme="minorHAnsi" w:hAnsiTheme="minorHAnsi"/>
          <w:sz w:val="24"/>
          <w:rtl/>
        </w:rPr>
        <w:t>"מחיר למשתכן" במתחם מסוים י</w:t>
      </w:r>
      <w:r>
        <w:rPr>
          <w:rFonts w:asciiTheme="minorHAnsi" w:hAnsiTheme="minorHAnsi" w:hint="cs"/>
          <w:sz w:val="24"/>
          <w:rtl/>
        </w:rPr>
        <w:t>י</w:t>
      </w:r>
      <w:r w:rsidRPr="00017D9C">
        <w:rPr>
          <w:rFonts w:asciiTheme="minorHAnsi" w:hAnsiTheme="minorHAnsi"/>
          <w:sz w:val="24"/>
          <w:rtl/>
        </w:rPr>
        <w:t>בנו על ידי היזם הזוכה עבור משרד ה</w:t>
      </w:r>
      <w:r>
        <w:rPr>
          <w:rFonts w:asciiTheme="minorHAnsi" w:hAnsiTheme="minorHAnsi" w:hint="cs"/>
          <w:sz w:val="24"/>
          <w:rtl/>
        </w:rPr>
        <w:t>בינוי</w:t>
      </w:r>
      <w:r w:rsidRPr="00017D9C">
        <w:rPr>
          <w:rFonts w:asciiTheme="minorHAnsi" w:hAnsiTheme="minorHAnsi"/>
          <w:sz w:val="24"/>
          <w:rtl/>
        </w:rPr>
        <w:t xml:space="preserve"> ללא תמורה </w:t>
      </w:r>
      <w:r>
        <w:rPr>
          <w:rFonts w:asciiTheme="minorHAnsi" w:hAnsiTheme="minorHAnsi" w:hint="cs"/>
          <w:sz w:val="24"/>
          <w:rtl/>
        </w:rPr>
        <w:t>וישמשו כדירות ציבוריות</w:t>
      </w:r>
      <w:r>
        <w:rPr>
          <w:sz w:val="24"/>
          <w:vertAlign w:val="superscript"/>
          <w:rtl/>
        </w:rPr>
        <w:footnoteReference w:id="35"/>
      </w:r>
      <w:r w:rsidRPr="00017D9C">
        <w:rPr>
          <w:rFonts w:asciiTheme="minorHAnsi" w:hAnsiTheme="minorHAnsi"/>
          <w:sz w:val="24"/>
          <w:rtl/>
        </w:rPr>
        <w:t>. ב</w:t>
      </w:r>
      <w:r>
        <w:rPr>
          <w:rFonts w:asciiTheme="minorHAnsi" w:hAnsiTheme="minorHAnsi" w:hint="cs"/>
          <w:sz w:val="24"/>
          <w:rtl/>
        </w:rPr>
        <w:t>דצמבר</w:t>
      </w:r>
      <w:r w:rsidRPr="00017D9C">
        <w:rPr>
          <w:rFonts w:asciiTheme="minorHAnsi" w:hAnsiTheme="minorHAnsi"/>
          <w:sz w:val="24"/>
          <w:rtl/>
        </w:rPr>
        <w:t xml:space="preserve"> 2018 ה</w:t>
      </w:r>
      <w:r>
        <w:rPr>
          <w:rFonts w:asciiTheme="minorHAnsi" w:hAnsiTheme="minorHAnsi" w:hint="cs"/>
          <w:sz w:val="24"/>
          <w:rtl/>
        </w:rPr>
        <w:t>רחיבה</w:t>
      </w:r>
      <w:r w:rsidRPr="00017D9C">
        <w:rPr>
          <w:rFonts w:asciiTheme="minorHAnsi" w:hAnsiTheme="minorHAnsi"/>
          <w:sz w:val="24"/>
          <w:rtl/>
        </w:rPr>
        <w:t xml:space="preserve"> המועצה את סמכות הו</w:t>
      </w:r>
      <w:r>
        <w:rPr>
          <w:rFonts w:asciiTheme="minorHAnsi" w:hAnsiTheme="minorHAnsi" w:hint="cs"/>
          <w:sz w:val="24"/>
          <w:rtl/>
        </w:rPr>
        <w:t>ות"פ, כך שתהיה רשאית</w:t>
      </w:r>
      <w:r w:rsidRPr="00017D9C">
        <w:rPr>
          <w:rFonts w:asciiTheme="minorHAnsi" w:hAnsiTheme="minorHAnsi"/>
          <w:sz w:val="24"/>
          <w:rtl/>
        </w:rPr>
        <w:t xml:space="preserve"> לקבוע כי היזם יבנה עד 7% מהדירות עבור הדיור הציבורי</w:t>
      </w:r>
      <w:r>
        <w:rPr>
          <w:sz w:val="24"/>
          <w:vertAlign w:val="superscript"/>
          <w:rtl/>
        </w:rPr>
        <w:footnoteReference w:id="36"/>
      </w:r>
      <w:r w:rsidRPr="00017D9C">
        <w:rPr>
          <w:rFonts w:asciiTheme="minorHAnsi" w:hAnsiTheme="minorHAnsi"/>
          <w:sz w:val="24"/>
          <w:rtl/>
        </w:rPr>
        <w:t>.</w:t>
      </w:r>
    </w:p>
    <w:p w14:paraId="2492C281" w14:textId="4D6783CB" w:rsidR="00C218DA" w:rsidRPr="004E073D" w:rsidRDefault="00C218DA" w:rsidP="004E073D">
      <w:pPr>
        <w:pStyle w:val="100"/>
        <w:rPr>
          <w:rFonts w:asciiTheme="minorHAnsi" w:hAnsiTheme="minorHAnsi"/>
          <w:sz w:val="24"/>
          <w:rtl/>
        </w:rPr>
      </w:pPr>
      <w:r>
        <w:rPr>
          <w:rFonts w:asciiTheme="minorHAnsi" w:hAnsiTheme="minorHAnsi" w:hint="cs"/>
          <w:sz w:val="24"/>
          <w:rtl/>
        </w:rPr>
        <w:t>יצוין כי בניית דירות ציבוריות בפרויקט "מחיר למשתכן" במתכונת זו מקטינה את הכדאיות הכלכלית של הפרויקט, שכן מדובר בהגדלת הוצאות היזם ללא הגדלת התמורה שהוא מקבל בגינה. לכן אפשר שלא תהיה היתכנות כלכלית לבניית דירות ציבוריות.</w:t>
      </w:r>
    </w:p>
    <w:p w14:paraId="2D3C8809" w14:textId="77777777" w:rsidR="00C218DA" w:rsidRDefault="00C218DA" w:rsidP="004E073D">
      <w:pPr>
        <w:pStyle w:val="100"/>
        <w:rPr>
          <w:rtl/>
        </w:rPr>
      </w:pPr>
      <w:r>
        <w:rPr>
          <w:rFonts w:hint="cs"/>
          <w:rtl/>
        </w:rPr>
        <w:t xml:space="preserve">בנובמבר 2017 פנה לראשונה משרד הבינוי לוות"פ בבקשה שתאשר לכלול בניית 425 דירות ציבוריות בתשעה מכרזים של "מחיר למשתכן" שכללו 8,500 יח"ד (5% מהדירות שישווקו במכרזים אלה). הוות"פ אישרה את הבקשה וקבעה כי לקראת פרסום כל אחד מהמכרזים תיערך בדיקה כלכלית לקביעת מספר הדירות הציבוריות שייבנו בו. </w:t>
      </w:r>
    </w:p>
    <w:p w14:paraId="35618DE0" w14:textId="77777777" w:rsidR="00C218DA" w:rsidRDefault="00C218DA" w:rsidP="004E073D">
      <w:pPr>
        <w:pStyle w:val="100"/>
        <w:rPr>
          <w:rtl/>
        </w:rPr>
      </w:pPr>
      <w:r>
        <w:rPr>
          <w:rFonts w:hint="cs"/>
          <w:rtl/>
        </w:rPr>
        <w:lastRenderedPageBreak/>
        <w:t>בינואר 2019 הורה מנכ"ל משרד הבינוי לאגף נכסים וחברות ולאגף השיווק במשרד לכלול בתוכנית העבודה לשנת 2019 משימה להקצאת דירות ציבוריות במכרזי "מחיר למשתכן". היעד שקבע לשנת 2019 היה 500 דירות ציבוריות.</w:t>
      </w:r>
    </w:p>
    <w:p w14:paraId="7D4BA8C4" w14:textId="77777777" w:rsidR="00C218DA" w:rsidRDefault="00C218DA" w:rsidP="004E073D">
      <w:pPr>
        <w:pStyle w:val="100"/>
        <w:rPr>
          <w:rtl/>
        </w:rPr>
      </w:pPr>
      <w:r>
        <w:rPr>
          <w:rFonts w:hint="cs"/>
          <w:rtl/>
        </w:rPr>
        <w:t>במהלך שנת 2019 הכין משרד הבינוי תוכנית עבודה שנתית להקצאת דירות ציבוריות במכרזי "מחיר למשתכן". לצורך הכנתה ביצע המשרד בדיקות כלכליות פרטניות לכל מתחם שנכלל בתוכנית פרסום המכרזים של רמ"י לשנת 2019. התוכנית כללה בניית 392</w:t>
      </w:r>
      <w:r w:rsidRPr="000B3BAB">
        <w:rPr>
          <w:rFonts w:hint="cs"/>
          <w:rtl/>
        </w:rPr>
        <w:t xml:space="preserve"> </w:t>
      </w:r>
      <w:r>
        <w:rPr>
          <w:rFonts w:hint="cs"/>
          <w:rtl/>
        </w:rPr>
        <w:t>דירות ציבוריות מתוך 6,800 דירות (כ-5.8%)</w:t>
      </w:r>
      <w:r>
        <w:rPr>
          <w:rStyle w:val="FootnoteReference"/>
          <w:rtl/>
        </w:rPr>
        <w:footnoteReference w:id="37"/>
      </w:r>
      <w:r>
        <w:rPr>
          <w:rFonts w:hint="cs"/>
          <w:rtl/>
        </w:rPr>
        <w:t xml:space="preserve"> שייבנו בשמונה יישובים:</w:t>
      </w:r>
      <w:r w:rsidRPr="001504C3">
        <w:rPr>
          <w:rFonts w:hint="cs"/>
          <w:rtl/>
        </w:rPr>
        <w:t xml:space="preserve"> </w:t>
      </w:r>
      <w:r>
        <w:rPr>
          <w:rFonts w:hint="cs"/>
          <w:rtl/>
        </w:rPr>
        <w:t>אשדוד, חיפה,</w:t>
      </w:r>
      <w:r w:rsidRPr="005F7E2C">
        <w:rPr>
          <w:rFonts w:hint="cs"/>
          <w:rtl/>
        </w:rPr>
        <w:t xml:space="preserve"> </w:t>
      </w:r>
      <w:r>
        <w:rPr>
          <w:rFonts w:hint="cs"/>
          <w:rtl/>
        </w:rPr>
        <w:t>ירושלים, לוד, נתניה, ראשון לציון, רכסים ורמת השרון.</w:t>
      </w:r>
    </w:p>
    <w:p w14:paraId="56015E6D" w14:textId="77777777" w:rsidR="00C218DA" w:rsidRDefault="00C218DA" w:rsidP="004E073D">
      <w:pPr>
        <w:pStyle w:val="100"/>
        <w:rPr>
          <w:rtl/>
        </w:rPr>
      </w:pPr>
      <w:r>
        <w:rPr>
          <w:rFonts w:hint="cs"/>
          <w:rtl/>
        </w:rPr>
        <w:t>ביוני 2019 התקיים דיון בנושא תוכנית העבודה של משרד הבינוי בהשתתפות נציגי המשרד, רמ"י ומטה הדיור וגורמים אחרים ממשרד האוצר</w:t>
      </w:r>
      <w:r>
        <w:rPr>
          <w:rStyle w:val="FootnoteReference"/>
          <w:rtl/>
        </w:rPr>
        <w:footnoteReference w:id="38"/>
      </w:r>
      <w:r>
        <w:rPr>
          <w:rFonts w:hint="cs"/>
          <w:rtl/>
        </w:rPr>
        <w:t>. בדיון ביקשה רמ"י לבחון את המכרזים הצפויים ואת היקף ההקצאה של הדירות הציבוריות במסגרתם. סוכם כי תיקבע פגישה נוספת במהלך יולי 2019 ובה תיבחן תוכנית העבודה לטובת אישורה העקרוני, וכי בהתאם לתוכנית שתאושר, תעדכן רמ"י את משרד הבינוי לקראת כל שיווק של קרקע לטובת פרויקט "מחיר למשתכן", כדי שיהיה ניתן לבצע בדיקה כלכלית בנוגע לפרויקט ולבחון שילוב של בניית דירות ציבוריות במסגרתו. בפגישה הודגש כי יידרש אישור סופי של הוות"פ לכל מכרז</w:t>
      </w:r>
      <w:r>
        <w:rPr>
          <w:rtl/>
        </w:rPr>
        <w:t>.</w:t>
      </w:r>
    </w:p>
    <w:p w14:paraId="757817DD" w14:textId="77777777" w:rsidR="00C218DA" w:rsidRDefault="00C218DA" w:rsidP="004E073D">
      <w:pPr>
        <w:pStyle w:val="100"/>
        <w:rPr>
          <w:rtl/>
        </w:rPr>
      </w:pPr>
      <w:r>
        <w:rPr>
          <w:rFonts w:hint="cs"/>
          <w:rtl/>
        </w:rPr>
        <w:t xml:space="preserve">באוגוסט 2019 מסר </w:t>
      </w:r>
      <w:r w:rsidRPr="008D2684">
        <w:rPr>
          <w:rFonts w:hint="cs"/>
          <w:rtl/>
        </w:rPr>
        <w:t xml:space="preserve">משרד הבינוי </w:t>
      </w:r>
      <w:r>
        <w:rPr>
          <w:rFonts w:hint="cs"/>
          <w:rtl/>
        </w:rPr>
        <w:t xml:space="preserve">לצוות הביקורת </w:t>
      </w:r>
      <w:r w:rsidRPr="008D2684">
        <w:rPr>
          <w:rFonts w:hint="cs"/>
          <w:rtl/>
        </w:rPr>
        <w:t xml:space="preserve">כי "בתחילת הדרך המנגנון </w:t>
      </w:r>
      <w:r>
        <w:rPr>
          <w:rFonts w:hint="cs"/>
          <w:rtl/>
        </w:rPr>
        <w:t xml:space="preserve">[של הקצאת דירות ציבוריות במכרזי "מחיר למשתכן"] </w:t>
      </w:r>
      <w:r w:rsidRPr="008D2684">
        <w:rPr>
          <w:rFonts w:hint="cs"/>
          <w:rtl/>
        </w:rPr>
        <w:t>לא יושם באופן שיטתי.</w:t>
      </w:r>
      <w:r w:rsidRPr="008D2684">
        <w:rPr>
          <w:rFonts w:ascii="Arial" w:hAnsi="Arial" w:cs="Arial"/>
          <w:color w:val="FF0000"/>
          <w:rtl/>
        </w:rPr>
        <w:t xml:space="preserve"> </w:t>
      </w:r>
      <w:r w:rsidRPr="008D2684">
        <w:rPr>
          <w:rtl/>
        </w:rPr>
        <w:t>בחודשים האחרונים נעשה ניסיון לבנות ת</w:t>
      </w:r>
      <w:r w:rsidRPr="008D2684">
        <w:rPr>
          <w:rFonts w:hint="cs"/>
          <w:rtl/>
        </w:rPr>
        <w:t>ו</w:t>
      </w:r>
      <w:r w:rsidRPr="008D2684">
        <w:rPr>
          <w:rtl/>
        </w:rPr>
        <w:t xml:space="preserve">כנית עבודה שנתית </w:t>
      </w:r>
      <w:r>
        <w:rPr>
          <w:rFonts w:hint="cs"/>
          <w:rtl/>
        </w:rPr>
        <w:t>[משותפת למשרד ולרמ"י]...</w:t>
      </w:r>
      <w:r w:rsidRPr="008D2684">
        <w:rPr>
          <w:rtl/>
        </w:rPr>
        <w:t xml:space="preserve"> אולם טרם סוכמה סופית רשימת הדירות, וקיימת התנגדות של רשות מקרקעי ישראל לקביעה מראש של היעדים</w:t>
      </w:r>
      <w:r w:rsidRPr="008D2684">
        <w:rPr>
          <w:rFonts w:hint="cs"/>
          <w:rtl/>
        </w:rPr>
        <w:t>".</w:t>
      </w:r>
      <w:r w:rsidRPr="00F85337">
        <w:rPr>
          <w:rFonts w:hint="cs"/>
          <w:rtl/>
        </w:rPr>
        <w:t xml:space="preserve"> </w:t>
      </w:r>
      <w:r>
        <w:rPr>
          <w:rFonts w:hint="cs"/>
          <w:rtl/>
        </w:rPr>
        <w:t>עוד מסר באוקטובר 2019 כי נוכח האמור הוא עוקב באופן שוטף</w:t>
      </w:r>
      <w:r>
        <w:rPr>
          <w:rtl/>
        </w:rPr>
        <w:t xml:space="preserve"> אחר פרסום </w:t>
      </w:r>
      <w:r>
        <w:rPr>
          <w:rFonts w:hint="cs"/>
          <w:rtl/>
        </w:rPr>
        <w:t>מכרזי רמ"י,</w:t>
      </w:r>
      <w:r>
        <w:rPr>
          <w:rtl/>
        </w:rPr>
        <w:t xml:space="preserve"> כדי לוודא </w:t>
      </w:r>
      <w:r>
        <w:rPr>
          <w:rFonts w:hint="cs"/>
          <w:rtl/>
        </w:rPr>
        <w:t xml:space="preserve">את </w:t>
      </w:r>
      <w:r>
        <w:rPr>
          <w:rtl/>
        </w:rPr>
        <w:t xml:space="preserve">שילוב </w:t>
      </w:r>
      <w:r>
        <w:rPr>
          <w:rFonts w:hint="cs"/>
          <w:rtl/>
        </w:rPr>
        <w:t xml:space="preserve">בניית הדירות הציבוריות </w:t>
      </w:r>
      <w:r>
        <w:rPr>
          <w:rtl/>
        </w:rPr>
        <w:t>בהתאם ל</w:t>
      </w:r>
      <w:r>
        <w:rPr>
          <w:rFonts w:hint="cs"/>
          <w:rtl/>
        </w:rPr>
        <w:t>תוכנית שהעביר לרמ"י,</w:t>
      </w:r>
      <w:r>
        <w:rPr>
          <w:rtl/>
        </w:rPr>
        <w:t xml:space="preserve"> וכן </w:t>
      </w:r>
      <w:r>
        <w:rPr>
          <w:rFonts w:hint="cs"/>
          <w:rtl/>
        </w:rPr>
        <w:t>במכרזים</w:t>
      </w:r>
      <w:r>
        <w:rPr>
          <w:rtl/>
        </w:rPr>
        <w:t xml:space="preserve"> נוספים שלא נכללו בת</w:t>
      </w:r>
      <w:r>
        <w:rPr>
          <w:rFonts w:hint="cs"/>
          <w:rtl/>
        </w:rPr>
        <w:t>ו</w:t>
      </w:r>
      <w:r>
        <w:rPr>
          <w:rtl/>
        </w:rPr>
        <w:t>כנית העבודה</w:t>
      </w:r>
      <w:r>
        <w:rPr>
          <w:rFonts w:hint="cs"/>
          <w:rtl/>
        </w:rPr>
        <w:t>,</w:t>
      </w:r>
      <w:r>
        <w:rPr>
          <w:rtl/>
        </w:rPr>
        <w:t xml:space="preserve"> </w:t>
      </w:r>
      <w:r>
        <w:rPr>
          <w:rFonts w:hint="cs"/>
          <w:rtl/>
        </w:rPr>
        <w:t>כמו</w:t>
      </w:r>
      <w:r>
        <w:rPr>
          <w:rtl/>
        </w:rPr>
        <w:t xml:space="preserve"> </w:t>
      </w:r>
      <w:r>
        <w:rPr>
          <w:rFonts w:hint="cs"/>
          <w:rtl/>
        </w:rPr>
        <w:t>מכרזים</w:t>
      </w:r>
      <w:r>
        <w:rPr>
          <w:rtl/>
        </w:rPr>
        <w:t xml:space="preserve"> שנדחו משנים</w:t>
      </w:r>
      <w:r>
        <w:rPr>
          <w:rFonts w:hint="cs"/>
          <w:rtl/>
        </w:rPr>
        <w:t xml:space="preserve"> קודמות</w:t>
      </w:r>
      <w:r>
        <w:rPr>
          <w:rtl/>
        </w:rPr>
        <w:t>.</w:t>
      </w:r>
      <w:r>
        <w:rPr>
          <w:rFonts w:hint="cs"/>
          <w:rtl/>
        </w:rPr>
        <w:t xml:space="preserve"> יצוין כי מתוך 392 הדירות שנכללו בתוכנית העבודה שגיבש משרד הבינוי בשנת 2019, אישרה הוות"פ עד אוגוסט 2019 (תום תקופת הביקורת) לכלול בניית 18 דירות ציבוריות, בשני פרויקטים הכוללים 668 דירות</w:t>
      </w:r>
      <w:r>
        <w:rPr>
          <w:rStyle w:val="FootnoteReference"/>
          <w:rtl/>
        </w:rPr>
        <w:footnoteReference w:id="39"/>
      </w:r>
      <w:r>
        <w:rPr>
          <w:rFonts w:hint="cs"/>
          <w:rtl/>
        </w:rPr>
        <w:t xml:space="preserve"> (2.2% מהדירות שישווקו במכרזים האלה).</w:t>
      </w:r>
    </w:p>
    <w:p w14:paraId="611ADC43" w14:textId="77777777" w:rsidR="00C218DA" w:rsidRDefault="00C218DA" w:rsidP="004E073D">
      <w:pPr>
        <w:pStyle w:val="100"/>
        <w:rPr>
          <w:rtl/>
        </w:rPr>
      </w:pPr>
      <w:r>
        <w:rPr>
          <w:rFonts w:hint="cs"/>
          <w:rtl/>
        </w:rPr>
        <w:t>בתשובתה למשרד מבקר המדינה מדצמבר 2019 מסרה רמ"י כי משרד הבינוי נדרש להתאים את תוכנית העבודה שלו לתוכנית פרסום המכרזים של רמ"י ולעקוב אחר ביצועה. עוד מסרה רמ"י כי היא מעדכנת את משרד הבינוי בדבר מספר הדירות המיועדות לדיור ציבורי בפרויקט בהתאם לתוצאות השומה הנערכת בסמוך לפרסום המכרז לפרויקט.</w:t>
      </w:r>
    </w:p>
    <w:p w14:paraId="0FA25C2B" w14:textId="77777777" w:rsidR="00C218DA" w:rsidRDefault="00C218DA" w:rsidP="004E073D">
      <w:pPr>
        <w:pStyle w:val="100"/>
        <w:rPr>
          <w:rFonts w:asciiTheme="minorHAnsi" w:hAnsiTheme="minorHAnsi"/>
          <w:sz w:val="24"/>
          <w:rtl/>
        </w:rPr>
      </w:pPr>
      <w:r>
        <w:rPr>
          <w:rFonts w:asciiTheme="minorHAnsi" w:hAnsiTheme="minorHAnsi" w:hint="cs"/>
          <w:sz w:val="24"/>
          <w:rtl/>
        </w:rPr>
        <w:t>מנתוני משרד הבינוי ורמ"י עולה כי עד תום מועד הביקורת (אוגוסט 2019) - דהיינו בחלוף למעלה משנתיים ממועד ההחלטה לאפשר בניית דירות ציבוריות בפרויקטים של "מחיר למשתכן" - אישרה הוות"פ לכלול בנייה בסך כולל של 443 דירות ציבוריות במסגרת פרויקטים שונים של "מחיר למשתכן" בשמונה יישובים</w:t>
      </w:r>
      <w:r>
        <w:rPr>
          <w:rFonts w:asciiTheme="minorHAnsi" w:hAnsiTheme="minorHAnsi"/>
          <w:sz w:val="24"/>
        </w:rPr>
        <w:t>:</w:t>
      </w:r>
      <w:r w:rsidRPr="00273C6D">
        <w:rPr>
          <w:rtl/>
        </w:rPr>
        <w:t xml:space="preserve"> </w:t>
      </w:r>
      <w:r w:rsidRPr="00273C6D">
        <w:rPr>
          <w:rFonts w:asciiTheme="minorHAnsi" w:hAnsiTheme="minorHAnsi"/>
          <w:sz w:val="24"/>
          <w:rtl/>
        </w:rPr>
        <w:t xml:space="preserve">ראש העין, אשדוד, אריאל, ירושלים, קריית </w:t>
      </w:r>
      <w:r w:rsidRPr="00273C6D">
        <w:rPr>
          <w:rFonts w:asciiTheme="minorHAnsi" w:hAnsiTheme="minorHAnsi"/>
          <w:sz w:val="24"/>
          <w:rtl/>
        </w:rPr>
        <w:lastRenderedPageBreak/>
        <w:t>טבעון, אור יהודה, באר יעקב ואבן יהודה</w:t>
      </w:r>
      <w:r>
        <w:rPr>
          <w:rFonts w:asciiTheme="minorHAnsi" w:hAnsiTheme="minorHAnsi" w:hint="cs"/>
          <w:sz w:val="24"/>
          <w:rtl/>
        </w:rPr>
        <w:t>. בתקופה זו פרסמה</w:t>
      </w:r>
      <w:r>
        <w:rPr>
          <w:rStyle w:val="FootnoteReference"/>
          <w:rFonts w:asciiTheme="minorHAnsi" w:hAnsiTheme="minorHAnsi"/>
          <w:sz w:val="24"/>
          <w:rtl/>
        </w:rPr>
        <w:footnoteReference w:id="40"/>
      </w:r>
      <w:r>
        <w:rPr>
          <w:rFonts w:asciiTheme="minorHAnsi" w:hAnsiTheme="minorHAnsi" w:hint="cs"/>
          <w:sz w:val="24"/>
          <w:rtl/>
        </w:rPr>
        <w:t xml:space="preserve"> רמ"י מכרזים רק לחלק מהפרויקטים, והם כללו בניית 203 דירות ציבוריות בשישה יישובים</w:t>
      </w:r>
      <w:r>
        <w:rPr>
          <w:rStyle w:val="FootnoteReference"/>
          <w:rFonts w:asciiTheme="minorHAnsi" w:hAnsiTheme="minorHAnsi"/>
          <w:sz w:val="24"/>
          <w:rtl/>
        </w:rPr>
        <w:footnoteReference w:id="41"/>
      </w:r>
      <w:r>
        <w:rPr>
          <w:rFonts w:asciiTheme="minorHAnsi" w:hAnsiTheme="minorHAnsi" w:hint="cs"/>
          <w:sz w:val="24"/>
          <w:rtl/>
        </w:rPr>
        <w:t>, מתוך סך כולל של כ-58,000 דירות שנכללו במכרזים האלו (כ-0.3%). בפועל, מתוך המכרזים שכללו כ-58,000 דירות, התקשרה רמ"י בהסכמים עם יזמים לבנייה של 37,000 דירות, מהן 150 דירות ציבוריות באותם שישה יישובים (כ-0.4%), כמפורט בלוח שלהלן. יודגש כי בפרויקטים של "מחיר למשתכן" צפויים לחלוף בממוצע כמה שנים ממועד בחירת היזם הזוכה במכרז ועד מסירת הדירה</w:t>
      </w:r>
      <w:r>
        <w:rPr>
          <w:rStyle w:val="FootnoteReference"/>
          <w:rFonts w:asciiTheme="minorHAnsi" w:hAnsiTheme="minorHAnsi"/>
          <w:sz w:val="24"/>
          <w:rtl/>
        </w:rPr>
        <w:footnoteReference w:id="42"/>
      </w:r>
      <w:r>
        <w:rPr>
          <w:rFonts w:asciiTheme="minorHAnsi" w:hAnsiTheme="minorHAnsi" w:hint="cs"/>
          <w:sz w:val="24"/>
          <w:rtl/>
        </w:rPr>
        <w:t xml:space="preserve">. </w:t>
      </w:r>
    </w:p>
    <w:p w14:paraId="78511D32" w14:textId="409E45BE" w:rsidR="00C218DA" w:rsidRPr="004E073D" w:rsidRDefault="00C218DA" w:rsidP="004E073D">
      <w:pPr>
        <w:pStyle w:val="aa"/>
        <w:rPr>
          <w:b/>
          <w:bCs/>
          <w:rtl/>
        </w:rPr>
      </w:pPr>
      <w:r w:rsidRPr="00E5304C">
        <w:rPr>
          <w:rFonts w:hint="eastAsia"/>
          <w:rtl/>
        </w:rPr>
        <w:t>לוח</w:t>
      </w:r>
      <w:r w:rsidRPr="00E5304C">
        <w:rPr>
          <w:rtl/>
        </w:rPr>
        <w:t xml:space="preserve"> 3: </w:t>
      </w:r>
      <w:r w:rsidRPr="004E073D">
        <w:rPr>
          <w:rFonts w:hint="eastAsia"/>
          <w:b/>
          <w:bCs/>
          <w:rtl/>
        </w:rPr>
        <w:t>פירוט</w:t>
      </w:r>
      <w:r w:rsidRPr="004E073D">
        <w:rPr>
          <w:b/>
          <w:bCs/>
          <w:rtl/>
        </w:rPr>
        <w:t xml:space="preserve"> </w:t>
      </w:r>
      <w:r w:rsidRPr="004E073D">
        <w:rPr>
          <w:rFonts w:hint="eastAsia"/>
          <w:b/>
          <w:bCs/>
          <w:rtl/>
        </w:rPr>
        <w:t>מכרזי</w:t>
      </w:r>
      <w:r w:rsidRPr="004E073D">
        <w:rPr>
          <w:b/>
          <w:bCs/>
          <w:rtl/>
        </w:rPr>
        <w:t xml:space="preserve"> "מחיר </w:t>
      </w:r>
      <w:r w:rsidRPr="004E073D">
        <w:rPr>
          <w:rFonts w:hint="eastAsia"/>
          <w:b/>
          <w:bCs/>
          <w:rtl/>
        </w:rPr>
        <w:t>למשתכן</w:t>
      </w:r>
      <w:r w:rsidRPr="004E073D">
        <w:rPr>
          <w:b/>
          <w:bCs/>
          <w:rtl/>
        </w:rPr>
        <w:t xml:space="preserve">" </w:t>
      </w:r>
      <w:r w:rsidRPr="004E073D">
        <w:rPr>
          <w:rFonts w:hint="eastAsia"/>
          <w:b/>
          <w:bCs/>
          <w:rtl/>
        </w:rPr>
        <w:t>שבהם</w:t>
      </w:r>
      <w:r w:rsidRPr="004E073D">
        <w:rPr>
          <w:b/>
          <w:bCs/>
          <w:rtl/>
        </w:rPr>
        <w:t xml:space="preserve"> </w:t>
      </w:r>
      <w:r w:rsidRPr="004E073D">
        <w:rPr>
          <w:rFonts w:hint="eastAsia"/>
          <w:b/>
          <w:bCs/>
          <w:rtl/>
        </w:rPr>
        <w:t>נכללה</w:t>
      </w:r>
      <w:r w:rsidRPr="004E073D">
        <w:rPr>
          <w:b/>
          <w:bCs/>
          <w:rtl/>
        </w:rPr>
        <w:t xml:space="preserve"> </w:t>
      </w:r>
      <w:r w:rsidRPr="004E073D">
        <w:rPr>
          <w:rFonts w:hint="eastAsia"/>
          <w:b/>
          <w:bCs/>
          <w:rtl/>
        </w:rPr>
        <w:t>בניית</w:t>
      </w:r>
      <w:r w:rsidRPr="004E073D">
        <w:rPr>
          <w:b/>
          <w:bCs/>
          <w:rtl/>
        </w:rPr>
        <w:t xml:space="preserve"> </w:t>
      </w:r>
      <w:r w:rsidRPr="004E073D">
        <w:rPr>
          <w:rFonts w:hint="eastAsia"/>
          <w:b/>
          <w:bCs/>
          <w:rtl/>
        </w:rPr>
        <w:t>דירות</w:t>
      </w:r>
      <w:r w:rsidRPr="004E073D">
        <w:rPr>
          <w:b/>
          <w:bCs/>
          <w:rtl/>
        </w:rPr>
        <w:t xml:space="preserve"> </w:t>
      </w:r>
      <w:r w:rsidRPr="004E073D">
        <w:rPr>
          <w:rFonts w:hint="eastAsia"/>
          <w:b/>
          <w:bCs/>
          <w:rtl/>
        </w:rPr>
        <w:t>ציבוריות</w:t>
      </w:r>
    </w:p>
    <w:tbl>
      <w:tblPr>
        <w:tblStyle w:val="TableGrid"/>
        <w:bidiVisual/>
        <w:tblW w:w="8228" w:type="dxa"/>
        <w:tblInd w:w="108" w:type="dxa"/>
        <w:tblLook w:val="04A0" w:firstRow="1" w:lastRow="0" w:firstColumn="1" w:lastColumn="0" w:noHBand="0" w:noVBand="1"/>
      </w:tblPr>
      <w:tblGrid>
        <w:gridCol w:w="1084"/>
        <w:gridCol w:w="1165"/>
        <w:gridCol w:w="1148"/>
        <w:gridCol w:w="1213"/>
        <w:gridCol w:w="1216"/>
        <w:gridCol w:w="1189"/>
        <w:gridCol w:w="1213"/>
      </w:tblGrid>
      <w:tr w:rsidR="00C218DA" w:rsidRPr="00273C6D" w14:paraId="08A6881D" w14:textId="77777777" w:rsidTr="00223BE2">
        <w:trPr>
          <w:tblHeader/>
        </w:trPr>
        <w:tc>
          <w:tcPr>
            <w:tcW w:w="1455" w:type="dxa"/>
            <w:shd w:val="clear" w:color="auto" w:fill="C6D9F1"/>
            <w:vAlign w:val="bottom"/>
          </w:tcPr>
          <w:p w14:paraId="5ADA08F0" w14:textId="77777777" w:rsidR="00C218DA" w:rsidRPr="00652F7B" w:rsidRDefault="00C218DA" w:rsidP="004E073D">
            <w:pPr>
              <w:pStyle w:val="af1"/>
              <w:rPr>
                <w:rtl/>
              </w:rPr>
            </w:pPr>
            <w:r>
              <w:rPr>
                <w:rFonts w:hint="cs"/>
                <w:rtl/>
              </w:rPr>
              <w:t>היישוב</w:t>
            </w:r>
          </w:p>
        </w:tc>
        <w:tc>
          <w:tcPr>
            <w:tcW w:w="1234" w:type="dxa"/>
            <w:shd w:val="clear" w:color="auto" w:fill="C6D9F1"/>
            <w:vAlign w:val="bottom"/>
          </w:tcPr>
          <w:p w14:paraId="7995D01A" w14:textId="77777777" w:rsidR="00C218DA" w:rsidRPr="00652F7B" w:rsidRDefault="00C218DA" w:rsidP="004E073D">
            <w:pPr>
              <w:pStyle w:val="af1"/>
              <w:rPr>
                <w:rtl/>
              </w:rPr>
            </w:pPr>
            <w:r w:rsidRPr="00652F7B">
              <w:rPr>
                <w:rFonts w:hint="eastAsia"/>
                <w:rtl/>
              </w:rPr>
              <w:t>מס</w:t>
            </w:r>
            <w:r w:rsidRPr="00652F7B">
              <w:rPr>
                <w:rtl/>
              </w:rPr>
              <w:t xml:space="preserve">' </w:t>
            </w:r>
            <w:r w:rsidRPr="00652F7B">
              <w:rPr>
                <w:rFonts w:hint="eastAsia"/>
                <w:rtl/>
              </w:rPr>
              <w:t>המכרז</w:t>
            </w:r>
          </w:p>
        </w:tc>
        <w:tc>
          <w:tcPr>
            <w:tcW w:w="1148" w:type="dxa"/>
            <w:shd w:val="clear" w:color="auto" w:fill="C6D9F1"/>
            <w:vAlign w:val="bottom"/>
          </w:tcPr>
          <w:p w14:paraId="035D6B63" w14:textId="77777777" w:rsidR="00C218DA" w:rsidRPr="00652F7B" w:rsidRDefault="00C218DA" w:rsidP="004E073D">
            <w:pPr>
              <w:pStyle w:val="af1"/>
              <w:rPr>
                <w:rtl/>
              </w:rPr>
            </w:pPr>
            <w:r w:rsidRPr="00652F7B">
              <w:rPr>
                <w:rFonts w:hint="eastAsia"/>
                <w:rtl/>
              </w:rPr>
              <w:t>מס</w:t>
            </w:r>
            <w:r w:rsidRPr="00652F7B">
              <w:rPr>
                <w:rtl/>
              </w:rPr>
              <w:t xml:space="preserve">' </w:t>
            </w:r>
            <w:r w:rsidRPr="00652F7B">
              <w:rPr>
                <w:rFonts w:hint="eastAsia"/>
                <w:rtl/>
              </w:rPr>
              <w:t>יח</w:t>
            </w:r>
            <w:r w:rsidRPr="00652F7B">
              <w:rPr>
                <w:rtl/>
              </w:rPr>
              <w:t xml:space="preserve">"ד "מחיר </w:t>
            </w:r>
            <w:r w:rsidRPr="00652F7B">
              <w:rPr>
                <w:rFonts w:hint="eastAsia"/>
                <w:rtl/>
              </w:rPr>
              <w:t>למשתכן</w:t>
            </w:r>
            <w:r w:rsidRPr="00652F7B">
              <w:rPr>
                <w:rtl/>
              </w:rPr>
              <w:t xml:space="preserve">" </w:t>
            </w:r>
            <w:r w:rsidRPr="00652F7B">
              <w:rPr>
                <w:rFonts w:hint="eastAsia"/>
                <w:rtl/>
              </w:rPr>
              <w:t>הכלולות</w:t>
            </w:r>
            <w:r w:rsidRPr="00652F7B">
              <w:rPr>
                <w:rtl/>
              </w:rPr>
              <w:t xml:space="preserve"> </w:t>
            </w:r>
            <w:r w:rsidRPr="00652F7B">
              <w:rPr>
                <w:rFonts w:hint="eastAsia"/>
                <w:rtl/>
              </w:rPr>
              <w:t>במכרז</w:t>
            </w:r>
          </w:p>
        </w:tc>
        <w:tc>
          <w:tcPr>
            <w:tcW w:w="1213" w:type="dxa"/>
            <w:shd w:val="clear" w:color="auto" w:fill="C6D9F1"/>
            <w:vAlign w:val="bottom"/>
          </w:tcPr>
          <w:p w14:paraId="31ED64D8" w14:textId="77777777" w:rsidR="00C218DA" w:rsidRPr="00652F7B" w:rsidRDefault="00C218DA" w:rsidP="004E073D">
            <w:pPr>
              <w:pStyle w:val="af1"/>
              <w:rPr>
                <w:rtl/>
              </w:rPr>
            </w:pPr>
            <w:r w:rsidRPr="00652F7B">
              <w:rPr>
                <w:rFonts w:hint="eastAsia"/>
                <w:rtl/>
              </w:rPr>
              <w:t>מס</w:t>
            </w:r>
            <w:r w:rsidRPr="00652F7B">
              <w:rPr>
                <w:rtl/>
              </w:rPr>
              <w:t xml:space="preserve">' </w:t>
            </w:r>
            <w:r w:rsidRPr="00652F7B">
              <w:rPr>
                <w:rFonts w:hint="eastAsia"/>
                <w:rtl/>
              </w:rPr>
              <w:t>הדירות</w:t>
            </w:r>
            <w:r w:rsidRPr="00652F7B">
              <w:rPr>
                <w:rtl/>
              </w:rPr>
              <w:t xml:space="preserve"> </w:t>
            </w:r>
            <w:r w:rsidRPr="00652F7B">
              <w:rPr>
                <w:rFonts w:hint="eastAsia"/>
                <w:rtl/>
              </w:rPr>
              <w:t>הציבוריות</w:t>
            </w:r>
            <w:r w:rsidRPr="00652F7B">
              <w:rPr>
                <w:rtl/>
              </w:rPr>
              <w:t xml:space="preserve"> </w:t>
            </w:r>
            <w:r w:rsidRPr="00652F7B">
              <w:rPr>
                <w:rFonts w:hint="eastAsia"/>
                <w:rtl/>
              </w:rPr>
              <w:t>הכלולות</w:t>
            </w:r>
            <w:r w:rsidRPr="00652F7B">
              <w:rPr>
                <w:rtl/>
              </w:rPr>
              <w:t xml:space="preserve"> </w:t>
            </w:r>
            <w:r w:rsidRPr="00652F7B">
              <w:rPr>
                <w:rFonts w:hint="eastAsia"/>
                <w:rtl/>
              </w:rPr>
              <w:t>במכרז</w:t>
            </w:r>
          </w:p>
        </w:tc>
        <w:tc>
          <w:tcPr>
            <w:tcW w:w="1222" w:type="dxa"/>
            <w:shd w:val="clear" w:color="auto" w:fill="C6D9F1"/>
            <w:vAlign w:val="bottom"/>
          </w:tcPr>
          <w:p w14:paraId="7B428EED" w14:textId="77777777" w:rsidR="00C218DA" w:rsidRPr="00652F7B" w:rsidRDefault="00C218DA" w:rsidP="004E073D">
            <w:pPr>
              <w:pStyle w:val="af1"/>
              <w:rPr>
                <w:rtl/>
              </w:rPr>
            </w:pPr>
            <w:r w:rsidRPr="00652F7B">
              <w:rPr>
                <w:rFonts w:hint="eastAsia"/>
                <w:rtl/>
              </w:rPr>
              <w:t>שיעור</w:t>
            </w:r>
            <w:r w:rsidRPr="00652F7B">
              <w:rPr>
                <w:rtl/>
              </w:rPr>
              <w:t xml:space="preserve"> </w:t>
            </w:r>
            <w:r w:rsidRPr="00652F7B">
              <w:rPr>
                <w:rFonts w:hint="eastAsia"/>
                <w:rtl/>
              </w:rPr>
              <w:t>הדירות</w:t>
            </w:r>
            <w:r w:rsidRPr="00652F7B">
              <w:rPr>
                <w:rtl/>
              </w:rPr>
              <w:t xml:space="preserve"> </w:t>
            </w:r>
            <w:r w:rsidRPr="00652F7B">
              <w:rPr>
                <w:rFonts w:hint="eastAsia"/>
                <w:rtl/>
              </w:rPr>
              <w:t>הציבוריות</w:t>
            </w:r>
            <w:r w:rsidRPr="00652F7B">
              <w:rPr>
                <w:rtl/>
              </w:rPr>
              <w:t xml:space="preserve"> </w:t>
            </w:r>
            <w:r w:rsidRPr="00652F7B">
              <w:rPr>
                <w:rFonts w:hint="eastAsia"/>
                <w:rtl/>
              </w:rPr>
              <w:t>הכלולות</w:t>
            </w:r>
            <w:r w:rsidRPr="00652F7B">
              <w:rPr>
                <w:rtl/>
              </w:rPr>
              <w:t xml:space="preserve"> </w:t>
            </w:r>
            <w:r w:rsidRPr="00652F7B">
              <w:rPr>
                <w:rFonts w:hint="eastAsia"/>
                <w:rtl/>
              </w:rPr>
              <w:t>במכרז</w:t>
            </w:r>
          </w:p>
        </w:tc>
        <w:tc>
          <w:tcPr>
            <w:tcW w:w="1189" w:type="dxa"/>
            <w:shd w:val="clear" w:color="auto" w:fill="C6D9F1"/>
            <w:vAlign w:val="bottom"/>
          </w:tcPr>
          <w:p w14:paraId="43721FD8" w14:textId="77777777" w:rsidR="00C218DA" w:rsidRPr="00652F7B" w:rsidRDefault="00C218DA" w:rsidP="004E073D">
            <w:pPr>
              <w:pStyle w:val="af1"/>
              <w:rPr>
                <w:rtl/>
              </w:rPr>
            </w:pPr>
            <w:r w:rsidRPr="00652F7B">
              <w:rPr>
                <w:rFonts w:hint="eastAsia"/>
                <w:rtl/>
              </w:rPr>
              <w:t>מס</w:t>
            </w:r>
            <w:r w:rsidRPr="00652F7B">
              <w:rPr>
                <w:rtl/>
              </w:rPr>
              <w:t xml:space="preserve">' </w:t>
            </w:r>
            <w:r w:rsidRPr="00652F7B">
              <w:rPr>
                <w:rFonts w:hint="eastAsia"/>
                <w:rtl/>
              </w:rPr>
              <w:t>יח</w:t>
            </w:r>
            <w:r w:rsidRPr="00652F7B">
              <w:rPr>
                <w:rtl/>
              </w:rPr>
              <w:t xml:space="preserve">"ד </w:t>
            </w:r>
            <w:r w:rsidRPr="00652F7B">
              <w:rPr>
                <w:rFonts w:hint="eastAsia"/>
                <w:rtl/>
              </w:rPr>
              <w:t>הכלולות</w:t>
            </w:r>
            <w:r w:rsidRPr="00652F7B">
              <w:rPr>
                <w:rtl/>
              </w:rPr>
              <w:t xml:space="preserve"> </w:t>
            </w:r>
            <w:r w:rsidRPr="00652F7B">
              <w:rPr>
                <w:rFonts w:hint="eastAsia"/>
                <w:rtl/>
              </w:rPr>
              <w:t>בעסקאות</w:t>
            </w:r>
            <w:r w:rsidRPr="00652F7B">
              <w:rPr>
                <w:rtl/>
              </w:rPr>
              <w:t xml:space="preserve"> </w:t>
            </w:r>
            <w:r w:rsidRPr="00652F7B">
              <w:rPr>
                <w:rFonts w:hint="eastAsia"/>
                <w:rtl/>
              </w:rPr>
              <w:t>שנחתמו</w:t>
            </w:r>
          </w:p>
        </w:tc>
        <w:tc>
          <w:tcPr>
            <w:tcW w:w="767" w:type="dxa"/>
            <w:shd w:val="clear" w:color="auto" w:fill="C6D9F1"/>
            <w:vAlign w:val="bottom"/>
          </w:tcPr>
          <w:p w14:paraId="0C3C8427" w14:textId="77777777" w:rsidR="00C218DA" w:rsidRPr="00652F7B" w:rsidRDefault="00C218DA" w:rsidP="004E073D">
            <w:pPr>
              <w:pStyle w:val="af1"/>
              <w:rPr>
                <w:rtl/>
              </w:rPr>
            </w:pPr>
            <w:r w:rsidRPr="00652F7B">
              <w:rPr>
                <w:rFonts w:hint="eastAsia"/>
                <w:rtl/>
              </w:rPr>
              <w:t>מס</w:t>
            </w:r>
            <w:r w:rsidRPr="00652F7B">
              <w:rPr>
                <w:rtl/>
              </w:rPr>
              <w:t xml:space="preserve">' </w:t>
            </w:r>
            <w:r w:rsidRPr="00652F7B">
              <w:rPr>
                <w:rFonts w:hint="eastAsia"/>
                <w:rtl/>
              </w:rPr>
              <w:t>הדירות</w:t>
            </w:r>
            <w:r w:rsidRPr="00652F7B">
              <w:rPr>
                <w:rtl/>
              </w:rPr>
              <w:t xml:space="preserve"> </w:t>
            </w:r>
            <w:r w:rsidRPr="00652F7B">
              <w:rPr>
                <w:rFonts w:hint="eastAsia"/>
                <w:rtl/>
              </w:rPr>
              <w:t>הציבוריות</w:t>
            </w:r>
            <w:r w:rsidRPr="00652F7B">
              <w:rPr>
                <w:rtl/>
              </w:rPr>
              <w:t xml:space="preserve"> </w:t>
            </w:r>
            <w:r w:rsidRPr="00652F7B">
              <w:rPr>
                <w:rFonts w:hint="eastAsia"/>
                <w:rtl/>
              </w:rPr>
              <w:t>הכלולות</w:t>
            </w:r>
            <w:r w:rsidRPr="00652F7B">
              <w:rPr>
                <w:rtl/>
              </w:rPr>
              <w:t xml:space="preserve"> </w:t>
            </w:r>
            <w:r w:rsidRPr="00652F7B">
              <w:rPr>
                <w:rFonts w:hint="eastAsia"/>
                <w:rtl/>
              </w:rPr>
              <w:t>בעסקאות</w:t>
            </w:r>
            <w:r w:rsidRPr="00652F7B">
              <w:rPr>
                <w:rtl/>
              </w:rPr>
              <w:t xml:space="preserve"> </w:t>
            </w:r>
            <w:r w:rsidRPr="00652F7B">
              <w:rPr>
                <w:rFonts w:hint="eastAsia"/>
                <w:rtl/>
              </w:rPr>
              <w:t>שנחתמו</w:t>
            </w:r>
          </w:p>
        </w:tc>
      </w:tr>
      <w:tr w:rsidR="00C218DA" w:rsidRPr="00273C6D" w14:paraId="0E37D8A5" w14:textId="77777777" w:rsidTr="00223BE2">
        <w:tc>
          <w:tcPr>
            <w:tcW w:w="1455" w:type="dxa"/>
            <w:vAlign w:val="bottom"/>
          </w:tcPr>
          <w:p w14:paraId="77C07FFF" w14:textId="77777777" w:rsidR="00C218DA" w:rsidRPr="00652F7B" w:rsidRDefault="00C218DA" w:rsidP="004E073D">
            <w:pPr>
              <w:pStyle w:val="R"/>
              <w:rPr>
                <w:rtl/>
              </w:rPr>
            </w:pPr>
            <w:r w:rsidRPr="00652F7B">
              <w:rPr>
                <w:rFonts w:hint="eastAsia"/>
                <w:rtl/>
              </w:rPr>
              <w:t>ירושלים</w:t>
            </w:r>
          </w:p>
        </w:tc>
        <w:tc>
          <w:tcPr>
            <w:tcW w:w="1234" w:type="dxa"/>
            <w:vAlign w:val="bottom"/>
          </w:tcPr>
          <w:p w14:paraId="2EFB5412" w14:textId="77777777" w:rsidR="00C218DA" w:rsidRPr="00652F7B" w:rsidRDefault="00C218DA" w:rsidP="004E073D">
            <w:pPr>
              <w:pStyle w:val="R"/>
              <w:rPr>
                <w:rtl/>
              </w:rPr>
            </w:pPr>
            <w:r w:rsidRPr="00652F7B">
              <w:rPr>
                <w:rtl/>
              </w:rPr>
              <w:t>324/18</w:t>
            </w:r>
          </w:p>
        </w:tc>
        <w:tc>
          <w:tcPr>
            <w:tcW w:w="1148" w:type="dxa"/>
            <w:vAlign w:val="bottom"/>
          </w:tcPr>
          <w:p w14:paraId="7AD508E2" w14:textId="77777777" w:rsidR="00C218DA" w:rsidRPr="00652F7B" w:rsidRDefault="00C218DA" w:rsidP="004E073D">
            <w:pPr>
              <w:pStyle w:val="R"/>
              <w:rPr>
                <w:rtl/>
              </w:rPr>
            </w:pPr>
            <w:r w:rsidRPr="00652F7B">
              <w:rPr>
                <w:rtl/>
              </w:rPr>
              <w:t>1,121</w:t>
            </w:r>
          </w:p>
        </w:tc>
        <w:tc>
          <w:tcPr>
            <w:tcW w:w="1213" w:type="dxa"/>
            <w:vAlign w:val="bottom"/>
          </w:tcPr>
          <w:p w14:paraId="59C2B7D7" w14:textId="77777777" w:rsidR="00C218DA" w:rsidRPr="00652F7B" w:rsidRDefault="00C218DA" w:rsidP="004E073D">
            <w:pPr>
              <w:pStyle w:val="R"/>
              <w:rPr>
                <w:rtl/>
              </w:rPr>
            </w:pPr>
            <w:r w:rsidRPr="00652F7B">
              <w:rPr>
                <w:rtl/>
              </w:rPr>
              <w:t>35</w:t>
            </w:r>
          </w:p>
        </w:tc>
        <w:tc>
          <w:tcPr>
            <w:tcW w:w="1222" w:type="dxa"/>
            <w:vAlign w:val="bottom"/>
          </w:tcPr>
          <w:p w14:paraId="1E13A91F" w14:textId="77777777" w:rsidR="00C218DA" w:rsidRPr="00652F7B" w:rsidRDefault="00C218DA" w:rsidP="004E073D">
            <w:pPr>
              <w:pStyle w:val="R"/>
            </w:pPr>
            <w:r w:rsidRPr="00652F7B">
              <w:rPr>
                <w:rtl/>
              </w:rPr>
              <w:t>3%</w:t>
            </w:r>
          </w:p>
        </w:tc>
        <w:tc>
          <w:tcPr>
            <w:tcW w:w="1189" w:type="dxa"/>
            <w:vAlign w:val="bottom"/>
          </w:tcPr>
          <w:p w14:paraId="734BC0F5" w14:textId="77777777" w:rsidR="00C218DA" w:rsidRPr="00652F7B" w:rsidRDefault="00C218DA" w:rsidP="004E073D">
            <w:pPr>
              <w:pStyle w:val="R"/>
              <w:rPr>
                <w:rFonts w:ascii="Arial" w:hAnsi="Arial"/>
              </w:rPr>
            </w:pPr>
            <w:r w:rsidRPr="00652F7B">
              <w:rPr>
                <w:rFonts w:ascii="Arial" w:hAnsi="Arial"/>
                <w:rtl/>
              </w:rPr>
              <w:t>355</w:t>
            </w:r>
          </w:p>
        </w:tc>
        <w:tc>
          <w:tcPr>
            <w:tcW w:w="767" w:type="dxa"/>
            <w:vAlign w:val="bottom"/>
          </w:tcPr>
          <w:p w14:paraId="3C3667C6" w14:textId="77777777" w:rsidR="00C218DA" w:rsidRPr="00652F7B" w:rsidRDefault="00C218DA" w:rsidP="004E073D">
            <w:pPr>
              <w:pStyle w:val="R"/>
              <w:rPr>
                <w:rFonts w:ascii="Arial" w:hAnsi="Arial"/>
                <w:rtl/>
              </w:rPr>
            </w:pPr>
            <w:r w:rsidRPr="00652F7B">
              <w:rPr>
                <w:rFonts w:ascii="Arial" w:hAnsi="Arial"/>
                <w:rtl/>
              </w:rPr>
              <w:t>12</w:t>
            </w:r>
          </w:p>
        </w:tc>
      </w:tr>
      <w:tr w:rsidR="00C218DA" w:rsidRPr="00273C6D" w14:paraId="13EA1A43" w14:textId="77777777" w:rsidTr="00223BE2">
        <w:tc>
          <w:tcPr>
            <w:tcW w:w="1455" w:type="dxa"/>
            <w:vAlign w:val="bottom"/>
          </w:tcPr>
          <w:p w14:paraId="0F7EF0E2" w14:textId="77777777" w:rsidR="00C218DA" w:rsidRPr="00652F7B" w:rsidRDefault="00C218DA" w:rsidP="004E073D">
            <w:pPr>
              <w:pStyle w:val="R"/>
              <w:rPr>
                <w:rtl/>
              </w:rPr>
            </w:pPr>
            <w:r w:rsidRPr="00652F7B">
              <w:rPr>
                <w:rFonts w:hint="eastAsia"/>
                <w:rtl/>
              </w:rPr>
              <w:t>ירושלים</w:t>
            </w:r>
            <w:r w:rsidRPr="00652F7B">
              <w:rPr>
                <w:rtl/>
              </w:rPr>
              <w:t xml:space="preserve"> </w:t>
            </w:r>
          </w:p>
        </w:tc>
        <w:tc>
          <w:tcPr>
            <w:tcW w:w="1234" w:type="dxa"/>
            <w:vAlign w:val="bottom"/>
          </w:tcPr>
          <w:p w14:paraId="13EBD7C2" w14:textId="77777777" w:rsidR="00C218DA" w:rsidRPr="00652F7B" w:rsidRDefault="00C218DA" w:rsidP="004E073D">
            <w:pPr>
              <w:pStyle w:val="R"/>
              <w:rPr>
                <w:rtl/>
              </w:rPr>
            </w:pPr>
            <w:r w:rsidRPr="00652F7B">
              <w:rPr>
                <w:rtl/>
              </w:rPr>
              <w:t>66/2019</w:t>
            </w:r>
            <w:r>
              <w:rPr>
                <w:rFonts w:hint="cs"/>
                <w:rtl/>
              </w:rPr>
              <w:t xml:space="preserve"> </w:t>
            </w:r>
            <w:r w:rsidRPr="007B06AA">
              <w:rPr>
                <w:rtl/>
              </w:rPr>
              <w:t>(</w:t>
            </w:r>
            <w:r>
              <w:rPr>
                <w:rFonts w:hint="cs"/>
                <w:rtl/>
              </w:rPr>
              <w:t>יתרת הדירות מ</w:t>
            </w:r>
            <w:r w:rsidRPr="007B06AA">
              <w:rPr>
                <w:rFonts w:hint="eastAsia"/>
                <w:rtl/>
              </w:rPr>
              <w:t>מכרז</w:t>
            </w:r>
            <w:r w:rsidRPr="007B06AA">
              <w:rPr>
                <w:rtl/>
              </w:rPr>
              <w:t xml:space="preserve"> 324/18)</w:t>
            </w:r>
          </w:p>
        </w:tc>
        <w:tc>
          <w:tcPr>
            <w:tcW w:w="1148" w:type="dxa"/>
            <w:vAlign w:val="bottom"/>
          </w:tcPr>
          <w:p w14:paraId="59C0F628" w14:textId="77777777" w:rsidR="00C218DA" w:rsidRDefault="00C218DA" w:rsidP="004E073D">
            <w:pPr>
              <w:pStyle w:val="R"/>
              <w:rPr>
                <w:rtl/>
              </w:rPr>
            </w:pPr>
          </w:p>
          <w:p w14:paraId="5AB03DB6" w14:textId="77777777" w:rsidR="00C218DA" w:rsidRDefault="00C218DA" w:rsidP="004E073D">
            <w:pPr>
              <w:pStyle w:val="R"/>
              <w:rPr>
                <w:rtl/>
              </w:rPr>
            </w:pPr>
          </w:p>
          <w:p w14:paraId="363C5F83" w14:textId="77777777" w:rsidR="00C218DA" w:rsidRPr="00652F7B" w:rsidRDefault="00C218DA" w:rsidP="004E073D">
            <w:pPr>
              <w:pStyle w:val="R"/>
              <w:rPr>
                <w:rtl/>
              </w:rPr>
            </w:pPr>
            <w:r w:rsidRPr="00652F7B">
              <w:rPr>
                <w:rtl/>
              </w:rPr>
              <w:t>778</w:t>
            </w:r>
          </w:p>
        </w:tc>
        <w:tc>
          <w:tcPr>
            <w:tcW w:w="1213" w:type="dxa"/>
            <w:vAlign w:val="bottom"/>
          </w:tcPr>
          <w:p w14:paraId="4528E9C0" w14:textId="77777777" w:rsidR="00C218DA" w:rsidRDefault="00C218DA" w:rsidP="004E073D">
            <w:pPr>
              <w:pStyle w:val="R"/>
              <w:rPr>
                <w:rtl/>
              </w:rPr>
            </w:pPr>
          </w:p>
          <w:p w14:paraId="4D9C3754" w14:textId="77777777" w:rsidR="00C218DA" w:rsidRDefault="00C218DA" w:rsidP="004E073D">
            <w:pPr>
              <w:pStyle w:val="R"/>
              <w:rPr>
                <w:rtl/>
              </w:rPr>
            </w:pPr>
          </w:p>
          <w:p w14:paraId="7D035D6A" w14:textId="77777777" w:rsidR="00C218DA" w:rsidRPr="00652F7B" w:rsidRDefault="00C218DA" w:rsidP="004E073D">
            <w:pPr>
              <w:pStyle w:val="R"/>
              <w:rPr>
                <w:rtl/>
              </w:rPr>
            </w:pPr>
            <w:r w:rsidRPr="00652F7B">
              <w:rPr>
                <w:rtl/>
              </w:rPr>
              <w:t>23</w:t>
            </w:r>
          </w:p>
        </w:tc>
        <w:tc>
          <w:tcPr>
            <w:tcW w:w="1222" w:type="dxa"/>
            <w:vAlign w:val="bottom"/>
          </w:tcPr>
          <w:p w14:paraId="0523ABCA" w14:textId="77777777" w:rsidR="00C218DA" w:rsidRPr="00652F7B" w:rsidRDefault="00C218DA" w:rsidP="004E073D">
            <w:pPr>
              <w:pStyle w:val="R"/>
              <w:rPr>
                <w:rFonts w:ascii="Arial" w:hAnsi="Arial"/>
              </w:rPr>
            </w:pPr>
            <w:r w:rsidRPr="00652F7B">
              <w:rPr>
                <w:rFonts w:ascii="Arial" w:hAnsi="Arial"/>
                <w:rtl/>
              </w:rPr>
              <w:t>3%</w:t>
            </w:r>
          </w:p>
        </w:tc>
        <w:tc>
          <w:tcPr>
            <w:tcW w:w="1189" w:type="dxa"/>
            <w:vAlign w:val="bottom"/>
          </w:tcPr>
          <w:p w14:paraId="448216A9" w14:textId="77777777" w:rsidR="00C218DA" w:rsidRDefault="00C218DA" w:rsidP="004E073D">
            <w:pPr>
              <w:pStyle w:val="R"/>
              <w:rPr>
                <w:rFonts w:ascii="Arial" w:hAnsi="Arial"/>
                <w:rtl/>
              </w:rPr>
            </w:pPr>
          </w:p>
          <w:p w14:paraId="4DAC26AA" w14:textId="77777777" w:rsidR="00C218DA" w:rsidRDefault="00C218DA" w:rsidP="004E073D">
            <w:pPr>
              <w:pStyle w:val="R"/>
              <w:rPr>
                <w:rFonts w:ascii="Arial" w:hAnsi="Arial"/>
                <w:rtl/>
              </w:rPr>
            </w:pPr>
          </w:p>
          <w:p w14:paraId="6054165B" w14:textId="77777777" w:rsidR="00C218DA" w:rsidRPr="00652F7B" w:rsidRDefault="00C218DA" w:rsidP="004E073D">
            <w:pPr>
              <w:pStyle w:val="R"/>
              <w:rPr>
                <w:rFonts w:ascii="Arial" w:hAnsi="Arial"/>
                <w:rtl/>
              </w:rPr>
            </w:pPr>
            <w:r w:rsidRPr="00652F7B">
              <w:rPr>
                <w:rFonts w:ascii="Arial" w:hAnsi="Arial"/>
                <w:rtl/>
              </w:rPr>
              <w:t>778</w:t>
            </w:r>
          </w:p>
        </w:tc>
        <w:tc>
          <w:tcPr>
            <w:tcW w:w="767" w:type="dxa"/>
            <w:vAlign w:val="bottom"/>
          </w:tcPr>
          <w:p w14:paraId="14EA8FA8" w14:textId="77777777" w:rsidR="00C218DA" w:rsidRDefault="00C218DA" w:rsidP="004E073D">
            <w:pPr>
              <w:pStyle w:val="R"/>
              <w:rPr>
                <w:rFonts w:ascii="Arial" w:hAnsi="Arial"/>
                <w:rtl/>
              </w:rPr>
            </w:pPr>
          </w:p>
          <w:p w14:paraId="0595D768" w14:textId="77777777" w:rsidR="00C218DA" w:rsidRDefault="00C218DA" w:rsidP="004E073D">
            <w:pPr>
              <w:pStyle w:val="R"/>
              <w:rPr>
                <w:rFonts w:ascii="Arial" w:hAnsi="Arial"/>
                <w:rtl/>
              </w:rPr>
            </w:pPr>
          </w:p>
          <w:p w14:paraId="60756D2C" w14:textId="77777777" w:rsidR="00C218DA" w:rsidRPr="00652F7B" w:rsidRDefault="00C218DA" w:rsidP="004E073D">
            <w:pPr>
              <w:pStyle w:val="R"/>
              <w:rPr>
                <w:rFonts w:ascii="Arial" w:hAnsi="Arial"/>
                <w:rtl/>
              </w:rPr>
            </w:pPr>
            <w:r w:rsidRPr="00652F7B">
              <w:rPr>
                <w:rFonts w:ascii="Arial" w:hAnsi="Arial"/>
                <w:rtl/>
              </w:rPr>
              <w:t>23</w:t>
            </w:r>
          </w:p>
        </w:tc>
      </w:tr>
      <w:tr w:rsidR="00C218DA" w:rsidRPr="00273C6D" w14:paraId="5879857A" w14:textId="77777777" w:rsidTr="00223BE2">
        <w:tc>
          <w:tcPr>
            <w:tcW w:w="1455" w:type="dxa"/>
            <w:vAlign w:val="bottom"/>
          </w:tcPr>
          <w:p w14:paraId="16FE37B0" w14:textId="77777777" w:rsidR="00C218DA" w:rsidRPr="00652F7B" w:rsidRDefault="00C218DA" w:rsidP="004E073D">
            <w:pPr>
              <w:pStyle w:val="R"/>
              <w:rPr>
                <w:rtl/>
              </w:rPr>
            </w:pPr>
            <w:r w:rsidRPr="00652F7B">
              <w:rPr>
                <w:rFonts w:hint="eastAsia"/>
                <w:rtl/>
              </w:rPr>
              <w:t>ראש</w:t>
            </w:r>
            <w:r w:rsidRPr="00652F7B">
              <w:rPr>
                <w:rtl/>
              </w:rPr>
              <w:t xml:space="preserve"> </w:t>
            </w:r>
            <w:r w:rsidRPr="00652F7B">
              <w:rPr>
                <w:rFonts w:hint="eastAsia"/>
                <w:rtl/>
              </w:rPr>
              <w:t>העין</w:t>
            </w:r>
          </w:p>
        </w:tc>
        <w:tc>
          <w:tcPr>
            <w:tcW w:w="1234" w:type="dxa"/>
            <w:vAlign w:val="bottom"/>
          </w:tcPr>
          <w:p w14:paraId="31AB0905" w14:textId="77777777" w:rsidR="00C218DA" w:rsidRPr="00652F7B" w:rsidRDefault="00C218DA" w:rsidP="004E073D">
            <w:pPr>
              <w:pStyle w:val="R"/>
              <w:rPr>
                <w:rtl/>
              </w:rPr>
            </w:pPr>
            <w:r w:rsidRPr="00652F7B">
              <w:rPr>
                <w:rtl/>
              </w:rPr>
              <w:t>508/18</w:t>
            </w:r>
          </w:p>
        </w:tc>
        <w:tc>
          <w:tcPr>
            <w:tcW w:w="1148" w:type="dxa"/>
            <w:vAlign w:val="bottom"/>
          </w:tcPr>
          <w:p w14:paraId="0985D37F" w14:textId="77777777" w:rsidR="00C218DA" w:rsidRPr="00652F7B" w:rsidRDefault="00C218DA" w:rsidP="004E073D">
            <w:pPr>
              <w:pStyle w:val="R"/>
              <w:rPr>
                <w:rtl/>
              </w:rPr>
            </w:pPr>
            <w:r w:rsidRPr="00652F7B">
              <w:rPr>
                <w:rtl/>
              </w:rPr>
              <w:t>1,076</w:t>
            </w:r>
          </w:p>
        </w:tc>
        <w:tc>
          <w:tcPr>
            <w:tcW w:w="1213" w:type="dxa"/>
            <w:vAlign w:val="bottom"/>
          </w:tcPr>
          <w:p w14:paraId="6E0F57F8" w14:textId="77777777" w:rsidR="00C218DA" w:rsidRPr="00652F7B" w:rsidRDefault="00C218DA" w:rsidP="004E073D">
            <w:pPr>
              <w:pStyle w:val="R"/>
              <w:rPr>
                <w:rtl/>
              </w:rPr>
            </w:pPr>
            <w:r w:rsidRPr="00652F7B">
              <w:rPr>
                <w:rtl/>
              </w:rPr>
              <w:t>54</w:t>
            </w:r>
          </w:p>
        </w:tc>
        <w:tc>
          <w:tcPr>
            <w:tcW w:w="1222" w:type="dxa"/>
            <w:vAlign w:val="bottom"/>
          </w:tcPr>
          <w:p w14:paraId="5DAEC512" w14:textId="77777777" w:rsidR="00C218DA" w:rsidRPr="00652F7B" w:rsidRDefault="00C218DA" w:rsidP="004E073D">
            <w:pPr>
              <w:pStyle w:val="R"/>
              <w:rPr>
                <w:rtl/>
              </w:rPr>
            </w:pPr>
            <w:r w:rsidRPr="00652F7B">
              <w:rPr>
                <w:rtl/>
              </w:rPr>
              <w:t>5%</w:t>
            </w:r>
          </w:p>
        </w:tc>
        <w:tc>
          <w:tcPr>
            <w:tcW w:w="1189" w:type="dxa"/>
            <w:vAlign w:val="bottom"/>
          </w:tcPr>
          <w:p w14:paraId="14CB26AC" w14:textId="77777777" w:rsidR="00C218DA" w:rsidRPr="00652F7B" w:rsidRDefault="00C218DA" w:rsidP="004E073D">
            <w:pPr>
              <w:pStyle w:val="R"/>
              <w:rPr>
                <w:rFonts w:ascii="Arial" w:hAnsi="Arial"/>
              </w:rPr>
            </w:pPr>
            <w:r w:rsidRPr="00652F7B">
              <w:rPr>
                <w:rFonts w:ascii="Arial" w:hAnsi="Arial"/>
                <w:rtl/>
              </w:rPr>
              <w:t>1,076</w:t>
            </w:r>
          </w:p>
        </w:tc>
        <w:tc>
          <w:tcPr>
            <w:tcW w:w="767" w:type="dxa"/>
            <w:vAlign w:val="bottom"/>
          </w:tcPr>
          <w:p w14:paraId="509753DF" w14:textId="77777777" w:rsidR="00C218DA" w:rsidRPr="00652F7B" w:rsidRDefault="00C218DA" w:rsidP="004E073D">
            <w:pPr>
              <w:pStyle w:val="R"/>
              <w:rPr>
                <w:rFonts w:ascii="Arial" w:hAnsi="Arial"/>
                <w:rtl/>
              </w:rPr>
            </w:pPr>
            <w:r w:rsidRPr="00652F7B">
              <w:rPr>
                <w:rFonts w:ascii="Arial" w:hAnsi="Arial"/>
                <w:rtl/>
              </w:rPr>
              <w:t>54</w:t>
            </w:r>
          </w:p>
        </w:tc>
      </w:tr>
      <w:tr w:rsidR="00C218DA" w:rsidRPr="00273C6D" w14:paraId="06DA8655" w14:textId="77777777" w:rsidTr="00223BE2">
        <w:tc>
          <w:tcPr>
            <w:tcW w:w="1455" w:type="dxa"/>
            <w:vAlign w:val="bottom"/>
          </w:tcPr>
          <w:p w14:paraId="49026FA3" w14:textId="77777777" w:rsidR="00C218DA" w:rsidRPr="00652F7B" w:rsidRDefault="00C218DA" w:rsidP="004E073D">
            <w:pPr>
              <w:pStyle w:val="R"/>
              <w:rPr>
                <w:rtl/>
              </w:rPr>
            </w:pPr>
            <w:r w:rsidRPr="00652F7B">
              <w:rPr>
                <w:rFonts w:hint="eastAsia"/>
                <w:rtl/>
              </w:rPr>
              <w:t>אבן</w:t>
            </w:r>
            <w:r w:rsidRPr="00652F7B">
              <w:rPr>
                <w:rtl/>
              </w:rPr>
              <w:t xml:space="preserve"> </w:t>
            </w:r>
            <w:r w:rsidRPr="00652F7B">
              <w:rPr>
                <w:rFonts w:hint="eastAsia"/>
                <w:rtl/>
              </w:rPr>
              <w:t>יהודה</w:t>
            </w:r>
          </w:p>
        </w:tc>
        <w:tc>
          <w:tcPr>
            <w:tcW w:w="1234" w:type="dxa"/>
            <w:vAlign w:val="bottom"/>
          </w:tcPr>
          <w:p w14:paraId="7D81A3A4" w14:textId="77777777" w:rsidR="00C218DA" w:rsidRPr="00652F7B" w:rsidRDefault="00C218DA" w:rsidP="004E073D">
            <w:pPr>
              <w:pStyle w:val="R"/>
              <w:rPr>
                <w:rtl/>
              </w:rPr>
            </w:pPr>
            <w:r w:rsidRPr="00652F7B">
              <w:rPr>
                <w:rtl/>
              </w:rPr>
              <w:t>361/17</w:t>
            </w:r>
          </w:p>
        </w:tc>
        <w:tc>
          <w:tcPr>
            <w:tcW w:w="1148" w:type="dxa"/>
            <w:vAlign w:val="bottom"/>
          </w:tcPr>
          <w:p w14:paraId="716FCC34" w14:textId="77777777" w:rsidR="00C218DA" w:rsidRPr="00652F7B" w:rsidRDefault="00C218DA" w:rsidP="004E073D">
            <w:pPr>
              <w:pStyle w:val="R"/>
              <w:rPr>
                <w:rtl/>
              </w:rPr>
            </w:pPr>
            <w:r w:rsidRPr="00652F7B">
              <w:rPr>
                <w:rtl/>
              </w:rPr>
              <w:t>238</w:t>
            </w:r>
          </w:p>
        </w:tc>
        <w:tc>
          <w:tcPr>
            <w:tcW w:w="1213" w:type="dxa"/>
            <w:vAlign w:val="bottom"/>
          </w:tcPr>
          <w:p w14:paraId="68F9CA05" w14:textId="77777777" w:rsidR="00C218DA" w:rsidRPr="00652F7B" w:rsidRDefault="00C218DA" w:rsidP="004E073D">
            <w:pPr>
              <w:pStyle w:val="R"/>
              <w:rPr>
                <w:rtl/>
              </w:rPr>
            </w:pPr>
            <w:r w:rsidRPr="00652F7B">
              <w:rPr>
                <w:rtl/>
              </w:rPr>
              <w:t>11</w:t>
            </w:r>
          </w:p>
        </w:tc>
        <w:tc>
          <w:tcPr>
            <w:tcW w:w="1222" w:type="dxa"/>
            <w:vAlign w:val="bottom"/>
          </w:tcPr>
          <w:p w14:paraId="51C807A5" w14:textId="77777777" w:rsidR="00C218DA" w:rsidRPr="00652F7B" w:rsidRDefault="00C218DA" w:rsidP="004E073D">
            <w:pPr>
              <w:pStyle w:val="R"/>
              <w:rPr>
                <w:rtl/>
              </w:rPr>
            </w:pPr>
            <w:r w:rsidRPr="00652F7B">
              <w:rPr>
                <w:rtl/>
              </w:rPr>
              <w:t>5%</w:t>
            </w:r>
          </w:p>
        </w:tc>
        <w:tc>
          <w:tcPr>
            <w:tcW w:w="1189" w:type="dxa"/>
            <w:vAlign w:val="bottom"/>
          </w:tcPr>
          <w:p w14:paraId="01DA1904" w14:textId="77777777" w:rsidR="00C218DA" w:rsidRPr="00652F7B" w:rsidRDefault="00C218DA" w:rsidP="004E073D">
            <w:pPr>
              <w:pStyle w:val="R"/>
              <w:rPr>
                <w:rFonts w:ascii="Arial" w:hAnsi="Arial"/>
              </w:rPr>
            </w:pPr>
            <w:r w:rsidRPr="00652F7B">
              <w:rPr>
                <w:rFonts w:ascii="Arial" w:hAnsi="Arial"/>
                <w:rtl/>
              </w:rPr>
              <w:t>238</w:t>
            </w:r>
          </w:p>
        </w:tc>
        <w:tc>
          <w:tcPr>
            <w:tcW w:w="767" w:type="dxa"/>
            <w:vAlign w:val="bottom"/>
          </w:tcPr>
          <w:p w14:paraId="26FE5A4A" w14:textId="77777777" w:rsidR="00C218DA" w:rsidRPr="00652F7B" w:rsidRDefault="00C218DA" w:rsidP="004E073D">
            <w:pPr>
              <w:pStyle w:val="R"/>
              <w:rPr>
                <w:rFonts w:ascii="Arial" w:hAnsi="Arial"/>
                <w:rtl/>
              </w:rPr>
            </w:pPr>
            <w:r w:rsidRPr="00652F7B">
              <w:rPr>
                <w:rFonts w:ascii="Arial" w:hAnsi="Arial"/>
                <w:rtl/>
              </w:rPr>
              <w:t>11</w:t>
            </w:r>
          </w:p>
        </w:tc>
      </w:tr>
      <w:tr w:rsidR="00C218DA" w:rsidRPr="00273C6D" w14:paraId="25B8ACFE" w14:textId="77777777" w:rsidTr="00223BE2">
        <w:tc>
          <w:tcPr>
            <w:tcW w:w="1455" w:type="dxa"/>
            <w:vAlign w:val="bottom"/>
          </w:tcPr>
          <w:p w14:paraId="08600CE6" w14:textId="77777777" w:rsidR="00C218DA" w:rsidRPr="00652F7B" w:rsidRDefault="00C218DA" w:rsidP="004E073D">
            <w:pPr>
              <w:pStyle w:val="R"/>
              <w:rPr>
                <w:rtl/>
              </w:rPr>
            </w:pPr>
            <w:r w:rsidRPr="00652F7B">
              <w:rPr>
                <w:rFonts w:hint="eastAsia"/>
                <w:rtl/>
              </w:rPr>
              <w:t>אריאל</w:t>
            </w:r>
          </w:p>
        </w:tc>
        <w:tc>
          <w:tcPr>
            <w:tcW w:w="1234" w:type="dxa"/>
            <w:vAlign w:val="bottom"/>
          </w:tcPr>
          <w:p w14:paraId="67DB98DC" w14:textId="77777777" w:rsidR="00C218DA" w:rsidRPr="00652F7B" w:rsidRDefault="00C218DA" w:rsidP="004E073D">
            <w:pPr>
              <w:pStyle w:val="R"/>
              <w:rPr>
                <w:rtl/>
              </w:rPr>
            </w:pPr>
            <w:r w:rsidRPr="00652F7B">
              <w:rPr>
                <w:rtl/>
              </w:rPr>
              <w:t>8/18</w:t>
            </w:r>
          </w:p>
        </w:tc>
        <w:tc>
          <w:tcPr>
            <w:tcW w:w="1148" w:type="dxa"/>
            <w:vAlign w:val="bottom"/>
          </w:tcPr>
          <w:p w14:paraId="6E8430CC" w14:textId="77777777" w:rsidR="00C218DA" w:rsidRPr="00652F7B" w:rsidRDefault="00C218DA" w:rsidP="004E073D">
            <w:pPr>
              <w:pStyle w:val="R"/>
              <w:rPr>
                <w:rtl/>
              </w:rPr>
            </w:pPr>
            <w:r w:rsidRPr="00652F7B">
              <w:rPr>
                <w:rtl/>
              </w:rPr>
              <w:t>707</w:t>
            </w:r>
          </w:p>
        </w:tc>
        <w:tc>
          <w:tcPr>
            <w:tcW w:w="1213" w:type="dxa"/>
            <w:vAlign w:val="bottom"/>
          </w:tcPr>
          <w:p w14:paraId="6050EC22" w14:textId="77777777" w:rsidR="00C218DA" w:rsidRPr="00652F7B" w:rsidRDefault="00C218DA" w:rsidP="004E073D">
            <w:pPr>
              <w:pStyle w:val="R"/>
              <w:rPr>
                <w:rtl/>
              </w:rPr>
            </w:pPr>
            <w:r w:rsidRPr="00652F7B">
              <w:rPr>
                <w:rtl/>
              </w:rPr>
              <w:t>5</w:t>
            </w:r>
          </w:p>
        </w:tc>
        <w:tc>
          <w:tcPr>
            <w:tcW w:w="1222" w:type="dxa"/>
            <w:vAlign w:val="bottom"/>
          </w:tcPr>
          <w:p w14:paraId="1B7FAF18" w14:textId="77777777" w:rsidR="00C218DA" w:rsidRPr="00652F7B" w:rsidRDefault="00C218DA" w:rsidP="004E073D">
            <w:pPr>
              <w:pStyle w:val="R"/>
              <w:rPr>
                <w:rtl/>
              </w:rPr>
            </w:pPr>
            <w:r w:rsidRPr="00652F7B">
              <w:rPr>
                <w:rtl/>
              </w:rPr>
              <w:t>1%</w:t>
            </w:r>
          </w:p>
        </w:tc>
        <w:tc>
          <w:tcPr>
            <w:tcW w:w="1189" w:type="dxa"/>
            <w:vAlign w:val="bottom"/>
          </w:tcPr>
          <w:p w14:paraId="0C6CDDED" w14:textId="77777777" w:rsidR="00C218DA" w:rsidRPr="00652F7B" w:rsidRDefault="00C218DA" w:rsidP="004E073D">
            <w:pPr>
              <w:pStyle w:val="R"/>
              <w:rPr>
                <w:rFonts w:ascii="Arial" w:hAnsi="Arial"/>
              </w:rPr>
            </w:pPr>
            <w:r w:rsidRPr="00652F7B">
              <w:rPr>
                <w:rFonts w:ascii="Arial" w:hAnsi="Arial"/>
                <w:rtl/>
              </w:rPr>
              <w:t>513</w:t>
            </w:r>
          </w:p>
        </w:tc>
        <w:tc>
          <w:tcPr>
            <w:tcW w:w="767" w:type="dxa"/>
            <w:vAlign w:val="bottom"/>
          </w:tcPr>
          <w:p w14:paraId="478A7509" w14:textId="77777777" w:rsidR="00C218DA" w:rsidRPr="00652F7B" w:rsidRDefault="00C218DA" w:rsidP="004E073D">
            <w:pPr>
              <w:pStyle w:val="R"/>
              <w:rPr>
                <w:rFonts w:ascii="Arial" w:hAnsi="Arial"/>
                <w:rtl/>
              </w:rPr>
            </w:pPr>
            <w:r w:rsidRPr="00652F7B">
              <w:rPr>
                <w:rFonts w:ascii="Arial" w:hAnsi="Arial"/>
                <w:rtl/>
              </w:rPr>
              <w:t>4</w:t>
            </w:r>
          </w:p>
        </w:tc>
      </w:tr>
      <w:tr w:rsidR="00C218DA" w:rsidRPr="00273C6D" w14:paraId="64B4CD21" w14:textId="77777777" w:rsidTr="00223BE2">
        <w:tc>
          <w:tcPr>
            <w:tcW w:w="1455" w:type="dxa"/>
            <w:vAlign w:val="bottom"/>
          </w:tcPr>
          <w:p w14:paraId="38D15421" w14:textId="77777777" w:rsidR="00C218DA" w:rsidRPr="00652F7B" w:rsidRDefault="00C218DA" w:rsidP="004E073D">
            <w:pPr>
              <w:pStyle w:val="R"/>
              <w:rPr>
                <w:rtl/>
              </w:rPr>
            </w:pPr>
            <w:r w:rsidRPr="00652F7B">
              <w:rPr>
                <w:rFonts w:hint="eastAsia"/>
                <w:rtl/>
              </w:rPr>
              <w:t>באר</w:t>
            </w:r>
            <w:r w:rsidRPr="00652F7B">
              <w:rPr>
                <w:rtl/>
              </w:rPr>
              <w:t xml:space="preserve"> </w:t>
            </w:r>
            <w:r w:rsidRPr="00652F7B">
              <w:rPr>
                <w:rFonts w:hint="eastAsia"/>
                <w:rtl/>
              </w:rPr>
              <w:t>יעקב</w:t>
            </w:r>
          </w:p>
        </w:tc>
        <w:tc>
          <w:tcPr>
            <w:tcW w:w="1234" w:type="dxa"/>
            <w:vAlign w:val="bottom"/>
          </w:tcPr>
          <w:p w14:paraId="5195573F" w14:textId="77777777" w:rsidR="00C218DA" w:rsidRPr="00652F7B" w:rsidRDefault="00C218DA" w:rsidP="004E073D">
            <w:pPr>
              <w:pStyle w:val="R"/>
            </w:pPr>
            <w:r w:rsidRPr="00652F7B">
              <w:rPr>
                <w:rtl/>
              </w:rPr>
              <w:t>335/2017</w:t>
            </w:r>
          </w:p>
        </w:tc>
        <w:tc>
          <w:tcPr>
            <w:tcW w:w="1148" w:type="dxa"/>
            <w:vAlign w:val="bottom"/>
          </w:tcPr>
          <w:p w14:paraId="6940DCE2" w14:textId="77777777" w:rsidR="00C218DA" w:rsidRPr="00652F7B" w:rsidRDefault="00C218DA" w:rsidP="004E073D">
            <w:pPr>
              <w:pStyle w:val="R"/>
              <w:rPr>
                <w:rtl/>
              </w:rPr>
            </w:pPr>
            <w:r w:rsidRPr="00652F7B">
              <w:rPr>
                <w:rtl/>
              </w:rPr>
              <w:t>1,607</w:t>
            </w:r>
          </w:p>
        </w:tc>
        <w:tc>
          <w:tcPr>
            <w:tcW w:w="1213" w:type="dxa"/>
            <w:vAlign w:val="bottom"/>
          </w:tcPr>
          <w:p w14:paraId="7866B180" w14:textId="77777777" w:rsidR="00C218DA" w:rsidRPr="00652F7B" w:rsidRDefault="00C218DA" w:rsidP="004E073D">
            <w:pPr>
              <w:pStyle w:val="R"/>
              <w:rPr>
                <w:rtl/>
              </w:rPr>
            </w:pPr>
            <w:r w:rsidRPr="00652F7B">
              <w:rPr>
                <w:rtl/>
              </w:rPr>
              <w:t>40</w:t>
            </w:r>
          </w:p>
        </w:tc>
        <w:tc>
          <w:tcPr>
            <w:tcW w:w="1222" w:type="dxa"/>
            <w:vAlign w:val="bottom"/>
          </w:tcPr>
          <w:p w14:paraId="16B46ED1" w14:textId="77777777" w:rsidR="00C218DA" w:rsidRPr="00652F7B" w:rsidRDefault="00C218DA" w:rsidP="004E073D">
            <w:pPr>
              <w:pStyle w:val="R"/>
              <w:rPr>
                <w:rFonts w:ascii="Arial" w:hAnsi="Arial"/>
              </w:rPr>
            </w:pPr>
            <w:r w:rsidRPr="00652F7B">
              <w:rPr>
                <w:rFonts w:ascii="Arial" w:hAnsi="Arial"/>
                <w:rtl/>
              </w:rPr>
              <w:t>2.5%</w:t>
            </w:r>
          </w:p>
        </w:tc>
        <w:tc>
          <w:tcPr>
            <w:tcW w:w="1189" w:type="dxa"/>
            <w:vAlign w:val="bottom"/>
          </w:tcPr>
          <w:p w14:paraId="230C1062" w14:textId="77777777" w:rsidR="00C218DA" w:rsidRPr="00652F7B" w:rsidRDefault="00C218DA" w:rsidP="004E073D">
            <w:pPr>
              <w:pStyle w:val="R"/>
              <w:rPr>
                <w:rFonts w:ascii="Arial" w:hAnsi="Arial"/>
              </w:rPr>
            </w:pPr>
            <w:r w:rsidRPr="00652F7B">
              <w:rPr>
                <w:rFonts w:ascii="Arial" w:hAnsi="Arial"/>
                <w:rtl/>
              </w:rPr>
              <w:t>1259</w:t>
            </w:r>
          </w:p>
        </w:tc>
        <w:tc>
          <w:tcPr>
            <w:tcW w:w="767" w:type="dxa"/>
            <w:vAlign w:val="bottom"/>
          </w:tcPr>
          <w:p w14:paraId="20DD4BE1" w14:textId="77777777" w:rsidR="00C218DA" w:rsidRPr="00652F7B" w:rsidRDefault="00C218DA" w:rsidP="004E073D">
            <w:pPr>
              <w:pStyle w:val="R"/>
              <w:rPr>
                <w:rFonts w:ascii="Arial" w:hAnsi="Arial"/>
                <w:rtl/>
              </w:rPr>
            </w:pPr>
            <w:r w:rsidRPr="00652F7B">
              <w:rPr>
                <w:rFonts w:ascii="Arial" w:hAnsi="Arial"/>
                <w:rtl/>
              </w:rPr>
              <w:t>31</w:t>
            </w:r>
          </w:p>
        </w:tc>
      </w:tr>
      <w:tr w:rsidR="00C218DA" w:rsidRPr="00273C6D" w14:paraId="12A7B51C" w14:textId="77777777" w:rsidTr="00223BE2">
        <w:tc>
          <w:tcPr>
            <w:tcW w:w="1455" w:type="dxa"/>
            <w:vAlign w:val="bottom"/>
          </w:tcPr>
          <w:p w14:paraId="072E5564" w14:textId="77777777" w:rsidR="00C218DA" w:rsidRPr="00652F7B" w:rsidRDefault="00C218DA" w:rsidP="004E073D">
            <w:pPr>
              <w:pStyle w:val="R"/>
              <w:rPr>
                <w:rtl/>
              </w:rPr>
            </w:pPr>
            <w:r w:rsidRPr="00652F7B">
              <w:rPr>
                <w:rFonts w:hint="eastAsia"/>
                <w:rtl/>
              </w:rPr>
              <w:t>באר</w:t>
            </w:r>
            <w:r w:rsidRPr="00652F7B">
              <w:rPr>
                <w:rtl/>
              </w:rPr>
              <w:t xml:space="preserve"> </w:t>
            </w:r>
            <w:r w:rsidRPr="00652F7B">
              <w:rPr>
                <w:rFonts w:hint="eastAsia"/>
                <w:rtl/>
              </w:rPr>
              <w:t>יעקב</w:t>
            </w:r>
            <w:r w:rsidRPr="00652F7B">
              <w:rPr>
                <w:rtl/>
              </w:rPr>
              <w:t xml:space="preserve"> </w:t>
            </w:r>
          </w:p>
        </w:tc>
        <w:tc>
          <w:tcPr>
            <w:tcW w:w="1234" w:type="dxa"/>
            <w:vAlign w:val="bottom"/>
          </w:tcPr>
          <w:p w14:paraId="178E8E1C" w14:textId="77777777" w:rsidR="00C218DA" w:rsidRPr="00652F7B" w:rsidRDefault="00C218DA" w:rsidP="004E073D">
            <w:pPr>
              <w:pStyle w:val="R"/>
            </w:pPr>
            <w:r w:rsidRPr="00652F7B">
              <w:rPr>
                <w:rtl/>
              </w:rPr>
              <w:t>276/18</w:t>
            </w:r>
            <w:r>
              <w:rPr>
                <w:rFonts w:hint="cs"/>
                <w:rtl/>
              </w:rPr>
              <w:t xml:space="preserve"> </w:t>
            </w:r>
            <w:r w:rsidRPr="007B06AA">
              <w:rPr>
                <w:rtl/>
              </w:rPr>
              <w:t>(</w:t>
            </w:r>
            <w:r>
              <w:rPr>
                <w:rFonts w:hint="cs"/>
                <w:rtl/>
              </w:rPr>
              <w:t xml:space="preserve">יתרת הדירות </w:t>
            </w:r>
            <w:r>
              <w:rPr>
                <w:rFonts w:hint="cs"/>
                <w:rtl/>
              </w:rPr>
              <w:lastRenderedPageBreak/>
              <w:t xml:space="preserve">ממכרז </w:t>
            </w:r>
            <w:r w:rsidRPr="007B06AA">
              <w:rPr>
                <w:rtl/>
              </w:rPr>
              <w:t>335/2017)</w:t>
            </w:r>
          </w:p>
        </w:tc>
        <w:tc>
          <w:tcPr>
            <w:tcW w:w="1148" w:type="dxa"/>
            <w:vAlign w:val="bottom"/>
          </w:tcPr>
          <w:p w14:paraId="52EE852A" w14:textId="77777777" w:rsidR="00C218DA" w:rsidRDefault="00C218DA" w:rsidP="004E073D">
            <w:pPr>
              <w:pStyle w:val="R"/>
              <w:rPr>
                <w:rtl/>
              </w:rPr>
            </w:pPr>
          </w:p>
          <w:p w14:paraId="2377708E" w14:textId="77777777" w:rsidR="00C218DA" w:rsidRPr="00652F7B" w:rsidRDefault="00C218DA" w:rsidP="004E073D">
            <w:pPr>
              <w:pStyle w:val="R"/>
              <w:rPr>
                <w:rtl/>
              </w:rPr>
            </w:pPr>
            <w:r w:rsidRPr="00652F7B">
              <w:rPr>
                <w:rtl/>
              </w:rPr>
              <w:t>348</w:t>
            </w:r>
          </w:p>
        </w:tc>
        <w:tc>
          <w:tcPr>
            <w:tcW w:w="1213" w:type="dxa"/>
            <w:vAlign w:val="bottom"/>
          </w:tcPr>
          <w:p w14:paraId="3825B853" w14:textId="77777777" w:rsidR="00C218DA" w:rsidRDefault="00C218DA" w:rsidP="004E073D">
            <w:pPr>
              <w:pStyle w:val="R"/>
              <w:rPr>
                <w:rtl/>
              </w:rPr>
            </w:pPr>
          </w:p>
          <w:p w14:paraId="1A1D1F99" w14:textId="77777777" w:rsidR="00C218DA" w:rsidRPr="00652F7B" w:rsidRDefault="00C218DA" w:rsidP="004E073D">
            <w:pPr>
              <w:pStyle w:val="R"/>
              <w:rPr>
                <w:rtl/>
              </w:rPr>
            </w:pPr>
            <w:r w:rsidRPr="00652F7B">
              <w:rPr>
                <w:rtl/>
              </w:rPr>
              <w:t>9</w:t>
            </w:r>
          </w:p>
        </w:tc>
        <w:tc>
          <w:tcPr>
            <w:tcW w:w="1222" w:type="dxa"/>
            <w:vAlign w:val="bottom"/>
          </w:tcPr>
          <w:p w14:paraId="6A51E315" w14:textId="77777777" w:rsidR="00C218DA" w:rsidRPr="00652F7B" w:rsidRDefault="00C218DA" w:rsidP="004E073D">
            <w:pPr>
              <w:pStyle w:val="R"/>
              <w:rPr>
                <w:rtl/>
              </w:rPr>
            </w:pPr>
            <w:r w:rsidRPr="00652F7B">
              <w:rPr>
                <w:rtl/>
              </w:rPr>
              <w:t>3%</w:t>
            </w:r>
          </w:p>
        </w:tc>
        <w:tc>
          <w:tcPr>
            <w:tcW w:w="1189" w:type="dxa"/>
            <w:vAlign w:val="bottom"/>
          </w:tcPr>
          <w:p w14:paraId="628186CD" w14:textId="77777777" w:rsidR="00C218DA" w:rsidRDefault="00C218DA" w:rsidP="004E073D">
            <w:pPr>
              <w:pStyle w:val="R"/>
              <w:rPr>
                <w:rFonts w:ascii="Arial" w:hAnsi="Arial"/>
                <w:rtl/>
              </w:rPr>
            </w:pPr>
          </w:p>
          <w:p w14:paraId="1E1D4F13" w14:textId="77777777" w:rsidR="00C218DA" w:rsidRPr="00652F7B" w:rsidRDefault="00C218DA" w:rsidP="004E073D">
            <w:pPr>
              <w:pStyle w:val="R"/>
              <w:rPr>
                <w:rFonts w:ascii="Arial" w:hAnsi="Arial"/>
                <w:rtl/>
              </w:rPr>
            </w:pPr>
            <w:r w:rsidRPr="00652F7B">
              <w:rPr>
                <w:rFonts w:ascii="Arial" w:hAnsi="Arial"/>
                <w:rtl/>
              </w:rPr>
              <w:t>348</w:t>
            </w:r>
          </w:p>
        </w:tc>
        <w:tc>
          <w:tcPr>
            <w:tcW w:w="767" w:type="dxa"/>
            <w:vAlign w:val="bottom"/>
          </w:tcPr>
          <w:p w14:paraId="656F5541" w14:textId="77777777" w:rsidR="00C218DA" w:rsidRDefault="00C218DA" w:rsidP="004E073D">
            <w:pPr>
              <w:pStyle w:val="R"/>
              <w:rPr>
                <w:rFonts w:ascii="Arial" w:hAnsi="Arial"/>
                <w:rtl/>
              </w:rPr>
            </w:pPr>
          </w:p>
          <w:p w14:paraId="7B269825" w14:textId="77777777" w:rsidR="00C218DA" w:rsidRPr="00652F7B" w:rsidRDefault="00C218DA" w:rsidP="004E073D">
            <w:pPr>
              <w:pStyle w:val="R"/>
              <w:rPr>
                <w:rFonts w:ascii="Arial" w:hAnsi="Arial"/>
                <w:rtl/>
              </w:rPr>
            </w:pPr>
            <w:r w:rsidRPr="00652F7B">
              <w:rPr>
                <w:rFonts w:ascii="Arial" w:hAnsi="Arial"/>
                <w:rtl/>
              </w:rPr>
              <w:t>9</w:t>
            </w:r>
          </w:p>
        </w:tc>
      </w:tr>
      <w:tr w:rsidR="00C218DA" w:rsidRPr="00273C6D" w14:paraId="114766B6" w14:textId="77777777" w:rsidTr="00223BE2">
        <w:tc>
          <w:tcPr>
            <w:tcW w:w="1455" w:type="dxa"/>
            <w:vAlign w:val="bottom"/>
          </w:tcPr>
          <w:p w14:paraId="46DBBBC7" w14:textId="77777777" w:rsidR="00C218DA" w:rsidRPr="00652F7B" w:rsidRDefault="00C218DA" w:rsidP="004E073D">
            <w:pPr>
              <w:pStyle w:val="R"/>
              <w:rPr>
                <w:rtl/>
              </w:rPr>
            </w:pPr>
            <w:r w:rsidRPr="00652F7B">
              <w:rPr>
                <w:rFonts w:hint="eastAsia"/>
                <w:rtl/>
              </w:rPr>
              <w:t>תל</w:t>
            </w:r>
            <w:r w:rsidRPr="00652F7B">
              <w:rPr>
                <w:rtl/>
              </w:rPr>
              <w:t xml:space="preserve"> </w:t>
            </w:r>
            <w:r w:rsidRPr="00652F7B">
              <w:rPr>
                <w:rFonts w:hint="eastAsia"/>
                <w:rtl/>
              </w:rPr>
              <w:t>אביב</w:t>
            </w:r>
          </w:p>
        </w:tc>
        <w:tc>
          <w:tcPr>
            <w:tcW w:w="1234" w:type="dxa"/>
            <w:vAlign w:val="bottom"/>
          </w:tcPr>
          <w:p w14:paraId="76BF9B81" w14:textId="77777777" w:rsidR="00C218DA" w:rsidRPr="00652F7B" w:rsidRDefault="00C218DA" w:rsidP="004E073D">
            <w:pPr>
              <w:pStyle w:val="R"/>
              <w:rPr>
                <w:rtl/>
              </w:rPr>
            </w:pPr>
            <w:r w:rsidRPr="00652F7B">
              <w:rPr>
                <w:rtl/>
              </w:rPr>
              <w:t>362/2017</w:t>
            </w:r>
          </w:p>
        </w:tc>
        <w:tc>
          <w:tcPr>
            <w:tcW w:w="1148" w:type="dxa"/>
            <w:vAlign w:val="bottom"/>
          </w:tcPr>
          <w:p w14:paraId="2FBD9861" w14:textId="77777777" w:rsidR="00C218DA" w:rsidRPr="00652F7B" w:rsidRDefault="00C218DA" w:rsidP="004E073D">
            <w:pPr>
              <w:pStyle w:val="R"/>
              <w:rPr>
                <w:rtl/>
              </w:rPr>
            </w:pPr>
            <w:r w:rsidRPr="00652F7B">
              <w:rPr>
                <w:rtl/>
              </w:rPr>
              <w:t>1,279</w:t>
            </w:r>
          </w:p>
        </w:tc>
        <w:tc>
          <w:tcPr>
            <w:tcW w:w="1213" w:type="dxa"/>
            <w:vAlign w:val="bottom"/>
          </w:tcPr>
          <w:p w14:paraId="178B861A" w14:textId="77777777" w:rsidR="00C218DA" w:rsidRPr="00652F7B" w:rsidRDefault="00C218DA" w:rsidP="004E073D">
            <w:pPr>
              <w:pStyle w:val="R"/>
              <w:rPr>
                <w:rtl/>
              </w:rPr>
            </w:pPr>
            <w:r w:rsidRPr="00652F7B">
              <w:rPr>
                <w:rtl/>
              </w:rPr>
              <w:t>10</w:t>
            </w:r>
          </w:p>
        </w:tc>
        <w:tc>
          <w:tcPr>
            <w:tcW w:w="1222" w:type="dxa"/>
            <w:vAlign w:val="bottom"/>
          </w:tcPr>
          <w:p w14:paraId="5EA44426" w14:textId="77777777" w:rsidR="00C218DA" w:rsidRPr="00652F7B" w:rsidRDefault="00C218DA" w:rsidP="004E073D">
            <w:pPr>
              <w:pStyle w:val="R"/>
              <w:rPr>
                <w:rtl/>
              </w:rPr>
            </w:pPr>
            <w:r w:rsidRPr="00652F7B">
              <w:rPr>
                <w:rtl/>
              </w:rPr>
              <w:t>0.7%</w:t>
            </w:r>
          </w:p>
        </w:tc>
        <w:tc>
          <w:tcPr>
            <w:tcW w:w="1189" w:type="dxa"/>
            <w:vAlign w:val="bottom"/>
          </w:tcPr>
          <w:p w14:paraId="5ED74231" w14:textId="77777777" w:rsidR="00C218DA" w:rsidRPr="00652F7B" w:rsidRDefault="00C218DA" w:rsidP="004E073D">
            <w:pPr>
              <w:pStyle w:val="R"/>
              <w:rPr>
                <w:rtl/>
              </w:rPr>
            </w:pPr>
            <w:r w:rsidRPr="00652F7B">
              <w:rPr>
                <w:rtl/>
              </w:rPr>
              <w:t>340</w:t>
            </w:r>
          </w:p>
        </w:tc>
        <w:tc>
          <w:tcPr>
            <w:tcW w:w="767" w:type="dxa"/>
            <w:vAlign w:val="bottom"/>
          </w:tcPr>
          <w:p w14:paraId="03132A38" w14:textId="77777777" w:rsidR="00C218DA" w:rsidRPr="00652F7B" w:rsidRDefault="00C218DA" w:rsidP="004E073D">
            <w:pPr>
              <w:pStyle w:val="R"/>
              <w:rPr>
                <w:rtl/>
              </w:rPr>
            </w:pPr>
            <w:r w:rsidRPr="00652F7B">
              <w:rPr>
                <w:rtl/>
              </w:rPr>
              <w:t>3</w:t>
            </w:r>
          </w:p>
        </w:tc>
      </w:tr>
      <w:tr w:rsidR="00C218DA" w:rsidRPr="00273C6D" w14:paraId="1595F195" w14:textId="77777777" w:rsidTr="00223BE2">
        <w:tc>
          <w:tcPr>
            <w:tcW w:w="1455" w:type="dxa"/>
            <w:vAlign w:val="bottom"/>
          </w:tcPr>
          <w:p w14:paraId="7B3C08B7" w14:textId="77777777" w:rsidR="00C218DA" w:rsidRPr="00652F7B" w:rsidRDefault="00C218DA" w:rsidP="004E073D">
            <w:pPr>
              <w:pStyle w:val="R"/>
              <w:rPr>
                <w:rtl/>
              </w:rPr>
            </w:pPr>
            <w:r w:rsidRPr="00652F7B">
              <w:rPr>
                <w:rFonts w:hint="eastAsia"/>
                <w:rtl/>
              </w:rPr>
              <w:t>תל</w:t>
            </w:r>
            <w:r w:rsidRPr="00652F7B">
              <w:rPr>
                <w:rtl/>
              </w:rPr>
              <w:t xml:space="preserve"> </w:t>
            </w:r>
            <w:r w:rsidRPr="00652F7B">
              <w:rPr>
                <w:rFonts w:hint="eastAsia"/>
                <w:rtl/>
              </w:rPr>
              <w:t>אביב</w:t>
            </w:r>
            <w:r w:rsidRPr="00652F7B">
              <w:rPr>
                <w:rtl/>
              </w:rPr>
              <w:t xml:space="preserve"> </w:t>
            </w:r>
          </w:p>
        </w:tc>
        <w:tc>
          <w:tcPr>
            <w:tcW w:w="1234" w:type="dxa"/>
            <w:vAlign w:val="bottom"/>
          </w:tcPr>
          <w:p w14:paraId="492758F4" w14:textId="77777777" w:rsidR="00C218DA" w:rsidRPr="00652F7B" w:rsidRDefault="00C218DA" w:rsidP="004E073D">
            <w:pPr>
              <w:pStyle w:val="R"/>
              <w:rPr>
                <w:rtl/>
              </w:rPr>
            </w:pPr>
            <w:r w:rsidRPr="00652F7B">
              <w:rPr>
                <w:rtl/>
              </w:rPr>
              <w:t>319/18</w:t>
            </w:r>
            <w:r>
              <w:rPr>
                <w:rFonts w:hint="cs"/>
                <w:rtl/>
              </w:rPr>
              <w:t xml:space="preserve"> </w:t>
            </w:r>
            <w:r w:rsidRPr="007B06AA">
              <w:rPr>
                <w:rtl/>
              </w:rPr>
              <w:t>(</w:t>
            </w:r>
            <w:r>
              <w:rPr>
                <w:rFonts w:hint="cs"/>
                <w:rtl/>
              </w:rPr>
              <w:t>יתרת הדירות ממכרז</w:t>
            </w:r>
            <w:r w:rsidRPr="007B06AA">
              <w:rPr>
                <w:rtl/>
              </w:rPr>
              <w:t xml:space="preserve"> 362/2017)</w:t>
            </w:r>
          </w:p>
        </w:tc>
        <w:tc>
          <w:tcPr>
            <w:tcW w:w="1148" w:type="dxa"/>
            <w:vAlign w:val="bottom"/>
          </w:tcPr>
          <w:p w14:paraId="058C67E1" w14:textId="77777777" w:rsidR="00C218DA" w:rsidRPr="00652F7B" w:rsidRDefault="00C218DA" w:rsidP="004E073D">
            <w:pPr>
              <w:pStyle w:val="R"/>
              <w:rPr>
                <w:rtl/>
              </w:rPr>
            </w:pPr>
            <w:r w:rsidRPr="00652F7B">
              <w:rPr>
                <w:rtl/>
              </w:rPr>
              <w:t>939</w:t>
            </w:r>
          </w:p>
        </w:tc>
        <w:tc>
          <w:tcPr>
            <w:tcW w:w="1213" w:type="dxa"/>
            <w:vAlign w:val="bottom"/>
          </w:tcPr>
          <w:p w14:paraId="7679D10A" w14:textId="77777777" w:rsidR="00C218DA" w:rsidRPr="00652F7B" w:rsidRDefault="00C218DA" w:rsidP="004E073D">
            <w:pPr>
              <w:pStyle w:val="R"/>
              <w:rPr>
                <w:rtl/>
              </w:rPr>
            </w:pPr>
            <w:r w:rsidRPr="00652F7B">
              <w:rPr>
                <w:rtl/>
              </w:rPr>
              <w:t>7</w:t>
            </w:r>
          </w:p>
        </w:tc>
        <w:tc>
          <w:tcPr>
            <w:tcW w:w="1222" w:type="dxa"/>
            <w:vAlign w:val="bottom"/>
          </w:tcPr>
          <w:p w14:paraId="3A557694" w14:textId="77777777" w:rsidR="00C218DA" w:rsidRPr="00652F7B" w:rsidRDefault="00C218DA" w:rsidP="004E073D">
            <w:pPr>
              <w:pStyle w:val="R"/>
              <w:rPr>
                <w:rtl/>
              </w:rPr>
            </w:pPr>
            <w:r>
              <w:rPr>
                <w:rFonts w:hint="cs"/>
                <w:rtl/>
              </w:rPr>
              <w:t>0.7%</w:t>
            </w:r>
          </w:p>
        </w:tc>
        <w:tc>
          <w:tcPr>
            <w:tcW w:w="1189" w:type="dxa"/>
            <w:vAlign w:val="bottom"/>
          </w:tcPr>
          <w:p w14:paraId="15AFA48F" w14:textId="5B1816DD" w:rsidR="00C218DA" w:rsidRPr="00652F7B" w:rsidRDefault="00C218DA" w:rsidP="003425F5">
            <w:pPr>
              <w:pStyle w:val="R"/>
              <w:rPr>
                <w:rtl/>
              </w:rPr>
            </w:pPr>
            <w:r w:rsidRPr="00652F7B">
              <w:rPr>
                <w:rtl/>
              </w:rPr>
              <w:t>527</w:t>
            </w:r>
          </w:p>
        </w:tc>
        <w:tc>
          <w:tcPr>
            <w:tcW w:w="767" w:type="dxa"/>
            <w:vAlign w:val="bottom"/>
          </w:tcPr>
          <w:p w14:paraId="0E48B009" w14:textId="77777777" w:rsidR="00C218DA" w:rsidRPr="00652F7B" w:rsidRDefault="00C218DA" w:rsidP="004E073D">
            <w:pPr>
              <w:pStyle w:val="R"/>
              <w:rPr>
                <w:rtl/>
              </w:rPr>
            </w:pPr>
            <w:r w:rsidRPr="00652F7B">
              <w:rPr>
                <w:rtl/>
              </w:rPr>
              <w:t>3</w:t>
            </w:r>
          </w:p>
        </w:tc>
      </w:tr>
      <w:tr w:rsidR="00C218DA" w:rsidRPr="00273C6D" w14:paraId="04552625" w14:textId="77777777" w:rsidTr="00223BE2">
        <w:tc>
          <w:tcPr>
            <w:tcW w:w="1455" w:type="dxa"/>
            <w:vAlign w:val="bottom"/>
          </w:tcPr>
          <w:p w14:paraId="3461B054" w14:textId="77777777" w:rsidR="00C218DA" w:rsidRPr="00652F7B" w:rsidRDefault="00C218DA" w:rsidP="004E073D">
            <w:pPr>
              <w:pStyle w:val="R"/>
              <w:rPr>
                <w:rtl/>
              </w:rPr>
            </w:pPr>
            <w:r w:rsidRPr="00652F7B">
              <w:rPr>
                <w:rFonts w:hint="eastAsia"/>
                <w:rtl/>
              </w:rPr>
              <w:t>אור</w:t>
            </w:r>
            <w:r w:rsidRPr="00652F7B">
              <w:rPr>
                <w:rtl/>
              </w:rPr>
              <w:t xml:space="preserve"> </w:t>
            </w:r>
            <w:r w:rsidRPr="00652F7B">
              <w:rPr>
                <w:rFonts w:hint="eastAsia"/>
                <w:rtl/>
              </w:rPr>
              <w:t>יהודה</w:t>
            </w:r>
          </w:p>
        </w:tc>
        <w:tc>
          <w:tcPr>
            <w:tcW w:w="1234" w:type="dxa"/>
            <w:vAlign w:val="bottom"/>
          </w:tcPr>
          <w:p w14:paraId="4992B51E" w14:textId="1AF5BFB4" w:rsidR="00C218DA" w:rsidRPr="00652F7B" w:rsidRDefault="00C218DA" w:rsidP="003425F5">
            <w:pPr>
              <w:pStyle w:val="R"/>
              <w:rPr>
                <w:rtl/>
              </w:rPr>
            </w:pPr>
            <w:r w:rsidRPr="00652F7B">
              <w:rPr>
                <w:rtl/>
              </w:rPr>
              <w:t>454/18</w:t>
            </w:r>
          </w:p>
        </w:tc>
        <w:tc>
          <w:tcPr>
            <w:tcW w:w="1148" w:type="dxa"/>
            <w:vAlign w:val="bottom"/>
          </w:tcPr>
          <w:p w14:paraId="242044C5" w14:textId="0976505D" w:rsidR="00C218DA" w:rsidRPr="00652F7B" w:rsidRDefault="00C218DA" w:rsidP="003425F5">
            <w:pPr>
              <w:pStyle w:val="R"/>
              <w:rPr>
                <w:rtl/>
              </w:rPr>
            </w:pPr>
            <w:r w:rsidRPr="00652F7B">
              <w:rPr>
                <w:rtl/>
              </w:rPr>
              <w:t>199</w:t>
            </w:r>
          </w:p>
        </w:tc>
        <w:tc>
          <w:tcPr>
            <w:tcW w:w="1213" w:type="dxa"/>
            <w:vAlign w:val="bottom"/>
          </w:tcPr>
          <w:p w14:paraId="2E9D3488" w14:textId="46320F00" w:rsidR="00C218DA" w:rsidRPr="00652F7B" w:rsidRDefault="00C218DA" w:rsidP="003425F5">
            <w:pPr>
              <w:pStyle w:val="R"/>
              <w:rPr>
                <w:rtl/>
              </w:rPr>
            </w:pPr>
            <w:r w:rsidRPr="00652F7B">
              <w:rPr>
                <w:rtl/>
              </w:rPr>
              <w:t>6</w:t>
            </w:r>
          </w:p>
        </w:tc>
        <w:tc>
          <w:tcPr>
            <w:tcW w:w="1222" w:type="dxa"/>
            <w:vAlign w:val="bottom"/>
          </w:tcPr>
          <w:p w14:paraId="59F3231A" w14:textId="60C80D8B" w:rsidR="00C218DA" w:rsidRPr="00652F7B" w:rsidRDefault="00C218DA" w:rsidP="003425F5">
            <w:pPr>
              <w:pStyle w:val="R"/>
              <w:rPr>
                <w:rtl/>
              </w:rPr>
            </w:pPr>
            <w:r w:rsidRPr="00652F7B">
              <w:rPr>
                <w:rtl/>
              </w:rPr>
              <w:t>3%</w:t>
            </w:r>
          </w:p>
        </w:tc>
        <w:tc>
          <w:tcPr>
            <w:tcW w:w="1189" w:type="dxa"/>
            <w:vAlign w:val="bottom"/>
          </w:tcPr>
          <w:p w14:paraId="5F967442" w14:textId="77777777" w:rsidR="00C218DA" w:rsidRPr="00652F7B" w:rsidRDefault="00C218DA" w:rsidP="004E073D">
            <w:pPr>
              <w:pStyle w:val="R"/>
              <w:rPr>
                <w:rtl/>
              </w:rPr>
            </w:pPr>
            <w:r w:rsidRPr="00652F7B">
              <w:rPr>
                <w:rtl/>
              </w:rPr>
              <w:t>0</w:t>
            </w:r>
          </w:p>
        </w:tc>
        <w:tc>
          <w:tcPr>
            <w:tcW w:w="767" w:type="dxa"/>
            <w:vAlign w:val="bottom"/>
          </w:tcPr>
          <w:p w14:paraId="29F703AF" w14:textId="77777777" w:rsidR="00C218DA" w:rsidRPr="00652F7B" w:rsidRDefault="00C218DA" w:rsidP="004E073D">
            <w:pPr>
              <w:pStyle w:val="R"/>
              <w:rPr>
                <w:rtl/>
              </w:rPr>
            </w:pPr>
            <w:r w:rsidRPr="00652F7B">
              <w:rPr>
                <w:rtl/>
              </w:rPr>
              <w:t>0</w:t>
            </w:r>
          </w:p>
        </w:tc>
      </w:tr>
      <w:tr w:rsidR="00C218DA" w:rsidRPr="00273C6D" w14:paraId="2B8EB69D" w14:textId="77777777" w:rsidTr="00223BE2">
        <w:tc>
          <w:tcPr>
            <w:tcW w:w="1455" w:type="dxa"/>
            <w:vAlign w:val="bottom"/>
          </w:tcPr>
          <w:p w14:paraId="51A51D8D" w14:textId="77777777" w:rsidR="00C218DA" w:rsidRPr="00652F7B" w:rsidRDefault="00C218DA" w:rsidP="004E073D">
            <w:pPr>
              <w:pStyle w:val="R"/>
              <w:rPr>
                <w:rtl/>
              </w:rPr>
            </w:pPr>
            <w:r>
              <w:rPr>
                <w:rFonts w:hint="cs"/>
                <w:rtl/>
              </w:rPr>
              <w:t>אור יהודה</w:t>
            </w:r>
          </w:p>
        </w:tc>
        <w:tc>
          <w:tcPr>
            <w:tcW w:w="1234" w:type="dxa"/>
            <w:vAlign w:val="bottom"/>
          </w:tcPr>
          <w:p w14:paraId="466B8855" w14:textId="77777777" w:rsidR="00C218DA" w:rsidRPr="00652F7B" w:rsidRDefault="00C218DA" w:rsidP="004E073D">
            <w:pPr>
              <w:pStyle w:val="R"/>
              <w:rPr>
                <w:rtl/>
              </w:rPr>
            </w:pPr>
            <w:r>
              <w:rPr>
                <w:rFonts w:hint="cs"/>
                <w:rtl/>
              </w:rPr>
              <w:t>455/18</w:t>
            </w:r>
          </w:p>
        </w:tc>
        <w:tc>
          <w:tcPr>
            <w:tcW w:w="1148" w:type="dxa"/>
            <w:vAlign w:val="bottom"/>
          </w:tcPr>
          <w:p w14:paraId="265A041D" w14:textId="77777777" w:rsidR="00C218DA" w:rsidRPr="00652F7B" w:rsidRDefault="00C218DA" w:rsidP="004E073D">
            <w:pPr>
              <w:pStyle w:val="R"/>
              <w:rPr>
                <w:rtl/>
              </w:rPr>
            </w:pPr>
            <w:r>
              <w:rPr>
                <w:rFonts w:hint="cs"/>
                <w:rtl/>
              </w:rPr>
              <w:t>644</w:t>
            </w:r>
          </w:p>
        </w:tc>
        <w:tc>
          <w:tcPr>
            <w:tcW w:w="1213" w:type="dxa"/>
            <w:vAlign w:val="bottom"/>
          </w:tcPr>
          <w:p w14:paraId="665CA134" w14:textId="77777777" w:rsidR="00C218DA" w:rsidRPr="00652F7B" w:rsidRDefault="00C218DA" w:rsidP="004E073D">
            <w:pPr>
              <w:pStyle w:val="R"/>
              <w:rPr>
                <w:rtl/>
              </w:rPr>
            </w:pPr>
            <w:r>
              <w:rPr>
                <w:rFonts w:hint="cs"/>
                <w:rtl/>
              </w:rPr>
              <w:t>24</w:t>
            </w:r>
          </w:p>
        </w:tc>
        <w:tc>
          <w:tcPr>
            <w:tcW w:w="1222" w:type="dxa"/>
            <w:vAlign w:val="bottom"/>
          </w:tcPr>
          <w:p w14:paraId="0AA12B79" w14:textId="77777777" w:rsidR="00C218DA" w:rsidRPr="00652F7B" w:rsidRDefault="00C218DA" w:rsidP="004E073D">
            <w:pPr>
              <w:pStyle w:val="R"/>
              <w:rPr>
                <w:rtl/>
              </w:rPr>
            </w:pPr>
            <w:r>
              <w:rPr>
                <w:rFonts w:hint="cs"/>
                <w:rtl/>
              </w:rPr>
              <w:t>3.7%</w:t>
            </w:r>
          </w:p>
        </w:tc>
        <w:tc>
          <w:tcPr>
            <w:tcW w:w="1189" w:type="dxa"/>
            <w:vAlign w:val="bottom"/>
          </w:tcPr>
          <w:p w14:paraId="640D83CB" w14:textId="77777777" w:rsidR="00C218DA" w:rsidRPr="00652F7B" w:rsidRDefault="00C218DA" w:rsidP="004E073D">
            <w:pPr>
              <w:pStyle w:val="R"/>
              <w:rPr>
                <w:rtl/>
              </w:rPr>
            </w:pPr>
            <w:r>
              <w:rPr>
                <w:rFonts w:hint="cs"/>
                <w:rtl/>
              </w:rPr>
              <w:t>0</w:t>
            </w:r>
          </w:p>
        </w:tc>
        <w:tc>
          <w:tcPr>
            <w:tcW w:w="767" w:type="dxa"/>
            <w:vAlign w:val="bottom"/>
          </w:tcPr>
          <w:p w14:paraId="7585DD7B" w14:textId="77777777" w:rsidR="00C218DA" w:rsidRPr="00652F7B" w:rsidRDefault="00C218DA" w:rsidP="004E073D">
            <w:pPr>
              <w:pStyle w:val="R"/>
              <w:rPr>
                <w:rtl/>
              </w:rPr>
            </w:pPr>
            <w:r>
              <w:rPr>
                <w:rFonts w:hint="cs"/>
                <w:rtl/>
              </w:rPr>
              <w:t>0</w:t>
            </w:r>
          </w:p>
        </w:tc>
      </w:tr>
      <w:tr w:rsidR="00C218DA" w:rsidRPr="00273C6D" w14:paraId="20D30979" w14:textId="77777777" w:rsidTr="00223BE2">
        <w:tc>
          <w:tcPr>
            <w:tcW w:w="1455" w:type="dxa"/>
            <w:vAlign w:val="bottom"/>
          </w:tcPr>
          <w:p w14:paraId="1D00737D" w14:textId="77777777" w:rsidR="00C218DA" w:rsidRPr="00652F7B" w:rsidRDefault="00C218DA" w:rsidP="004E073D">
            <w:pPr>
              <w:pStyle w:val="R"/>
              <w:rPr>
                <w:rtl/>
              </w:rPr>
            </w:pPr>
            <w:r w:rsidRPr="00652F7B">
              <w:rPr>
                <w:rFonts w:hint="eastAsia"/>
                <w:rtl/>
              </w:rPr>
              <w:t>באר</w:t>
            </w:r>
            <w:r w:rsidRPr="00652F7B">
              <w:rPr>
                <w:rtl/>
              </w:rPr>
              <w:t xml:space="preserve"> </w:t>
            </w:r>
            <w:r w:rsidRPr="00652F7B">
              <w:rPr>
                <w:rFonts w:hint="eastAsia"/>
                <w:rtl/>
              </w:rPr>
              <w:t>יעקב</w:t>
            </w:r>
          </w:p>
        </w:tc>
        <w:tc>
          <w:tcPr>
            <w:tcW w:w="1234" w:type="dxa"/>
            <w:vAlign w:val="bottom"/>
          </w:tcPr>
          <w:p w14:paraId="355B3CB5" w14:textId="77777777" w:rsidR="00C218DA" w:rsidRPr="00652F7B" w:rsidRDefault="00C218DA" w:rsidP="004E073D">
            <w:pPr>
              <w:pStyle w:val="R"/>
              <w:rPr>
                <w:rtl/>
              </w:rPr>
            </w:pPr>
            <w:r w:rsidRPr="00652F7B">
              <w:rPr>
                <w:rtl/>
              </w:rPr>
              <w:t>479/18</w:t>
            </w:r>
          </w:p>
        </w:tc>
        <w:tc>
          <w:tcPr>
            <w:tcW w:w="1148" w:type="dxa"/>
            <w:vAlign w:val="bottom"/>
          </w:tcPr>
          <w:p w14:paraId="0834AB5F" w14:textId="77777777" w:rsidR="00C218DA" w:rsidRPr="00652F7B" w:rsidRDefault="00C218DA" w:rsidP="004E073D">
            <w:pPr>
              <w:pStyle w:val="R"/>
              <w:rPr>
                <w:rtl/>
              </w:rPr>
            </w:pPr>
            <w:r w:rsidRPr="00652F7B">
              <w:rPr>
                <w:rtl/>
              </w:rPr>
              <w:t>792</w:t>
            </w:r>
          </w:p>
        </w:tc>
        <w:tc>
          <w:tcPr>
            <w:tcW w:w="1213" w:type="dxa"/>
            <w:vAlign w:val="bottom"/>
          </w:tcPr>
          <w:p w14:paraId="679F1727" w14:textId="77777777" w:rsidR="00C218DA" w:rsidRPr="00652F7B" w:rsidRDefault="00C218DA" w:rsidP="004E073D">
            <w:pPr>
              <w:pStyle w:val="R"/>
              <w:rPr>
                <w:rtl/>
              </w:rPr>
            </w:pPr>
            <w:r w:rsidRPr="00652F7B">
              <w:rPr>
                <w:rtl/>
              </w:rPr>
              <w:t>15</w:t>
            </w:r>
          </w:p>
        </w:tc>
        <w:tc>
          <w:tcPr>
            <w:tcW w:w="1222" w:type="dxa"/>
            <w:vAlign w:val="bottom"/>
          </w:tcPr>
          <w:p w14:paraId="5D48237C" w14:textId="77777777" w:rsidR="00C218DA" w:rsidRPr="00652F7B" w:rsidRDefault="00C218DA" w:rsidP="004E073D">
            <w:pPr>
              <w:pStyle w:val="R"/>
              <w:rPr>
                <w:rtl/>
              </w:rPr>
            </w:pPr>
            <w:r w:rsidRPr="00652F7B">
              <w:rPr>
                <w:rtl/>
              </w:rPr>
              <w:t>1.8%</w:t>
            </w:r>
          </w:p>
        </w:tc>
        <w:tc>
          <w:tcPr>
            <w:tcW w:w="1189" w:type="dxa"/>
            <w:vAlign w:val="bottom"/>
          </w:tcPr>
          <w:p w14:paraId="3386309A" w14:textId="77777777" w:rsidR="00C218DA" w:rsidRPr="00652F7B" w:rsidRDefault="00C218DA" w:rsidP="004E073D">
            <w:pPr>
              <w:pStyle w:val="R"/>
              <w:rPr>
                <w:rtl/>
              </w:rPr>
            </w:pPr>
            <w:r w:rsidRPr="00652F7B">
              <w:rPr>
                <w:rtl/>
              </w:rPr>
              <w:t>0</w:t>
            </w:r>
          </w:p>
        </w:tc>
        <w:tc>
          <w:tcPr>
            <w:tcW w:w="767" w:type="dxa"/>
            <w:vAlign w:val="bottom"/>
          </w:tcPr>
          <w:p w14:paraId="3E0354A5" w14:textId="77777777" w:rsidR="00C218DA" w:rsidRPr="00652F7B" w:rsidRDefault="00C218DA" w:rsidP="004E073D">
            <w:pPr>
              <w:pStyle w:val="R"/>
              <w:rPr>
                <w:rtl/>
              </w:rPr>
            </w:pPr>
            <w:r w:rsidRPr="00652F7B">
              <w:rPr>
                <w:rtl/>
              </w:rPr>
              <w:t>0</w:t>
            </w:r>
          </w:p>
        </w:tc>
      </w:tr>
      <w:tr w:rsidR="00C218DA" w:rsidRPr="00273C6D" w14:paraId="7E1605D1" w14:textId="77777777" w:rsidTr="00223BE2">
        <w:tc>
          <w:tcPr>
            <w:tcW w:w="1455" w:type="dxa"/>
            <w:vAlign w:val="bottom"/>
          </w:tcPr>
          <w:p w14:paraId="5B1F1E07" w14:textId="77777777" w:rsidR="00C218DA" w:rsidRPr="00652F7B" w:rsidRDefault="00C218DA" w:rsidP="004E073D">
            <w:pPr>
              <w:pStyle w:val="R"/>
              <w:rPr>
                <w:rtl/>
              </w:rPr>
            </w:pPr>
            <w:r w:rsidRPr="00652F7B">
              <w:rPr>
                <w:rFonts w:hint="eastAsia"/>
                <w:rtl/>
              </w:rPr>
              <w:t>ירושלים</w:t>
            </w:r>
          </w:p>
        </w:tc>
        <w:tc>
          <w:tcPr>
            <w:tcW w:w="1234" w:type="dxa"/>
            <w:vAlign w:val="bottom"/>
          </w:tcPr>
          <w:p w14:paraId="53CFDFCA" w14:textId="77777777" w:rsidR="00C218DA" w:rsidRPr="00652F7B" w:rsidRDefault="00C218DA" w:rsidP="004E073D">
            <w:pPr>
              <w:pStyle w:val="R"/>
              <w:rPr>
                <w:rtl/>
              </w:rPr>
            </w:pPr>
            <w:r w:rsidRPr="00652F7B">
              <w:rPr>
                <w:rtl/>
              </w:rPr>
              <w:t>68/19</w:t>
            </w:r>
          </w:p>
        </w:tc>
        <w:tc>
          <w:tcPr>
            <w:tcW w:w="1148" w:type="dxa"/>
            <w:vAlign w:val="bottom"/>
          </w:tcPr>
          <w:p w14:paraId="68C91BC7" w14:textId="77777777" w:rsidR="00C218DA" w:rsidRPr="00652F7B" w:rsidRDefault="00C218DA" w:rsidP="004E073D">
            <w:pPr>
              <w:pStyle w:val="R"/>
              <w:rPr>
                <w:rtl/>
              </w:rPr>
            </w:pPr>
            <w:r w:rsidRPr="00652F7B">
              <w:rPr>
                <w:rtl/>
              </w:rPr>
              <w:t>60</w:t>
            </w:r>
          </w:p>
        </w:tc>
        <w:tc>
          <w:tcPr>
            <w:tcW w:w="1213" w:type="dxa"/>
            <w:vAlign w:val="bottom"/>
          </w:tcPr>
          <w:p w14:paraId="063B8181" w14:textId="77777777" w:rsidR="00C218DA" w:rsidRPr="00652F7B" w:rsidRDefault="00C218DA" w:rsidP="004E073D">
            <w:pPr>
              <w:pStyle w:val="R"/>
              <w:rPr>
                <w:rtl/>
              </w:rPr>
            </w:pPr>
            <w:r w:rsidRPr="00652F7B">
              <w:rPr>
                <w:rtl/>
              </w:rPr>
              <w:t>3</w:t>
            </w:r>
          </w:p>
        </w:tc>
        <w:tc>
          <w:tcPr>
            <w:tcW w:w="1222" w:type="dxa"/>
            <w:vAlign w:val="bottom"/>
          </w:tcPr>
          <w:p w14:paraId="33E3EE08" w14:textId="77777777" w:rsidR="00C218DA" w:rsidRPr="00652F7B" w:rsidRDefault="00C218DA" w:rsidP="004E073D">
            <w:pPr>
              <w:pStyle w:val="R"/>
              <w:rPr>
                <w:rtl/>
              </w:rPr>
            </w:pPr>
            <w:r w:rsidRPr="00652F7B">
              <w:rPr>
                <w:rtl/>
              </w:rPr>
              <w:t>5%</w:t>
            </w:r>
          </w:p>
        </w:tc>
        <w:tc>
          <w:tcPr>
            <w:tcW w:w="1189" w:type="dxa"/>
            <w:vAlign w:val="bottom"/>
          </w:tcPr>
          <w:p w14:paraId="4A2F7D46" w14:textId="77777777" w:rsidR="00C218DA" w:rsidRPr="00652F7B" w:rsidRDefault="00C218DA" w:rsidP="004E073D">
            <w:pPr>
              <w:pStyle w:val="R"/>
              <w:rPr>
                <w:rtl/>
              </w:rPr>
            </w:pPr>
            <w:r w:rsidRPr="00652F7B">
              <w:rPr>
                <w:rtl/>
              </w:rPr>
              <w:t>0</w:t>
            </w:r>
          </w:p>
        </w:tc>
        <w:tc>
          <w:tcPr>
            <w:tcW w:w="767" w:type="dxa"/>
            <w:vAlign w:val="bottom"/>
          </w:tcPr>
          <w:p w14:paraId="1AE5D480" w14:textId="77777777" w:rsidR="00C218DA" w:rsidRPr="00652F7B" w:rsidRDefault="00C218DA" w:rsidP="004E073D">
            <w:pPr>
              <w:pStyle w:val="R"/>
              <w:rPr>
                <w:rtl/>
              </w:rPr>
            </w:pPr>
            <w:r w:rsidRPr="00652F7B">
              <w:rPr>
                <w:rtl/>
              </w:rPr>
              <w:t>0</w:t>
            </w:r>
          </w:p>
        </w:tc>
      </w:tr>
      <w:tr w:rsidR="00C218DA" w:rsidRPr="00273C6D" w14:paraId="5B1396E2" w14:textId="77777777" w:rsidTr="00223BE2">
        <w:tc>
          <w:tcPr>
            <w:tcW w:w="1455" w:type="dxa"/>
            <w:shd w:val="clear" w:color="auto" w:fill="C6D9F1"/>
            <w:vAlign w:val="bottom"/>
          </w:tcPr>
          <w:p w14:paraId="2DEA2288" w14:textId="77777777" w:rsidR="00C218DA" w:rsidRPr="004E073D" w:rsidRDefault="00C218DA" w:rsidP="004E073D">
            <w:pPr>
              <w:pStyle w:val="B"/>
              <w:rPr>
                <w:szCs w:val="20"/>
                <w:rtl/>
              </w:rPr>
            </w:pPr>
            <w:r w:rsidRPr="004E073D">
              <w:rPr>
                <w:rFonts w:hint="eastAsia"/>
                <w:szCs w:val="20"/>
                <w:rtl/>
              </w:rPr>
              <w:t>סה</w:t>
            </w:r>
            <w:r w:rsidRPr="004E073D">
              <w:rPr>
                <w:szCs w:val="20"/>
                <w:rtl/>
              </w:rPr>
              <w:t>"כ</w:t>
            </w:r>
          </w:p>
        </w:tc>
        <w:tc>
          <w:tcPr>
            <w:tcW w:w="1234" w:type="dxa"/>
            <w:shd w:val="clear" w:color="auto" w:fill="C6D9F1"/>
            <w:vAlign w:val="bottom"/>
          </w:tcPr>
          <w:p w14:paraId="0A3B7BC6" w14:textId="77777777" w:rsidR="00C218DA" w:rsidRPr="004E073D" w:rsidRDefault="00C218DA" w:rsidP="004E073D">
            <w:pPr>
              <w:pStyle w:val="B"/>
              <w:rPr>
                <w:szCs w:val="20"/>
                <w:rtl/>
              </w:rPr>
            </w:pPr>
          </w:p>
        </w:tc>
        <w:tc>
          <w:tcPr>
            <w:tcW w:w="1148" w:type="dxa"/>
            <w:shd w:val="clear" w:color="auto" w:fill="C6D9F1"/>
            <w:vAlign w:val="bottom"/>
          </w:tcPr>
          <w:p w14:paraId="27080F88" w14:textId="77777777" w:rsidR="00C218DA" w:rsidRPr="004E073D" w:rsidRDefault="00C218DA" w:rsidP="004E073D">
            <w:pPr>
              <w:pStyle w:val="B"/>
              <w:rPr>
                <w:szCs w:val="20"/>
                <w:rtl/>
              </w:rPr>
            </w:pPr>
            <w:r w:rsidRPr="004E073D">
              <w:rPr>
                <w:rFonts w:hint="cs"/>
                <w:szCs w:val="20"/>
                <w:rtl/>
              </w:rPr>
              <w:t>7,723</w:t>
            </w:r>
          </w:p>
        </w:tc>
        <w:tc>
          <w:tcPr>
            <w:tcW w:w="1213" w:type="dxa"/>
            <w:shd w:val="clear" w:color="auto" w:fill="C6D9F1"/>
            <w:vAlign w:val="bottom"/>
          </w:tcPr>
          <w:p w14:paraId="7B489B83" w14:textId="77777777" w:rsidR="00C218DA" w:rsidRPr="004E073D" w:rsidRDefault="00C218DA" w:rsidP="004E073D">
            <w:pPr>
              <w:pStyle w:val="B"/>
              <w:rPr>
                <w:szCs w:val="20"/>
                <w:rtl/>
              </w:rPr>
            </w:pPr>
            <w:r w:rsidRPr="004E073D">
              <w:rPr>
                <w:szCs w:val="20"/>
                <w:rtl/>
              </w:rPr>
              <w:t>203</w:t>
            </w:r>
          </w:p>
        </w:tc>
        <w:tc>
          <w:tcPr>
            <w:tcW w:w="1222" w:type="dxa"/>
            <w:shd w:val="clear" w:color="auto" w:fill="C6D9F1"/>
            <w:vAlign w:val="bottom"/>
          </w:tcPr>
          <w:p w14:paraId="2B82D8E4" w14:textId="77777777" w:rsidR="00C218DA" w:rsidRPr="004E073D" w:rsidRDefault="00C218DA" w:rsidP="004E073D">
            <w:pPr>
              <w:pStyle w:val="B"/>
              <w:rPr>
                <w:szCs w:val="20"/>
                <w:rtl/>
              </w:rPr>
            </w:pPr>
            <w:r w:rsidRPr="004E073D">
              <w:rPr>
                <w:rFonts w:hint="cs"/>
                <w:szCs w:val="20"/>
                <w:rtl/>
              </w:rPr>
              <w:t>2.6%</w:t>
            </w:r>
          </w:p>
        </w:tc>
        <w:tc>
          <w:tcPr>
            <w:tcW w:w="1189" w:type="dxa"/>
            <w:shd w:val="clear" w:color="auto" w:fill="C6D9F1"/>
            <w:vAlign w:val="bottom"/>
          </w:tcPr>
          <w:p w14:paraId="55C776AC" w14:textId="77777777" w:rsidR="00C218DA" w:rsidRPr="004E073D" w:rsidRDefault="00C218DA" w:rsidP="004E073D">
            <w:pPr>
              <w:pStyle w:val="B"/>
              <w:rPr>
                <w:szCs w:val="20"/>
                <w:rtl/>
              </w:rPr>
            </w:pPr>
            <w:r w:rsidRPr="004E073D">
              <w:rPr>
                <w:szCs w:val="20"/>
                <w:rtl/>
              </w:rPr>
              <w:t>5,434</w:t>
            </w:r>
          </w:p>
        </w:tc>
        <w:tc>
          <w:tcPr>
            <w:tcW w:w="767" w:type="dxa"/>
            <w:shd w:val="clear" w:color="auto" w:fill="C6D9F1"/>
            <w:vAlign w:val="bottom"/>
          </w:tcPr>
          <w:p w14:paraId="60208823" w14:textId="77777777" w:rsidR="00C218DA" w:rsidRPr="004E073D" w:rsidRDefault="00C218DA" w:rsidP="004E073D">
            <w:pPr>
              <w:pStyle w:val="B"/>
              <w:rPr>
                <w:szCs w:val="20"/>
                <w:rtl/>
              </w:rPr>
            </w:pPr>
            <w:r w:rsidRPr="004E073D">
              <w:rPr>
                <w:szCs w:val="20"/>
                <w:rtl/>
              </w:rPr>
              <w:t>150</w:t>
            </w:r>
          </w:p>
        </w:tc>
      </w:tr>
    </w:tbl>
    <w:p w14:paraId="199032B9" w14:textId="77777777" w:rsidR="00C218DA" w:rsidRDefault="00C218DA" w:rsidP="004E073D">
      <w:pPr>
        <w:pStyle w:val="aff3"/>
        <w:rPr>
          <w:rtl/>
        </w:rPr>
      </w:pPr>
      <w:r w:rsidRPr="00352513">
        <w:rPr>
          <w:rFonts w:hint="cs"/>
          <w:rtl/>
        </w:rPr>
        <w:t xml:space="preserve">על פי נתוני משרד </w:t>
      </w:r>
      <w:r>
        <w:rPr>
          <w:rFonts w:hint="cs"/>
          <w:rtl/>
        </w:rPr>
        <w:t>הבינוי</w:t>
      </w:r>
      <w:r w:rsidRPr="00352513">
        <w:rPr>
          <w:rFonts w:hint="cs"/>
          <w:rtl/>
        </w:rPr>
        <w:t xml:space="preserve"> </w:t>
      </w:r>
      <w:r>
        <w:rPr>
          <w:rFonts w:hint="cs"/>
          <w:rtl/>
        </w:rPr>
        <w:t>ונתוני רמ"י</w:t>
      </w:r>
      <w:r w:rsidRPr="00352513">
        <w:rPr>
          <w:rFonts w:hint="cs"/>
          <w:rtl/>
        </w:rPr>
        <w:t>, בעיבוד של משרד מבקר המדינה.</w:t>
      </w:r>
    </w:p>
    <w:p w14:paraId="3DA0079D" w14:textId="77777777" w:rsidR="00ED0C93" w:rsidRPr="00352513" w:rsidRDefault="00ED0C93" w:rsidP="004E073D">
      <w:pPr>
        <w:pStyle w:val="aff3"/>
        <w:rPr>
          <w:rtl/>
        </w:rPr>
      </w:pPr>
    </w:p>
    <w:p w14:paraId="4DDD0ACC" w14:textId="77777777" w:rsidR="00C218DA" w:rsidRDefault="00C218DA" w:rsidP="004E073D">
      <w:pPr>
        <w:pStyle w:val="af5"/>
        <w:rPr>
          <w:rtl/>
        </w:rPr>
      </w:pPr>
      <w:r>
        <w:rPr>
          <w:rFonts w:hint="cs"/>
          <w:rtl/>
        </w:rPr>
        <w:t>מהלוח עולה כי ה</w:t>
      </w:r>
      <w:r w:rsidRPr="00D0794F">
        <w:rPr>
          <w:rFonts w:hint="cs"/>
          <w:rtl/>
        </w:rPr>
        <w:t xml:space="preserve">תוספת </w:t>
      </w:r>
      <w:r>
        <w:rPr>
          <w:rFonts w:hint="cs"/>
          <w:rtl/>
        </w:rPr>
        <w:t>הצפויה בשנים הבאות היא של כ-200 דירות. הדירות האלה הן כ-</w:t>
      </w:r>
      <w:r w:rsidRPr="00440FA8">
        <w:rPr>
          <w:rFonts w:hint="cs"/>
          <w:rtl/>
        </w:rPr>
        <w:t>0.</w:t>
      </w:r>
      <w:r>
        <w:rPr>
          <w:rFonts w:hint="cs"/>
          <w:rtl/>
        </w:rPr>
        <w:t>4</w:t>
      </w:r>
      <w:r w:rsidRPr="00440FA8">
        <w:rPr>
          <w:rFonts w:hint="cs"/>
          <w:rtl/>
        </w:rPr>
        <w:t xml:space="preserve">% </w:t>
      </w:r>
      <w:r>
        <w:rPr>
          <w:rFonts w:hint="cs"/>
          <w:rtl/>
        </w:rPr>
        <w:t xml:space="preserve">ממספר </w:t>
      </w:r>
      <w:r w:rsidRPr="00D0794F">
        <w:rPr>
          <w:rFonts w:hint="cs"/>
          <w:rtl/>
        </w:rPr>
        <w:t>הדירות ה</w:t>
      </w:r>
      <w:r>
        <w:rPr>
          <w:rFonts w:hint="cs"/>
          <w:rtl/>
        </w:rPr>
        <w:t>ציבוריות הקיימות,</w:t>
      </w:r>
      <w:r w:rsidRPr="00440FA8">
        <w:rPr>
          <w:rFonts w:hint="cs"/>
          <w:rtl/>
        </w:rPr>
        <w:t xml:space="preserve"> </w:t>
      </w:r>
      <w:r>
        <w:rPr>
          <w:rFonts w:hint="cs"/>
          <w:rtl/>
        </w:rPr>
        <w:t>והתוספת צפויה לתת מענה רק ל</w:t>
      </w:r>
      <w:r w:rsidRPr="00440FA8">
        <w:rPr>
          <w:rFonts w:hint="cs"/>
          <w:rtl/>
        </w:rPr>
        <w:t>-4.5%</w:t>
      </w:r>
      <w:r>
        <w:rPr>
          <w:rFonts w:hint="cs"/>
          <w:rtl/>
        </w:rPr>
        <w:t xml:space="preserve"> מהזכאים הממתינים לדירה ציבורית, ואף זאת באופן הדרגתי במשך כמה שנים, על פי מידת התקדמות הליכי התכנון והבנייה של הפרויקטים</w:t>
      </w:r>
      <w:r w:rsidRPr="00440FA8">
        <w:rPr>
          <w:rFonts w:hint="cs"/>
          <w:rtl/>
        </w:rPr>
        <w:t>.</w:t>
      </w:r>
      <w:r>
        <w:rPr>
          <w:rFonts w:hint="cs"/>
          <w:rtl/>
        </w:rPr>
        <w:t xml:space="preserve"> </w:t>
      </w:r>
    </w:p>
    <w:p w14:paraId="36602296" w14:textId="77777777" w:rsidR="00C218DA" w:rsidRDefault="00C218DA" w:rsidP="004E073D">
      <w:pPr>
        <w:pStyle w:val="af5"/>
        <w:rPr>
          <w:rtl/>
        </w:rPr>
      </w:pPr>
      <w:r w:rsidRPr="008C4427">
        <w:rPr>
          <w:rFonts w:hint="cs"/>
          <w:rtl/>
        </w:rPr>
        <w:lastRenderedPageBreak/>
        <w:t xml:space="preserve">נוכח השיעור הנמוך של </w:t>
      </w:r>
      <w:r>
        <w:rPr>
          <w:rFonts w:hint="cs"/>
          <w:rtl/>
        </w:rPr>
        <w:t>ה</w:t>
      </w:r>
      <w:r w:rsidRPr="008C4427">
        <w:rPr>
          <w:rFonts w:hint="cs"/>
          <w:rtl/>
        </w:rPr>
        <w:t xml:space="preserve">דירות </w:t>
      </w:r>
      <w:r>
        <w:rPr>
          <w:rFonts w:hint="cs"/>
          <w:rtl/>
        </w:rPr>
        <w:t>ה</w:t>
      </w:r>
      <w:r w:rsidRPr="008C4427">
        <w:rPr>
          <w:rFonts w:hint="cs"/>
          <w:rtl/>
        </w:rPr>
        <w:t>ציבוריות שנכללו ב</w:t>
      </w:r>
      <w:r>
        <w:rPr>
          <w:rFonts w:hint="cs"/>
          <w:rtl/>
        </w:rPr>
        <w:t>פרויקטים של "מחיר למשתכן" (0.3% מכלל הפרויקטים לעומת החלטות מועצת מקרקעי ישראל על היקף של עד 5% ואף 7% מ</w:t>
      </w:r>
      <w:r w:rsidRPr="0038797F">
        <w:rPr>
          <w:rFonts w:hint="cs"/>
          <w:rtl/>
        </w:rPr>
        <w:t xml:space="preserve">דירות </w:t>
      </w:r>
      <w:r w:rsidRPr="0038797F">
        <w:rPr>
          <w:rtl/>
        </w:rPr>
        <w:t>"מחיר למשתכן" במתחם מסוים</w:t>
      </w:r>
      <w:r>
        <w:rPr>
          <w:rFonts w:hint="cs"/>
          <w:rtl/>
        </w:rPr>
        <w:t>)</w:t>
      </w:r>
      <w:r w:rsidRPr="008C4427">
        <w:rPr>
          <w:rFonts w:hint="cs"/>
          <w:rtl/>
        </w:rPr>
        <w:t xml:space="preserve"> על משרד הבינוי, רמ"י </w:t>
      </w:r>
      <w:r w:rsidRPr="007B37EA">
        <w:rPr>
          <w:rFonts w:hint="cs"/>
          <w:rtl/>
        </w:rPr>
        <w:t>ומשרד האוצר</w:t>
      </w:r>
      <w:r w:rsidRPr="008C4427">
        <w:rPr>
          <w:rFonts w:hint="cs"/>
          <w:rtl/>
        </w:rPr>
        <w:t xml:space="preserve"> </w:t>
      </w:r>
      <w:r>
        <w:rPr>
          <w:rFonts w:hint="cs"/>
          <w:rtl/>
        </w:rPr>
        <w:t>להגיע לכלל הסכמה בנוגע לאופן הפעולה הרצוי, כדי שיהיה ניתן למצות את ה</w:t>
      </w:r>
      <w:r w:rsidRPr="008C4427">
        <w:rPr>
          <w:rFonts w:hint="cs"/>
          <w:rtl/>
        </w:rPr>
        <w:t>פוטנציאל</w:t>
      </w:r>
      <w:r>
        <w:rPr>
          <w:rFonts w:hint="cs"/>
          <w:rtl/>
        </w:rPr>
        <w:t xml:space="preserve"> הטמון בבניית הדירות בתוכנית "מחיר למשתכן" וכך להגדיל את מאגר הדירות הציבוריות ו</w:t>
      </w:r>
      <w:r w:rsidRPr="008C4427">
        <w:rPr>
          <w:rFonts w:hint="cs"/>
          <w:rtl/>
        </w:rPr>
        <w:t>לקדם ככל שניתן את ב</w:t>
      </w:r>
      <w:r>
        <w:rPr>
          <w:rFonts w:hint="cs"/>
          <w:rtl/>
        </w:rPr>
        <w:t>ניית</w:t>
      </w:r>
      <w:r w:rsidRPr="008C4427">
        <w:rPr>
          <w:rFonts w:hint="cs"/>
          <w:rtl/>
        </w:rPr>
        <w:t xml:space="preserve"> הדירות</w:t>
      </w:r>
      <w:r>
        <w:rPr>
          <w:rFonts w:hint="cs"/>
          <w:rtl/>
        </w:rPr>
        <w:t>. כל זאת למען</w:t>
      </w:r>
      <w:r w:rsidRPr="008C4427">
        <w:rPr>
          <w:rFonts w:hint="cs"/>
          <w:rtl/>
        </w:rPr>
        <w:t xml:space="preserve"> </w:t>
      </w:r>
      <w:r>
        <w:rPr>
          <w:rFonts w:hint="cs"/>
          <w:rtl/>
        </w:rPr>
        <w:t>שיפור ה</w:t>
      </w:r>
      <w:r w:rsidRPr="008C4427">
        <w:rPr>
          <w:rFonts w:hint="cs"/>
          <w:rtl/>
        </w:rPr>
        <w:t xml:space="preserve">מענה </w:t>
      </w:r>
      <w:r>
        <w:rPr>
          <w:rFonts w:hint="cs"/>
          <w:rtl/>
        </w:rPr>
        <w:t>הניתן</w:t>
      </w:r>
      <w:r w:rsidRPr="008C4427">
        <w:rPr>
          <w:rFonts w:hint="cs"/>
          <w:rtl/>
        </w:rPr>
        <w:t xml:space="preserve"> לזכאי הדיור הציבורי. </w:t>
      </w:r>
      <w:r>
        <w:rPr>
          <w:rFonts w:hint="cs"/>
          <w:rtl/>
        </w:rPr>
        <w:t>נוסף על כך, מומלץ לבחון צעדים שיאפשרו הקצאה מרבית של דירות ציבוריות במכרזים הבאים לשם צמצום הפערים מצד אחד ושמירת הכדאיות הכלכלית של הפרויקטים מצד אחר.</w:t>
      </w:r>
    </w:p>
    <w:p w14:paraId="6947ED7B" w14:textId="6F602ABE" w:rsidR="00C218DA" w:rsidRDefault="00C218DA" w:rsidP="004E073D">
      <w:pPr>
        <w:pStyle w:val="100"/>
        <w:rPr>
          <w:rtl/>
        </w:rPr>
      </w:pPr>
      <w:r w:rsidRPr="002569AF">
        <w:rPr>
          <w:rFonts w:hint="cs"/>
          <w:rtl/>
        </w:rPr>
        <w:t>בתשובתו למשרד מבקר המדינה מסר משרד הבינוי כי הוא</w:t>
      </w:r>
      <w:r w:rsidRPr="002569AF">
        <w:rPr>
          <w:rtl/>
        </w:rPr>
        <w:t xml:space="preserve"> מסכים עם המלצת המבקר ו</w:t>
      </w:r>
      <w:r>
        <w:rPr>
          <w:rFonts w:hint="cs"/>
          <w:rtl/>
        </w:rPr>
        <w:t xml:space="preserve">כי הוא </w:t>
      </w:r>
      <w:r w:rsidRPr="002569AF">
        <w:rPr>
          <w:rtl/>
        </w:rPr>
        <w:t>ממשיך לפעול באופן עקבי לקיד</w:t>
      </w:r>
      <w:r w:rsidR="004E073D">
        <w:rPr>
          <w:rtl/>
        </w:rPr>
        <w:t>ום הקצאת דירות במכרזים עתידיים.</w:t>
      </w:r>
    </w:p>
    <w:p w14:paraId="74753A6B" w14:textId="24F6B689" w:rsidR="00C218DA" w:rsidRDefault="00C218DA" w:rsidP="00ED0C93">
      <w:pPr>
        <w:pStyle w:val="100"/>
        <w:rPr>
          <w:rtl/>
        </w:rPr>
      </w:pPr>
      <w:r>
        <w:rPr>
          <w:rFonts w:hint="cs"/>
          <w:rtl/>
        </w:rPr>
        <w:t xml:space="preserve">בתשובתו למשרד מבקר המדינה מסר אגף החשכ"ל כי הוא </w:t>
      </w:r>
      <w:r>
        <w:rPr>
          <w:rtl/>
        </w:rPr>
        <w:t xml:space="preserve">תומך בשילוב </w:t>
      </w:r>
      <w:r>
        <w:rPr>
          <w:rFonts w:hint="cs"/>
          <w:rtl/>
        </w:rPr>
        <w:t xml:space="preserve">בניית </w:t>
      </w:r>
      <w:r>
        <w:rPr>
          <w:rtl/>
        </w:rPr>
        <w:t>דירות ציבורי</w:t>
      </w:r>
      <w:r>
        <w:rPr>
          <w:rFonts w:hint="cs"/>
          <w:rtl/>
        </w:rPr>
        <w:t>ות בפרויקטים של "</w:t>
      </w:r>
      <w:r>
        <w:rPr>
          <w:rtl/>
        </w:rPr>
        <w:t>מחיר למשתכן</w:t>
      </w:r>
      <w:r>
        <w:rPr>
          <w:rFonts w:hint="cs"/>
          <w:rtl/>
        </w:rPr>
        <w:t>"</w:t>
      </w:r>
      <w:r>
        <w:rPr>
          <w:rtl/>
        </w:rPr>
        <w:t xml:space="preserve">, כפוף </w:t>
      </w:r>
      <w:r>
        <w:rPr>
          <w:rFonts w:hint="cs"/>
          <w:rtl/>
        </w:rPr>
        <w:t>לכדאיות הכלכלית</w:t>
      </w:r>
      <w:r>
        <w:rPr>
          <w:rtl/>
        </w:rPr>
        <w:t xml:space="preserve"> </w:t>
      </w:r>
      <w:r>
        <w:rPr>
          <w:rFonts w:hint="cs"/>
          <w:rtl/>
        </w:rPr>
        <w:t>ובהתאם לצורך, וכי צפויים פרויקטי</w:t>
      </w:r>
      <w:r w:rsidR="00ED0C93">
        <w:rPr>
          <w:rFonts w:hint="cs"/>
          <w:rtl/>
        </w:rPr>
        <w:t>ם נוספים שיכללו דירות ציבוריות.</w:t>
      </w:r>
    </w:p>
    <w:p w14:paraId="10C0EB40" w14:textId="05C22A29" w:rsidR="00C218DA" w:rsidRPr="00652F7B" w:rsidRDefault="00C218DA" w:rsidP="004E073D">
      <w:pPr>
        <w:pStyle w:val="100"/>
        <w:rPr>
          <w:rtl/>
        </w:rPr>
      </w:pPr>
      <w:r>
        <w:rPr>
          <w:rFonts w:hint="cs"/>
          <w:rtl/>
        </w:rPr>
        <w:t xml:space="preserve">בתשובתו למשרד מבקר המדינה מינואר 2020 מסר מטה הדיור כי </w:t>
      </w:r>
      <w:r w:rsidRPr="00131600">
        <w:rPr>
          <w:rtl/>
        </w:rPr>
        <w:t xml:space="preserve">הוות״פ תמשיך לאשר </w:t>
      </w:r>
      <w:r w:rsidRPr="00131600">
        <w:rPr>
          <w:rFonts w:hint="cs"/>
          <w:rtl/>
        </w:rPr>
        <w:t xml:space="preserve">בניית </w:t>
      </w:r>
      <w:r w:rsidRPr="00131600">
        <w:rPr>
          <w:rtl/>
        </w:rPr>
        <w:t>דירות ציבורי</w:t>
      </w:r>
      <w:r w:rsidRPr="00131600">
        <w:rPr>
          <w:rFonts w:hint="cs"/>
          <w:rtl/>
        </w:rPr>
        <w:t>ות בפרויקטים של "מחיר למשתכן"</w:t>
      </w:r>
      <w:r w:rsidRPr="00131600">
        <w:rPr>
          <w:rtl/>
        </w:rPr>
        <w:t xml:space="preserve">, </w:t>
      </w:r>
      <w:r w:rsidRPr="00131600">
        <w:rPr>
          <w:rFonts w:hint="cs"/>
          <w:rtl/>
        </w:rPr>
        <w:t>ו</w:t>
      </w:r>
      <w:r w:rsidRPr="00131600">
        <w:rPr>
          <w:rtl/>
        </w:rPr>
        <w:t xml:space="preserve">זאת כפוף להיתכנות הכלכלית </w:t>
      </w:r>
      <w:r w:rsidRPr="00131600">
        <w:rPr>
          <w:rFonts w:hint="cs"/>
          <w:rtl/>
        </w:rPr>
        <w:t>של</w:t>
      </w:r>
      <w:r w:rsidRPr="00131600">
        <w:rPr>
          <w:rtl/>
        </w:rPr>
        <w:t xml:space="preserve"> הפרויקט</w:t>
      </w:r>
      <w:r w:rsidRPr="00131600">
        <w:rPr>
          <w:rFonts w:hint="cs"/>
          <w:rtl/>
        </w:rPr>
        <w:t>.</w:t>
      </w:r>
      <w:r w:rsidRPr="00131600">
        <w:rPr>
          <w:rtl/>
        </w:rPr>
        <w:t xml:space="preserve"> </w:t>
      </w:r>
      <w:r>
        <w:rPr>
          <w:rFonts w:hint="cs"/>
          <w:rtl/>
        </w:rPr>
        <w:t xml:space="preserve">מטה הדיור ציין בתשובתו כי בהחלטת </w:t>
      </w:r>
      <w:r w:rsidRPr="00131600">
        <w:rPr>
          <w:rtl/>
        </w:rPr>
        <w:t xml:space="preserve">מועצת מקרקעי ישראל </w:t>
      </w:r>
      <w:r w:rsidRPr="00131600">
        <w:rPr>
          <w:rFonts w:hint="cs"/>
          <w:rtl/>
        </w:rPr>
        <w:t xml:space="preserve">נקבע </w:t>
      </w:r>
      <w:r w:rsidRPr="00131600">
        <w:rPr>
          <w:rtl/>
        </w:rPr>
        <w:t>כי הוות״פ</w:t>
      </w:r>
      <w:r w:rsidRPr="00131600">
        <w:rPr>
          <w:rFonts w:hint="cs"/>
          <w:rtl/>
        </w:rPr>
        <w:t xml:space="preserve"> </w:t>
      </w:r>
      <w:r w:rsidRPr="00131600">
        <w:rPr>
          <w:rtl/>
        </w:rPr>
        <w:t xml:space="preserve">רשאית להקצות דירות </w:t>
      </w:r>
      <w:r w:rsidRPr="00131600">
        <w:rPr>
          <w:rFonts w:hint="cs"/>
          <w:rtl/>
        </w:rPr>
        <w:t>ציבוריות בפרויקטים של "</w:t>
      </w:r>
      <w:r w:rsidRPr="00131600">
        <w:rPr>
          <w:rtl/>
        </w:rPr>
        <w:t>מחיר למשתכן</w:t>
      </w:r>
      <w:r w:rsidRPr="00131600">
        <w:rPr>
          <w:rFonts w:hint="cs"/>
          <w:rtl/>
        </w:rPr>
        <w:t>"</w:t>
      </w:r>
      <w:r w:rsidRPr="00131600">
        <w:rPr>
          <w:rtl/>
        </w:rPr>
        <w:t xml:space="preserve"> </w:t>
      </w:r>
      <w:r w:rsidRPr="00131600">
        <w:rPr>
          <w:rFonts w:hint="cs"/>
          <w:rtl/>
        </w:rPr>
        <w:t>ו</w:t>
      </w:r>
      <w:r w:rsidRPr="00131600">
        <w:rPr>
          <w:rtl/>
        </w:rPr>
        <w:t>אין הכרח כי</w:t>
      </w:r>
      <w:r w:rsidRPr="00131600">
        <w:rPr>
          <w:rFonts w:hint="cs"/>
          <w:rtl/>
        </w:rPr>
        <w:t xml:space="preserve"> הוות"פ</w:t>
      </w:r>
      <w:r w:rsidRPr="00131600">
        <w:rPr>
          <w:rtl/>
        </w:rPr>
        <w:t xml:space="preserve"> </w:t>
      </w:r>
      <w:r w:rsidRPr="00131600">
        <w:rPr>
          <w:rFonts w:hint="cs"/>
          <w:rtl/>
        </w:rPr>
        <w:t>ת</w:t>
      </w:r>
      <w:r w:rsidRPr="00131600">
        <w:rPr>
          <w:rtl/>
        </w:rPr>
        <w:t>קצ</w:t>
      </w:r>
      <w:r w:rsidRPr="00131600">
        <w:rPr>
          <w:rFonts w:hint="cs"/>
          <w:rtl/>
        </w:rPr>
        <w:t>ה</w:t>
      </w:r>
      <w:r w:rsidRPr="00131600">
        <w:rPr>
          <w:rtl/>
        </w:rPr>
        <w:t xml:space="preserve"> דירות </w:t>
      </w:r>
      <w:r w:rsidRPr="00131600">
        <w:rPr>
          <w:rFonts w:hint="cs"/>
          <w:rtl/>
        </w:rPr>
        <w:t>ציבורית בכל פרויקט</w:t>
      </w:r>
      <w:r>
        <w:rPr>
          <w:rFonts w:hint="cs"/>
          <w:rtl/>
        </w:rPr>
        <w:t xml:space="preserve">, וכן כי </w:t>
      </w:r>
      <w:r w:rsidRPr="00131600">
        <w:rPr>
          <w:rFonts w:hint="cs"/>
          <w:rtl/>
        </w:rPr>
        <w:t xml:space="preserve">בהחלטה </w:t>
      </w:r>
      <w:r w:rsidRPr="00131600">
        <w:rPr>
          <w:rtl/>
        </w:rPr>
        <w:t xml:space="preserve">לא נקבעו יעדים </w:t>
      </w:r>
      <w:r>
        <w:rPr>
          <w:rFonts w:hint="cs"/>
          <w:rtl/>
        </w:rPr>
        <w:t>נוכח שיקולי ההיתכנות הכלכלית בהקצאת דירות ציבוריות בפרויקטים השונים.</w:t>
      </w:r>
      <w:r w:rsidRPr="00131600">
        <w:rPr>
          <w:rFonts w:hint="cs"/>
          <w:rtl/>
        </w:rPr>
        <w:t xml:space="preserve"> </w:t>
      </w:r>
      <w:r>
        <w:rPr>
          <w:rFonts w:hint="cs"/>
          <w:rtl/>
        </w:rPr>
        <w:t xml:space="preserve">עוד מסר כי הוא </w:t>
      </w:r>
      <w:r w:rsidRPr="00131600">
        <w:rPr>
          <w:rFonts w:hint="cs"/>
          <w:rtl/>
        </w:rPr>
        <w:t xml:space="preserve">רואה </w:t>
      </w:r>
      <w:r w:rsidRPr="00131600">
        <w:rPr>
          <w:rtl/>
        </w:rPr>
        <w:t xml:space="preserve">חשיבות רבה בהרחבת מאגר הדירות </w:t>
      </w:r>
      <w:r w:rsidRPr="00131600">
        <w:rPr>
          <w:rFonts w:hint="cs"/>
          <w:rtl/>
        </w:rPr>
        <w:t>הציבוריות</w:t>
      </w:r>
      <w:r w:rsidRPr="00131600">
        <w:rPr>
          <w:rtl/>
        </w:rPr>
        <w:t xml:space="preserve">, אולם </w:t>
      </w:r>
      <w:r w:rsidRPr="00131600">
        <w:rPr>
          <w:rFonts w:hint="cs"/>
          <w:rtl/>
        </w:rPr>
        <w:t>הוא סבור</w:t>
      </w:r>
      <w:r w:rsidRPr="00131600">
        <w:rPr>
          <w:rtl/>
        </w:rPr>
        <w:t xml:space="preserve"> כי הקצאת דירות </w:t>
      </w:r>
      <w:r w:rsidRPr="00131600">
        <w:rPr>
          <w:rFonts w:hint="cs"/>
          <w:rtl/>
        </w:rPr>
        <w:t>ציבוריות בפרויקטים של</w:t>
      </w:r>
      <w:r w:rsidRPr="00131600">
        <w:rPr>
          <w:rtl/>
        </w:rPr>
        <w:t xml:space="preserve"> ״מחיר למשתכן״ אינ</w:t>
      </w:r>
      <w:r w:rsidRPr="00131600">
        <w:rPr>
          <w:rFonts w:hint="cs"/>
          <w:rtl/>
        </w:rPr>
        <w:t>ה</w:t>
      </w:r>
      <w:r w:rsidRPr="00131600">
        <w:rPr>
          <w:rtl/>
        </w:rPr>
        <w:t xml:space="preserve"> הפתרון הבלעדי</w:t>
      </w:r>
      <w:r w:rsidRPr="00131600">
        <w:rPr>
          <w:rFonts w:hint="cs"/>
          <w:rtl/>
        </w:rPr>
        <w:t xml:space="preserve"> לכך</w:t>
      </w:r>
      <w:r>
        <w:rPr>
          <w:rFonts w:hint="cs"/>
          <w:rtl/>
        </w:rPr>
        <w:t>.</w:t>
      </w:r>
    </w:p>
    <w:p w14:paraId="2CF59912" w14:textId="05902403" w:rsidR="00C218DA" w:rsidRDefault="00C218DA" w:rsidP="004E073D">
      <w:pPr>
        <w:pStyle w:val="414"/>
        <w:rPr>
          <w:rtl/>
        </w:rPr>
      </w:pPr>
      <w:r w:rsidRPr="00794082">
        <w:rPr>
          <w:rtl/>
        </w:rPr>
        <w:t>הקצאת חלק מהתמורה שתתקבל מייזום פרויקטים של התחדשות עירונית לטובת רכ</w:t>
      </w:r>
      <w:r>
        <w:rPr>
          <w:rFonts w:hint="cs"/>
          <w:rtl/>
        </w:rPr>
        <w:t>י</w:t>
      </w:r>
      <w:r w:rsidRPr="00794082">
        <w:rPr>
          <w:rtl/>
        </w:rPr>
        <w:t>ש</w:t>
      </w:r>
      <w:r>
        <w:rPr>
          <w:rFonts w:hint="cs"/>
          <w:rtl/>
        </w:rPr>
        <w:t>ת</w:t>
      </w:r>
      <w:r w:rsidRPr="00794082">
        <w:rPr>
          <w:rtl/>
        </w:rPr>
        <w:t xml:space="preserve"> דירות ציבוריות</w:t>
      </w:r>
    </w:p>
    <w:p w14:paraId="044AB84D" w14:textId="7DE714C7" w:rsidR="00C218DA" w:rsidRDefault="00C218DA" w:rsidP="004E073D">
      <w:pPr>
        <w:pStyle w:val="100"/>
        <w:rPr>
          <w:rtl/>
        </w:rPr>
      </w:pPr>
      <w:r>
        <w:rPr>
          <w:rFonts w:hint="cs"/>
          <w:rtl/>
        </w:rPr>
        <w:t xml:space="preserve">כבר בשנת 2011 החלו משרד הבינוי ועמידר לבחון יחד את האפשרות שעמידר תקדם ביצוע של פרויקטים להתחדשות עירונית בנכסים שבהם דירות ציבוריות, והחל ביניהם דין ודברים בנושא. בפרויקטים מסוג זה, יש למדינה פוטנציאל להשביח את נכסיה ולנצל את הכספים שתקבל מביצוע הפרויקטים למטרות אחרות, כמו ביצוע התחדשות עירונית ביישובי הפריפריה, שבהם פרויקטים מסוג זה אינם כלכליים. </w:t>
      </w:r>
    </w:p>
    <w:p w14:paraId="5E45B9E3" w14:textId="34CD9ABB" w:rsidR="00C218DA" w:rsidRDefault="00C218DA" w:rsidP="004E073D">
      <w:pPr>
        <w:pStyle w:val="100"/>
        <w:rPr>
          <w:rtl/>
        </w:rPr>
      </w:pPr>
      <w:r>
        <w:rPr>
          <w:rFonts w:hint="cs"/>
          <w:rtl/>
        </w:rPr>
        <w:t>בהמשך לכך, באוקטובר 2014 הקימה עמידר אגף פיתוח עסקי שאחראי לקדם את פעילותה של החברה בתחום העסקי, ובכלל זה קידום</w:t>
      </w:r>
      <w:r w:rsidRPr="00182FFE">
        <w:rPr>
          <w:rFonts w:hint="cs"/>
          <w:rtl/>
        </w:rPr>
        <w:t xml:space="preserve"> </w:t>
      </w:r>
      <w:r>
        <w:rPr>
          <w:rFonts w:hint="cs"/>
          <w:rtl/>
        </w:rPr>
        <w:t>תחום ההתחדשות העירונית. בראש האגף עומד סמנכ"ל ותחתיו ארבעה עובדים (נכון לספטמבר 2019).</w:t>
      </w:r>
    </w:p>
    <w:p w14:paraId="74DF4F15" w14:textId="2D8E6983" w:rsidR="00C218DA" w:rsidRDefault="00C218DA" w:rsidP="004E073D">
      <w:pPr>
        <w:pStyle w:val="100"/>
        <w:rPr>
          <w:rtl/>
        </w:rPr>
      </w:pPr>
      <w:r w:rsidRPr="00017D9C">
        <w:rPr>
          <w:rFonts w:asciiTheme="minorHAnsi" w:hAnsiTheme="minorHAnsi"/>
          <w:sz w:val="24"/>
          <w:rtl/>
        </w:rPr>
        <w:t>ב</w:t>
      </w:r>
      <w:r>
        <w:rPr>
          <w:rFonts w:asciiTheme="minorHAnsi" w:hAnsiTheme="minorHAnsi" w:hint="cs"/>
          <w:sz w:val="24"/>
          <w:rtl/>
        </w:rPr>
        <w:t xml:space="preserve">ספטמבר </w:t>
      </w:r>
      <w:r w:rsidRPr="00017D9C">
        <w:rPr>
          <w:rFonts w:asciiTheme="minorHAnsi" w:hAnsiTheme="minorHAnsi"/>
          <w:sz w:val="24"/>
          <w:rtl/>
        </w:rPr>
        <w:t>2016</w:t>
      </w:r>
      <w:r>
        <w:rPr>
          <w:rFonts w:asciiTheme="minorHAnsi" w:hAnsiTheme="minorHAnsi" w:hint="cs"/>
          <w:sz w:val="24"/>
          <w:rtl/>
        </w:rPr>
        <w:t xml:space="preserve">, בחלוף כחמש שנים מאז החלו הגופים לבחון את הנושא, התקשרו </w:t>
      </w:r>
      <w:r w:rsidRPr="00017D9C">
        <w:rPr>
          <w:rFonts w:asciiTheme="minorHAnsi" w:hAnsiTheme="minorHAnsi"/>
          <w:sz w:val="24"/>
          <w:rtl/>
        </w:rPr>
        <w:t>משרד ה</w:t>
      </w:r>
      <w:r>
        <w:rPr>
          <w:rFonts w:asciiTheme="minorHAnsi" w:hAnsiTheme="minorHAnsi" w:hint="cs"/>
          <w:sz w:val="24"/>
          <w:rtl/>
        </w:rPr>
        <w:t>בינוי ועמידר</w:t>
      </w:r>
      <w:r w:rsidRPr="00017D9C">
        <w:rPr>
          <w:rFonts w:asciiTheme="minorHAnsi" w:hAnsiTheme="minorHAnsi"/>
          <w:sz w:val="24"/>
          <w:rtl/>
        </w:rPr>
        <w:t xml:space="preserve"> </w:t>
      </w:r>
      <w:r>
        <w:rPr>
          <w:rFonts w:asciiTheme="minorHAnsi" w:hAnsiTheme="minorHAnsi" w:hint="cs"/>
          <w:sz w:val="24"/>
          <w:rtl/>
        </w:rPr>
        <w:t xml:space="preserve">בהסכם, שלפיו תקדם עמידר פרויקטים להתחדשות עירונית בנכסים שבניהולה </w:t>
      </w:r>
      <w:r>
        <w:rPr>
          <w:rFonts w:asciiTheme="minorHAnsi" w:hAnsiTheme="minorHAnsi" w:hint="cs"/>
          <w:sz w:val="24"/>
          <w:rtl/>
        </w:rPr>
        <w:lastRenderedPageBreak/>
        <w:t xml:space="preserve">שבהם </w:t>
      </w:r>
      <w:r>
        <w:rPr>
          <w:rFonts w:hint="cs"/>
          <w:rtl/>
        </w:rPr>
        <w:t>היקף הדירות הציבוריות הוא בשיעור של למעלה מ-50%</w:t>
      </w:r>
      <w:r>
        <w:rPr>
          <w:rStyle w:val="FootnoteReference"/>
          <w:rFonts w:asciiTheme="minorHAnsi" w:hAnsiTheme="minorHAnsi"/>
          <w:sz w:val="24"/>
          <w:rtl/>
        </w:rPr>
        <w:footnoteReference w:id="43"/>
      </w:r>
      <w:r>
        <w:rPr>
          <w:rFonts w:asciiTheme="minorHAnsi" w:hAnsiTheme="minorHAnsi" w:hint="cs"/>
          <w:sz w:val="24"/>
          <w:rtl/>
        </w:rPr>
        <w:t xml:space="preserve">. </w:t>
      </w:r>
      <w:r w:rsidRPr="00017D9C">
        <w:rPr>
          <w:rFonts w:asciiTheme="minorHAnsi" w:hAnsiTheme="minorHAnsi"/>
          <w:sz w:val="24"/>
          <w:rtl/>
        </w:rPr>
        <w:t xml:space="preserve">ההסכם קבע כי </w:t>
      </w:r>
      <w:r>
        <w:rPr>
          <w:rFonts w:asciiTheme="minorHAnsi" w:hAnsiTheme="minorHAnsi" w:hint="cs"/>
          <w:sz w:val="24"/>
          <w:rtl/>
        </w:rPr>
        <w:t>חלק מ</w:t>
      </w:r>
      <w:r w:rsidRPr="00017D9C">
        <w:rPr>
          <w:rFonts w:asciiTheme="minorHAnsi" w:hAnsiTheme="minorHAnsi"/>
          <w:sz w:val="24"/>
          <w:rtl/>
        </w:rPr>
        <w:t>הרווחים שיתקבלו מ</w:t>
      </w:r>
      <w:r>
        <w:rPr>
          <w:rFonts w:asciiTheme="minorHAnsi" w:hAnsiTheme="minorHAnsi" w:hint="cs"/>
          <w:sz w:val="24"/>
          <w:rtl/>
        </w:rPr>
        <w:t xml:space="preserve">מכירת הדירות שייבנו בפרויקטים יועברו למדינה וישמשו לביצוע פרויקטים של התחדשות עירונית שאינם בעלי כדאיות כלכלית או </w:t>
      </w:r>
      <w:r w:rsidRPr="00017D9C">
        <w:rPr>
          <w:rFonts w:asciiTheme="minorHAnsi" w:hAnsiTheme="minorHAnsi"/>
          <w:sz w:val="24"/>
          <w:rtl/>
        </w:rPr>
        <w:t>לרכ</w:t>
      </w:r>
      <w:r>
        <w:rPr>
          <w:rFonts w:asciiTheme="minorHAnsi" w:hAnsiTheme="minorHAnsi" w:hint="cs"/>
          <w:sz w:val="24"/>
          <w:rtl/>
        </w:rPr>
        <w:t>י</w:t>
      </w:r>
      <w:r w:rsidRPr="00017D9C">
        <w:rPr>
          <w:rFonts w:asciiTheme="minorHAnsi" w:hAnsiTheme="minorHAnsi"/>
          <w:sz w:val="24"/>
          <w:rtl/>
        </w:rPr>
        <w:t>ש</w:t>
      </w:r>
      <w:r>
        <w:rPr>
          <w:rFonts w:asciiTheme="minorHAnsi" w:hAnsiTheme="minorHAnsi" w:hint="cs"/>
          <w:sz w:val="24"/>
          <w:rtl/>
        </w:rPr>
        <w:t>ת</w:t>
      </w:r>
      <w:r w:rsidRPr="00017D9C">
        <w:rPr>
          <w:rFonts w:asciiTheme="minorHAnsi" w:hAnsiTheme="minorHAnsi"/>
          <w:sz w:val="24"/>
          <w:rtl/>
        </w:rPr>
        <w:t xml:space="preserve"> </w:t>
      </w:r>
      <w:r w:rsidRPr="001A767D">
        <w:rPr>
          <w:rtl/>
        </w:rPr>
        <w:t>דיר</w:t>
      </w:r>
      <w:r>
        <w:rPr>
          <w:rFonts w:hint="cs"/>
          <w:rtl/>
        </w:rPr>
        <w:t>ות</w:t>
      </w:r>
      <w:r w:rsidRPr="001A767D">
        <w:rPr>
          <w:rtl/>
        </w:rPr>
        <w:t xml:space="preserve"> ציבורי</w:t>
      </w:r>
      <w:r>
        <w:rPr>
          <w:rFonts w:hint="cs"/>
          <w:rtl/>
        </w:rPr>
        <w:t>ות.</w:t>
      </w:r>
      <w:r w:rsidRPr="001A767D">
        <w:rPr>
          <w:rFonts w:hint="cs"/>
          <w:rtl/>
        </w:rPr>
        <w:t xml:space="preserve"> </w:t>
      </w:r>
      <w:r>
        <w:rPr>
          <w:rFonts w:hint="cs"/>
          <w:rtl/>
        </w:rPr>
        <w:t xml:space="preserve">עוד קבע ההסכם כי כל פרויקט שעמידר תמצא כבעל היתכנות לביצוע יובא לאישור צוות בראשות מנכ"ל משרד הבינוי או מי מטעמו ובעלי תפקידים במשרד ונציג החשכ"ל (להלן - צוות הפרויקטים). </w:t>
      </w:r>
    </w:p>
    <w:p w14:paraId="35E9DA41" w14:textId="77777777" w:rsidR="00C218DA" w:rsidRDefault="00C218DA" w:rsidP="004E073D">
      <w:pPr>
        <w:pStyle w:val="100"/>
        <w:rPr>
          <w:rFonts w:asciiTheme="minorHAnsi" w:hAnsiTheme="minorHAnsi"/>
          <w:sz w:val="24"/>
          <w:rtl/>
        </w:rPr>
      </w:pPr>
      <w:r>
        <w:rPr>
          <w:rFonts w:asciiTheme="minorHAnsi" w:hAnsiTheme="minorHAnsi" w:hint="cs"/>
          <w:sz w:val="24"/>
          <w:rtl/>
        </w:rPr>
        <w:t>לאחר שקיימה עבודת מטה בנושא, הביאה עמידר לאישורו של צוות הפרויקטים את הפרויקטים שלדעתה יש לקדם. עד מועד סיום הביקורת (אוגוסט 2019) אישר לעמידר צוות הפרויקטים לקדם תשעה</w:t>
      </w:r>
      <w:r w:rsidRPr="00017D9C">
        <w:rPr>
          <w:rFonts w:asciiTheme="minorHAnsi" w:hAnsiTheme="minorHAnsi"/>
          <w:sz w:val="24"/>
          <w:rtl/>
        </w:rPr>
        <w:t xml:space="preserve"> פרויקטים להתחדשות עירונית, הכוללים</w:t>
      </w:r>
      <w:r>
        <w:rPr>
          <w:rFonts w:asciiTheme="minorHAnsi" w:hAnsiTheme="minorHAnsi" w:hint="cs"/>
          <w:sz w:val="24"/>
          <w:rtl/>
        </w:rPr>
        <w:t xml:space="preserve"> 507</w:t>
      </w:r>
      <w:r w:rsidRPr="00017D9C">
        <w:rPr>
          <w:rFonts w:asciiTheme="minorHAnsi" w:hAnsiTheme="minorHAnsi"/>
          <w:sz w:val="24"/>
          <w:rtl/>
        </w:rPr>
        <w:t xml:space="preserve"> יח"ד קיימות</w:t>
      </w:r>
      <w:r>
        <w:rPr>
          <w:rFonts w:asciiTheme="minorHAnsi" w:hAnsiTheme="minorHAnsi" w:hint="cs"/>
          <w:sz w:val="24"/>
          <w:rtl/>
        </w:rPr>
        <w:t>, והצפי</w:t>
      </w:r>
      <w:r w:rsidRPr="00017D9C">
        <w:rPr>
          <w:rFonts w:asciiTheme="minorHAnsi" w:hAnsiTheme="minorHAnsi"/>
          <w:sz w:val="24"/>
          <w:rtl/>
        </w:rPr>
        <w:t xml:space="preserve"> </w:t>
      </w:r>
      <w:r>
        <w:rPr>
          <w:rFonts w:asciiTheme="minorHAnsi" w:hAnsiTheme="minorHAnsi" w:hint="cs"/>
          <w:sz w:val="24"/>
          <w:rtl/>
        </w:rPr>
        <w:t xml:space="preserve">הוא </w:t>
      </w:r>
      <w:r w:rsidRPr="00017D9C">
        <w:rPr>
          <w:rFonts w:asciiTheme="minorHAnsi" w:hAnsiTheme="minorHAnsi"/>
          <w:sz w:val="24"/>
          <w:rtl/>
        </w:rPr>
        <w:t>לבניית</w:t>
      </w:r>
      <w:r>
        <w:rPr>
          <w:rFonts w:asciiTheme="minorHAnsi" w:hAnsiTheme="minorHAnsi" w:hint="cs"/>
          <w:sz w:val="24"/>
          <w:rtl/>
        </w:rPr>
        <w:t xml:space="preserve"> כ-2,350 </w:t>
      </w:r>
      <w:r w:rsidRPr="00017D9C">
        <w:rPr>
          <w:rFonts w:asciiTheme="minorHAnsi" w:hAnsiTheme="minorHAnsi"/>
          <w:sz w:val="24"/>
          <w:rtl/>
        </w:rPr>
        <w:t>יח"ד נוספות</w:t>
      </w:r>
      <w:r>
        <w:rPr>
          <w:rStyle w:val="FootnoteReference"/>
          <w:rFonts w:asciiTheme="minorHAnsi" w:hAnsiTheme="minorHAnsi"/>
          <w:sz w:val="24"/>
          <w:rtl/>
        </w:rPr>
        <w:footnoteReference w:id="44"/>
      </w:r>
      <w:r>
        <w:rPr>
          <w:rFonts w:asciiTheme="minorHAnsi" w:hAnsiTheme="minorHAnsi" w:hint="cs"/>
          <w:sz w:val="24"/>
          <w:rtl/>
        </w:rPr>
        <w:t>. להערכת עמידר, הרווח מהפרויקטים האלה צפוי להיות 407 מיליון ש"ח</w:t>
      </w:r>
      <w:r w:rsidRPr="00017D9C">
        <w:rPr>
          <w:rFonts w:asciiTheme="minorHAnsi" w:hAnsiTheme="minorHAnsi"/>
          <w:sz w:val="24"/>
          <w:rtl/>
        </w:rPr>
        <w:t xml:space="preserve">. </w:t>
      </w:r>
    </w:p>
    <w:p w14:paraId="6EAFA8C6" w14:textId="77777777" w:rsidR="00C218DA" w:rsidRDefault="00C218DA" w:rsidP="004E073D">
      <w:pPr>
        <w:pStyle w:val="100"/>
        <w:rPr>
          <w:rtl/>
        </w:rPr>
      </w:pPr>
      <w:r>
        <w:rPr>
          <w:rFonts w:hint="cs"/>
          <w:rtl/>
        </w:rPr>
        <w:t xml:space="preserve">מאז חתימת ההסכם ועד מועד סיום הביקורת הסתכמו ההוצאות הישירות של עמידר בגין הפרויקטים בתחום ההתחדשות העירונית בכ-1.8 מיליון ש"ח (לא כולל עלות שכר עובדי החברה). עיקר ההוצאות שולמו ליועצים חיצוניים שבדקו את ההיתכנות המשפטית, הכלכלית והתכנונית של הפרויקטים השונים. </w:t>
      </w:r>
    </w:p>
    <w:p w14:paraId="64B7A406" w14:textId="04D81AAD" w:rsidR="00C218DA" w:rsidRDefault="00C218DA" w:rsidP="004E073D">
      <w:pPr>
        <w:pStyle w:val="af5"/>
        <w:rPr>
          <w:rtl/>
        </w:rPr>
      </w:pPr>
      <w:r>
        <w:rPr>
          <w:rFonts w:hint="cs"/>
          <w:rtl/>
        </w:rPr>
        <w:t>היוזמה ל</w:t>
      </w:r>
      <w:r w:rsidRPr="002D08E6">
        <w:rPr>
          <w:rtl/>
        </w:rPr>
        <w:t>קדם פרויקטים להתחדשות עירונית בנכסים שבהם דירות ציבוריות</w:t>
      </w:r>
      <w:r>
        <w:rPr>
          <w:rFonts w:hint="cs"/>
          <w:rtl/>
        </w:rPr>
        <w:t xml:space="preserve"> הינה חיובית. עם זאת, </w:t>
      </w:r>
      <w:r w:rsidRPr="000E498C">
        <w:rPr>
          <w:rtl/>
        </w:rPr>
        <w:t>עלה כי נכון למועד סיום הביקורת</w:t>
      </w:r>
      <w:r>
        <w:rPr>
          <w:rFonts w:hint="cs"/>
          <w:rtl/>
        </w:rPr>
        <w:t xml:space="preserve"> </w:t>
      </w:r>
      <w:r w:rsidRPr="000E498C">
        <w:rPr>
          <w:rtl/>
        </w:rPr>
        <w:t xml:space="preserve">כל </w:t>
      </w:r>
      <w:r w:rsidRPr="000E498C">
        <w:rPr>
          <w:rFonts w:hint="eastAsia"/>
          <w:rtl/>
        </w:rPr>
        <w:t>הפרויקטים</w:t>
      </w:r>
      <w:r w:rsidRPr="000E498C">
        <w:rPr>
          <w:rtl/>
        </w:rPr>
        <w:t xml:space="preserve"> </w:t>
      </w:r>
      <w:r w:rsidRPr="000E498C">
        <w:rPr>
          <w:rFonts w:hint="eastAsia"/>
          <w:rtl/>
        </w:rPr>
        <w:t>שאושרו</w:t>
      </w:r>
      <w:r w:rsidRPr="000E498C">
        <w:rPr>
          <w:rtl/>
        </w:rPr>
        <w:t xml:space="preserve"> </w:t>
      </w:r>
      <w:r w:rsidRPr="000E498C">
        <w:rPr>
          <w:rFonts w:hint="eastAsia"/>
          <w:rtl/>
        </w:rPr>
        <w:t>עדיין</w:t>
      </w:r>
      <w:r w:rsidRPr="000E498C">
        <w:rPr>
          <w:rtl/>
        </w:rPr>
        <w:t xml:space="preserve"> </w:t>
      </w:r>
      <w:r w:rsidRPr="000E498C">
        <w:rPr>
          <w:rFonts w:hint="eastAsia"/>
          <w:rtl/>
        </w:rPr>
        <w:t>נמצאים</w:t>
      </w:r>
      <w:r w:rsidRPr="000E498C">
        <w:rPr>
          <w:rtl/>
        </w:rPr>
        <w:t xml:space="preserve"> </w:t>
      </w:r>
      <w:r w:rsidRPr="000E498C">
        <w:rPr>
          <w:rFonts w:hint="eastAsia"/>
          <w:rtl/>
        </w:rPr>
        <w:t>בשלבים</w:t>
      </w:r>
      <w:r w:rsidRPr="000E498C">
        <w:rPr>
          <w:rtl/>
        </w:rPr>
        <w:t xml:space="preserve"> ראשוניים </w:t>
      </w:r>
      <w:r>
        <w:rPr>
          <w:rFonts w:hint="cs"/>
          <w:rtl/>
        </w:rPr>
        <w:t>- בשום פרויקט</w:t>
      </w:r>
      <w:r w:rsidRPr="000E498C">
        <w:rPr>
          <w:rtl/>
        </w:rPr>
        <w:t xml:space="preserve"> לא התקבל היתר בנייה</w:t>
      </w:r>
      <w:r>
        <w:rPr>
          <w:rFonts w:hint="cs"/>
          <w:rtl/>
        </w:rPr>
        <w:t>,</w:t>
      </w:r>
      <w:r w:rsidRPr="000E498C">
        <w:rPr>
          <w:rtl/>
        </w:rPr>
        <w:t xml:space="preserve"> כך שהתמורה ממכירת הדירות אינה צפויה להתקבל בשנים הקרובות.</w:t>
      </w:r>
    </w:p>
    <w:p w14:paraId="032857EF" w14:textId="77777777" w:rsidR="00C218DA" w:rsidRDefault="00C218DA" w:rsidP="004E073D">
      <w:pPr>
        <w:pStyle w:val="af5"/>
        <w:rPr>
          <w:rtl/>
        </w:rPr>
      </w:pPr>
      <w:r w:rsidRPr="00E35DE8">
        <w:rPr>
          <w:rFonts w:hint="cs"/>
          <w:rtl/>
        </w:rPr>
        <w:t xml:space="preserve">מומלץ כי משרד הבינוי ישקול להרחיב את ייזום הפרויקטים להתחדשות עירונית גם לנכסים שבניהול חברות מאכלסות </w:t>
      </w:r>
      <w:r>
        <w:rPr>
          <w:rFonts w:hint="cs"/>
          <w:rtl/>
        </w:rPr>
        <w:t>אחר</w:t>
      </w:r>
      <w:r w:rsidRPr="00E35DE8">
        <w:rPr>
          <w:rFonts w:hint="cs"/>
          <w:rtl/>
        </w:rPr>
        <w:t>ות</w:t>
      </w:r>
      <w:r>
        <w:rPr>
          <w:rFonts w:hint="cs"/>
          <w:rtl/>
        </w:rPr>
        <w:t>,</w:t>
      </w:r>
      <w:r w:rsidRPr="00E35DE8">
        <w:rPr>
          <w:rFonts w:hint="cs"/>
          <w:rtl/>
        </w:rPr>
        <w:t xml:space="preserve"> בין היתר בהתאם לשיקולי היתכנות ויעילות כלכלית.</w:t>
      </w:r>
    </w:p>
    <w:p w14:paraId="7C004834" w14:textId="7183FFAA" w:rsidR="00C218DA" w:rsidRPr="00652F7B" w:rsidRDefault="00C218DA" w:rsidP="004E073D">
      <w:pPr>
        <w:pStyle w:val="100"/>
        <w:rPr>
          <w:rtl/>
        </w:rPr>
      </w:pPr>
      <w:r>
        <w:rPr>
          <w:rFonts w:hint="cs"/>
          <w:rtl/>
        </w:rPr>
        <w:t>בתשובתו למשרד מבקר המדינה מסר משרד הבינוי כי הוא</w:t>
      </w:r>
      <w:r w:rsidRPr="00F0201F">
        <w:rPr>
          <w:rtl/>
        </w:rPr>
        <w:t xml:space="preserve"> מקבל </w:t>
      </w:r>
      <w:r>
        <w:rPr>
          <w:rFonts w:hint="cs"/>
          <w:rtl/>
        </w:rPr>
        <w:t xml:space="preserve">את </w:t>
      </w:r>
      <w:r w:rsidRPr="00F0201F">
        <w:rPr>
          <w:rFonts w:hint="cs"/>
          <w:rtl/>
        </w:rPr>
        <w:t>ההמלצה</w:t>
      </w:r>
      <w:r w:rsidRPr="00F0201F">
        <w:rPr>
          <w:rtl/>
        </w:rPr>
        <w:t xml:space="preserve"> לשקול להרחיב את ייזום הפרויקטים גם ביחס </w:t>
      </w:r>
      <w:r w:rsidRPr="00F0201F">
        <w:rPr>
          <w:rFonts w:hint="cs"/>
          <w:rtl/>
        </w:rPr>
        <w:t xml:space="preserve">לנכסים שבניהול </w:t>
      </w:r>
      <w:r w:rsidRPr="00F0201F">
        <w:rPr>
          <w:rtl/>
        </w:rPr>
        <w:t>חברות מאכלסות נוספות</w:t>
      </w:r>
      <w:r w:rsidRPr="00F0201F">
        <w:rPr>
          <w:rFonts w:hint="cs"/>
          <w:rtl/>
        </w:rPr>
        <w:t>.</w:t>
      </w:r>
    </w:p>
    <w:p w14:paraId="4FBC4180" w14:textId="283E7858" w:rsidR="00C218DA" w:rsidRDefault="00C218DA" w:rsidP="004E073D">
      <w:pPr>
        <w:pStyle w:val="414"/>
        <w:rPr>
          <w:rtl/>
        </w:rPr>
      </w:pPr>
      <w:r>
        <w:rPr>
          <w:rFonts w:hint="cs"/>
          <w:rtl/>
        </w:rPr>
        <w:lastRenderedPageBreak/>
        <w:t>שימוש בדירות עזובות לצורכי הדיור הציבורי</w:t>
      </w:r>
    </w:p>
    <w:p w14:paraId="0429B826" w14:textId="77777777" w:rsidR="00C218DA" w:rsidRDefault="00C218DA" w:rsidP="004E073D">
      <w:pPr>
        <w:pStyle w:val="100"/>
        <w:rPr>
          <w:rtl/>
        </w:rPr>
      </w:pPr>
      <w:r>
        <w:rPr>
          <w:rFonts w:hint="cs"/>
          <w:rtl/>
        </w:rPr>
        <w:t xml:space="preserve">האפוטרופוס הכללי במשרד המשפטים </w:t>
      </w:r>
      <w:r w:rsidRPr="00AD681E">
        <w:rPr>
          <w:rtl/>
        </w:rPr>
        <w:t xml:space="preserve">מופקד </w:t>
      </w:r>
      <w:r>
        <w:rPr>
          <w:rFonts w:hint="cs"/>
          <w:rtl/>
        </w:rPr>
        <w:t xml:space="preserve">בין היתר </w:t>
      </w:r>
      <w:r w:rsidRPr="00AD681E">
        <w:rPr>
          <w:rtl/>
        </w:rPr>
        <w:t>על טיפול בנכסי</w:t>
      </w:r>
      <w:r>
        <w:rPr>
          <w:rFonts w:hint="cs"/>
          <w:rtl/>
        </w:rPr>
        <w:t xml:space="preserve"> מקרקעין</w:t>
      </w:r>
      <w:r w:rsidRPr="00AD681E">
        <w:rPr>
          <w:rtl/>
        </w:rPr>
        <w:t xml:space="preserve"> עזובים</w:t>
      </w:r>
      <w:r>
        <w:rPr>
          <w:rFonts w:hint="cs"/>
          <w:rtl/>
        </w:rPr>
        <w:t>, ובכלל זה דירות עזובות,</w:t>
      </w:r>
      <w:r w:rsidRPr="00AD681E">
        <w:rPr>
          <w:rtl/>
        </w:rPr>
        <w:t xml:space="preserve"> </w:t>
      </w:r>
      <w:r>
        <w:rPr>
          <w:rFonts w:hint="cs"/>
          <w:rtl/>
        </w:rPr>
        <w:t xml:space="preserve">עד </w:t>
      </w:r>
      <w:r w:rsidRPr="00AD681E">
        <w:rPr>
          <w:rtl/>
        </w:rPr>
        <w:t>השבת</w:t>
      </w:r>
      <w:r>
        <w:rPr>
          <w:rFonts w:hint="cs"/>
          <w:rtl/>
        </w:rPr>
        <w:t>ם</w:t>
      </w:r>
      <w:r w:rsidRPr="00AD681E">
        <w:rPr>
          <w:rtl/>
        </w:rPr>
        <w:t xml:space="preserve"> ל</w:t>
      </w:r>
      <w:r>
        <w:rPr>
          <w:rFonts w:hint="cs"/>
          <w:rtl/>
        </w:rPr>
        <w:t>בעלים החוקיים</w:t>
      </w:r>
      <w:r>
        <w:rPr>
          <w:rStyle w:val="FootnoteReference"/>
          <w:rtl/>
        </w:rPr>
        <w:footnoteReference w:id="45"/>
      </w:r>
      <w:r>
        <w:rPr>
          <w:rFonts w:hint="cs"/>
          <w:rtl/>
        </w:rPr>
        <w:t xml:space="preserve">. אם הבעלים לא אותרו לאחר 25 שנה, </w:t>
      </w:r>
      <w:r w:rsidRPr="00AD681E">
        <w:rPr>
          <w:rtl/>
        </w:rPr>
        <w:t>מועבר</w:t>
      </w:r>
      <w:r>
        <w:rPr>
          <w:rFonts w:hint="cs"/>
          <w:rtl/>
        </w:rPr>
        <w:t>ים</w:t>
      </w:r>
      <w:r w:rsidRPr="00AD681E">
        <w:rPr>
          <w:rtl/>
        </w:rPr>
        <w:t xml:space="preserve"> ה</w:t>
      </w:r>
      <w:r>
        <w:rPr>
          <w:rFonts w:hint="cs"/>
          <w:rtl/>
        </w:rPr>
        <w:t>נכסים</w:t>
      </w:r>
      <w:r w:rsidRPr="00AD681E">
        <w:rPr>
          <w:rtl/>
        </w:rPr>
        <w:t xml:space="preserve"> לקניין המדינה</w:t>
      </w:r>
      <w:r>
        <w:rPr>
          <w:rStyle w:val="FootnoteReference"/>
          <w:rtl/>
        </w:rPr>
        <w:footnoteReference w:id="46"/>
      </w:r>
      <w:r w:rsidRPr="00AD681E">
        <w:rPr>
          <w:rtl/>
        </w:rPr>
        <w:t>.</w:t>
      </w:r>
    </w:p>
    <w:p w14:paraId="0AB11133" w14:textId="007E3859" w:rsidR="00C218DA" w:rsidRDefault="00C218DA" w:rsidP="004E073D">
      <w:pPr>
        <w:pStyle w:val="100"/>
        <w:rPr>
          <w:rtl/>
        </w:rPr>
      </w:pPr>
      <w:r w:rsidRPr="00ED2712">
        <w:rPr>
          <w:rtl/>
        </w:rPr>
        <w:t>במסגרת מאמצי הממשלה להרחיב את מאגר הדיור הציבורי</w:t>
      </w:r>
      <w:r>
        <w:rPr>
          <w:rFonts w:hint="cs"/>
          <w:rtl/>
        </w:rPr>
        <w:t>,</w:t>
      </w:r>
      <w:r w:rsidRPr="00ED2712">
        <w:rPr>
          <w:rFonts w:hint="cs"/>
          <w:rtl/>
        </w:rPr>
        <w:t xml:space="preserve"> </w:t>
      </w:r>
      <w:r>
        <w:rPr>
          <w:rFonts w:hint="cs"/>
          <w:rtl/>
        </w:rPr>
        <w:t>החליטה הממשלה ב</w:t>
      </w:r>
      <w:r w:rsidRPr="00486CBB">
        <w:rPr>
          <w:rFonts w:hint="cs"/>
          <w:rtl/>
        </w:rPr>
        <w:t xml:space="preserve">מאי </w:t>
      </w:r>
      <w:r>
        <w:rPr>
          <w:rFonts w:hint="cs"/>
          <w:rtl/>
        </w:rPr>
        <w:t>2018</w:t>
      </w:r>
      <w:r>
        <w:rPr>
          <w:rStyle w:val="FootnoteReference"/>
          <w:rtl/>
        </w:rPr>
        <w:footnoteReference w:id="47"/>
      </w:r>
      <w:r>
        <w:rPr>
          <w:rFonts w:hint="cs"/>
          <w:rtl/>
        </w:rPr>
        <w:t xml:space="preserve"> </w:t>
      </w:r>
      <w:r w:rsidRPr="00486CBB">
        <w:rPr>
          <w:rtl/>
        </w:rPr>
        <w:t>להטיל על החש</w:t>
      </w:r>
      <w:r>
        <w:rPr>
          <w:rFonts w:hint="cs"/>
          <w:rtl/>
        </w:rPr>
        <w:t>כ"ל</w:t>
      </w:r>
      <w:r w:rsidRPr="00486CBB">
        <w:rPr>
          <w:rtl/>
        </w:rPr>
        <w:t xml:space="preserve"> לגבש המלצות </w:t>
      </w:r>
      <w:r>
        <w:rPr>
          <w:rFonts w:hint="cs"/>
          <w:rtl/>
        </w:rPr>
        <w:t>ב</w:t>
      </w:r>
      <w:r w:rsidRPr="00486CBB">
        <w:rPr>
          <w:rtl/>
        </w:rPr>
        <w:t xml:space="preserve">עניין שימוש בדירות </w:t>
      </w:r>
      <w:r>
        <w:rPr>
          <w:rFonts w:hint="cs"/>
          <w:rtl/>
        </w:rPr>
        <w:t xml:space="preserve">העזובות </w:t>
      </w:r>
      <w:r w:rsidRPr="00486CBB">
        <w:rPr>
          <w:rtl/>
        </w:rPr>
        <w:t>ש</w:t>
      </w:r>
      <w:r>
        <w:rPr>
          <w:rFonts w:hint="cs"/>
          <w:rtl/>
        </w:rPr>
        <w:t>מ</w:t>
      </w:r>
      <w:r w:rsidRPr="00486CBB">
        <w:rPr>
          <w:rtl/>
        </w:rPr>
        <w:t>ועברו</w:t>
      </w:r>
      <w:r>
        <w:rPr>
          <w:rFonts w:hint="cs"/>
          <w:rtl/>
        </w:rPr>
        <w:t>ת</w:t>
      </w:r>
      <w:r w:rsidRPr="00486CBB">
        <w:rPr>
          <w:rtl/>
        </w:rPr>
        <w:t xml:space="preserve"> לקניין המדינה לצ</w:t>
      </w:r>
      <w:r>
        <w:rPr>
          <w:rFonts w:hint="cs"/>
          <w:rtl/>
        </w:rPr>
        <w:t>ו</w:t>
      </w:r>
      <w:r w:rsidRPr="00486CBB">
        <w:rPr>
          <w:rtl/>
        </w:rPr>
        <w:t xml:space="preserve">רכי </w:t>
      </w:r>
      <w:r>
        <w:rPr>
          <w:rFonts w:hint="cs"/>
          <w:rtl/>
        </w:rPr>
        <w:t>ה</w:t>
      </w:r>
      <w:r w:rsidRPr="00486CBB">
        <w:rPr>
          <w:rtl/>
        </w:rPr>
        <w:t xml:space="preserve">דיור </w:t>
      </w:r>
      <w:r>
        <w:rPr>
          <w:rFonts w:hint="cs"/>
          <w:rtl/>
        </w:rPr>
        <w:t>ה</w:t>
      </w:r>
      <w:r w:rsidRPr="00486CBB">
        <w:rPr>
          <w:rtl/>
        </w:rPr>
        <w:t>ציבורי</w:t>
      </w:r>
      <w:r>
        <w:rPr>
          <w:rtl/>
        </w:rPr>
        <w:t>.</w:t>
      </w:r>
      <w:r>
        <w:rPr>
          <w:rFonts w:hint="cs"/>
          <w:rtl/>
        </w:rPr>
        <w:t xml:space="preserve"> בכלל זה קבעה הממשלה כי החשכ"ל יתייחס בהמלצותיו ל</w:t>
      </w:r>
      <w:r w:rsidRPr="00486CBB">
        <w:rPr>
          <w:rtl/>
        </w:rPr>
        <w:t>התאמת הדירות לצ</w:t>
      </w:r>
      <w:r>
        <w:rPr>
          <w:rFonts w:hint="cs"/>
          <w:rtl/>
        </w:rPr>
        <w:t>ו</w:t>
      </w:r>
      <w:r w:rsidRPr="00486CBB">
        <w:rPr>
          <w:rtl/>
        </w:rPr>
        <w:t xml:space="preserve">רכי הדיור הציבורי, וזאת בהתחשב בשווי הדירות, בשימוש הנוכחי שלהן ובזכויות </w:t>
      </w:r>
      <w:r>
        <w:rPr>
          <w:rFonts w:hint="cs"/>
          <w:rtl/>
        </w:rPr>
        <w:t>של</w:t>
      </w:r>
      <w:r w:rsidRPr="00486CBB">
        <w:rPr>
          <w:rtl/>
        </w:rPr>
        <w:t xml:space="preserve"> </w:t>
      </w:r>
      <w:r>
        <w:rPr>
          <w:rFonts w:hint="cs"/>
          <w:rtl/>
        </w:rPr>
        <w:t>ה</w:t>
      </w:r>
      <w:r w:rsidRPr="00486CBB">
        <w:rPr>
          <w:rtl/>
        </w:rPr>
        <w:t xml:space="preserve">דיירים </w:t>
      </w:r>
      <w:r>
        <w:rPr>
          <w:rFonts w:hint="cs"/>
          <w:rtl/>
        </w:rPr>
        <w:t>ה</w:t>
      </w:r>
      <w:r w:rsidRPr="00486CBB">
        <w:rPr>
          <w:rtl/>
        </w:rPr>
        <w:t>נוכחיים וצדדים שלישיים</w:t>
      </w:r>
      <w:r>
        <w:rPr>
          <w:rFonts w:hint="cs"/>
          <w:rtl/>
        </w:rPr>
        <w:t>. בהחלטה נקבע כי ההמלצות יוגשו לשר האוצר בתוך 90 יום (עד אוגוסט 2018).</w:t>
      </w:r>
    </w:p>
    <w:p w14:paraId="45ED7558" w14:textId="77777777" w:rsidR="00C218DA" w:rsidRPr="006B4C0C" w:rsidRDefault="00C218DA" w:rsidP="004E073D">
      <w:pPr>
        <w:pStyle w:val="af5"/>
        <w:rPr>
          <w:rtl/>
        </w:rPr>
      </w:pPr>
      <w:r w:rsidRPr="006B4C0C">
        <w:rPr>
          <w:rFonts w:hint="cs"/>
          <w:rtl/>
        </w:rPr>
        <w:t xml:space="preserve">בביקורת נמצא כי נכון </w:t>
      </w:r>
      <w:r>
        <w:rPr>
          <w:rFonts w:hint="cs"/>
          <w:rtl/>
        </w:rPr>
        <w:t>לנובמבר</w:t>
      </w:r>
      <w:r w:rsidRPr="006B4C0C">
        <w:rPr>
          <w:rFonts w:hint="cs"/>
          <w:rtl/>
        </w:rPr>
        <w:t xml:space="preserve"> 2019, החש</w:t>
      </w:r>
      <w:r>
        <w:rPr>
          <w:rFonts w:hint="cs"/>
          <w:rtl/>
        </w:rPr>
        <w:t>כ"ל</w:t>
      </w:r>
      <w:r w:rsidRPr="006B4C0C">
        <w:rPr>
          <w:rFonts w:hint="cs"/>
          <w:rtl/>
        </w:rPr>
        <w:t xml:space="preserve"> </w:t>
      </w:r>
      <w:r>
        <w:rPr>
          <w:rFonts w:hint="cs"/>
          <w:rtl/>
        </w:rPr>
        <w:t>טרם</w:t>
      </w:r>
      <w:r w:rsidRPr="006B4C0C">
        <w:rPr>
          <w:rFonts w:hint="cs"/>
          <w:rtl/>
        </w:rPr>
        <w:t xml:space="preserve"> גיבש המלצות </w:t>
      </w:r>
      <w:r>
        <w:rPr>
          <w:rFonts w:hint="cs"/>
          <w:rtl/>
        </w:rPr>
        <w:t>בנושא וכאמור לא הגיש אותן לשר האוצר, אף שחלפה למעלה מ</w:t>
      </w:r>
      <w:r w:rsidRPr="006B4C0C">
        <w:rPr>
          <w:rFonts w:hint="cs"/>
          <w:rtl/>
        </w:rPr>
        <w:t xml:space="preserve">שנה </w:t>
      </w:r>
      <w:r>
        <w:rPr>
          <w:rFonts w:hint="cs"/>
          <w:rtl/>
        </w:rPr>
        <w:t>מ</w:t>
      </w:r>
      <w:r w:rsidRPr="006B4C0C">
        <w:rPr>
          <w:rFonts w:hint="cs"/>
          <w:rtl/>
        </w:rPr>
        <w:t xml:space="preserve">המועד שבו נדרש </w:t>
      </w:r>
      <w:r>
        <w:rPr>
          <w:rFonts w:hint="cs"/>
          <w:rtl/>
        </w:rPr>
        <w:t>לעשות כן.</w:t>
      </w:r>
      <w:r w:rsidRPr="006B4C0C">
        <w:rPr>
          <w:rFonts w:hint="cs"/>
          <w:rtl/>
        </w:rPr>
        <w:t xml:space="preserve"> </w:t>
      </w:r>
    </w:p>
    <w:p w14:paraId="51C64482" w14:textId="77777777" w:rsidR="00C218DA" w:rsidRDefault="00C218DA" w:rsidP="004E073D">
      <w:pPr>
        <w:pStyle w:val="100"/>
        <w:rPr>
          <w:rtl/>
        </w:rPr>
      </w:pPr>
      <w:r>
        <w:rPr>
          <w:rFonts w:hint="cs"/>
          <w:rtl/>
        </w:rPr>
        <w:t xml:space="preserve">מאגף החשכ"ל נמסר למשרד מבקר המדינה ביולי 2019 כי המשרד גיבש טיוטה של המלצות בנושא, אשר טרם אושרה על ידי הלשכה המשפטית במשרד האוצר והחשכ"ל וטרם הועברה לשר האוצר. עוד נמסר כי בשנים 2014 עד יוני 2019 הועברו לקניין המדינה רק 29 דירות עזובות, ומרביתן לא מתאימות לשמש כדירות ציבוריות בשל מיקומן, אופיין, איושן על ידי שוכרים קיימים ועוד. </w:t>
      </w:r>
    </w:p>
    <w:p w14:paraId="17117766" w14:textId="77777777" w:rsidR="00C218DA" w:rsidRDefault="00C218DA" w:rsidP="00AB7539">
      <w:pPr>
        <w:pStyle w:val="af5"/>
        <w:rPr>
          <w:rtl/>
        </w:rPr>
      </w:pPr>
      <w:r>
        <w:rPr>
          <w:rFonts w:hint="cs"/>
          <w:rtl/>
        </w:rPr>
        <w:t>על החשכ"ל לסיים את גיבוש המלצותיו על פי החלטת הממשלה ולהגישן לשר האוצר,</w:t>
      </w:r>
      <w:r w:rsidRPr="00510748">
        <w:rPr>
          <w:rFonts w:hint="cs"/>
          <w:rtl/>
        </w:rPr>
        <w:t xml:space="preserve"> </w:t>
      </w:r>
      <w:r>
        <w:rPr>
          <w:rFonts w:hint="cs"/>
          <w:rtl/>
        </w:rPr>
        <w:t xml:space="preserve">וזאת בהתחשב בהיתכנות שבהשבת הדירות האמורות לשוק הדיור הציבורי ובכדאיות הכלכלית שבכך. </w:t>
      </w:r>
    </w:p>
    <w:p w14:paraId="141E337D" w14:textId="77777777" w:rsidR="00C218DA" w:rsidRDefault="00C218DA" w:rsidP="00AB7539">
      <w:pPr>
        <w:pStyle w:val="aff1"/>
        <w:rPr>
          <w:rFonts w:ascii="Arial" w:hAnsi="Arial" w:cs="Arial"/>
          <w:rtl/>
        </w:rPr>
      </w:pPr>
      <w:r>
        <w:rPr>
          <w:rFonts w:hint="cs"/>
          <w:rtl/>
        </w:rPr>
        <w:t>✰</w:t>
      </w:r>
    </w:p>
    <w:p w14:paraId="442B388F" w14:textId="77777777" w:rsidR="00C218DA" w:rsidRPr="00CB16F9" w:rsidRDefault="00C218DA" w:rsidP="00AB7539">
      <w:pPr>
        <w:pStyle w:val="af5"/>
        <w:rPr>
          <w:rtl/>
        </w:rPr>
      </w:pPr>
      <w:r w:rsidRPr="00CB16F9">
        <w:rPr>
          <w:rFonts w:hint="cs"/>
          <w:rtl/>
        </w:rPr>
        <w:t>מ</w:t>
      </w:r>
      <w:r>
        <w:rPr>
          <w:rFonts w:hint="cs"/>
          <w:rtl/>
        </w:rPr>
        <w:t xml:space="preserve">ן האמור </w:t>
      </w:r>
      <w:r w:rsidRPr="00CB16F9">
        <w:rPr>
          <w:rFonts w:hint="cs"/>
          <w:rtl/>
        </w:rPr>
        <w:t>לעיל עולה כי</w:t>
      </w:r>
      <w:r>
        <w:rPr>
          <w:rFonts w:hint="cs"/>
          <w:rtl/>
        </w:rPr>
        <w:t xml:space="preserve"> </w:t>
      </w:r>
      <w:r w:rsidRPr="00CB16F9">
        <w:rPr>
          <w:rFonts w:hint="cs"/>
          <w:rtl/>
        </w:rPr>
        <w:t xml:space="preserve">המדינה </w:t>
      </w:r>
      <w:r>
        <w:rPr>
          <w:rFonts w:hint="cs"/>
          <w:rtl/>
        </w:rPr>
        <w:t>ניסתה</w:t>
      </w:r>
      <w:r w:rsidRPr="00CB16F9">
        <w:rPr>
          <w:rFonts w:hint="cs"/>
          <w:rtl/>
        </w:rPr>
        <w:t xml:space="preserve"> בדרכים שונות להוסיף דירות ציבוריות למאגר הדירות ולגוון את המקורות התקציביים לשם כך, </w:t>
      </w:r>
      <w:r>
        <w:rPr>
          <w:rFonts w:hint="cs"/>
          <w:rtl/>
        </w:rPr>
        <w:t>ויש לראות זאת בחיוב. ו</w:t>
      </w:r>
      <w:r w:rsidRPr="00CB16F9">
        <w:rPr>
          <w:rFonts w:hint="cs"/>
          <w:rtl/>
        </w:rPr>
        <w:t xml:space="preserve">אולם </w:t>
      </w:r>
      <w:r>
        <w:rPr>
          <w:rFonts w:hint="cs"/>
          <w:rtl/>
        </w:rPr>
        <w:t xml:space="preserve">נראה כי הלכה למעשה </w:t>
      </w:r>
      <w:r w:rsidRPr="00CB16F9">
        <w:rPr>
          <w:rFonts w:hint="cs"/>
          <w:rtl/>
        </w:rPr>
        <w:t xml:space="preserve">לא צפויה </w:t>
      </w:r>
      <w:r>
        <w:rPr>
          <w:rFonts w:hint="cs"/>
          <w:rtl/>
        </w:rPr>
        <w:t xml:space="preserve">בשנים הקרובות </w:t>
      </w:r>
      <w:r w:rsidRPr="00CB16F9">
        <w:rPr>
          <w:rFonts w:hint="cs"/>
          <w:rtl/>
        </w:rPr>
        <w:t xml:space="preserve">תוספת </w:t>
      </w:r>
      <w:r>
        <w:rPr>
          <w:rFonts w:hint="cs"/>
          <w:rtl/>
        </w:rPr>
        <w:t>ניכרת</w:t>
      </w:r>
      <w:r w:rsidRPr="00CB16F9">
        <w:rPr>
          <w:rFonts w:hint="cs"/>
          <w:rtl/>
        </w:rPr>
        <w:t xml:space="preserve"> של דירות ציבוריות </w:t>
      </w:r>
      <w:r>
        <w:rPr>
          <w:rFonts w:hint="cs"/>
          <w:rtl/>
        </w:rPr>
        <w:t>בעקבות פעולות אלו</w:t>
      </w:r>
      <w:r w:rsidRPr="00CB16F9">
        <w:rPr>
          <w:rFonts w:hint="cs"/>
          <w:rtl/>
        </w:rPr>
        <w:t>.</w:t>
      </w:r>
    </w:p>
    <w:p w14:paraId="4469EECE" w14:textId="77777777" w:rsidR="00C218DA" w:rsidRDefault="00C218DA" w:rsidP="00AB7539">
      <w:pPr>
        <w:pStyle w:val="af5"/>
        <w:rPr>
          <w:rtl/>
        </w:rPr>
      </w:pPr>
      <w:r w:rsidRPr="00CB16F9">
        <w:rPr>
          <w:rFonts w:hint="cs"/>
          <w:rtl/>
        </w:rPr>
        <w:t xml:space="preserve">נוכח האמור, </w:t>
      </w:r>
      <w:r>
        <w:rPr>
          <w:rFonts w:hint="cs"/>
          <w:rtl/>
        </w:rPr>
        <w:t>מוצע כי במסגרת עבודת מטה רחבה בנושא הדיור הציבורי, שעל הצורך בחידושה הומלץ בדוח זה, ייבחנו</w:t>
      </w:r>
      <w:r w:rsidRPr="00CB16F9">
        <w:rPr>
          <w:rFonts w:hint="cs"/>
          <w:rtl/>
        </w:rPr>
        <w:t xml:space="preserve"> דרכים </w:t>
      </w:r>
      <w:r>
        <w:rPr>
          <w:rFonts w:hint="cs"/>
          <w:rtl/>
        </w:rPr>
        <w:t>אחר</w:t>
      </w:r>
      <w:r w:rsidRPr="00CB16F9">
        <w:rPr>
          <w:rFonts w:hint="cs"/>
          <w:rtl/>
        </w:rPr>
        <w:t>ות להגדלת מאגר הדירות הציבוריות</w:t>
      </w:r>
      <w:r>
        <w:rPr>
          <w:rFonts w:hint="cs"/>
          <w:rtl/>
        </w:rPr>
        <w:t>,</w:t>
      </w:r>
      <w:r w:rsidRPr="00CB16F9">
        <w:rPr>
          <w:rFonts w:hint="cs"/>
          <w:rtl/>
        </w:rPr>
        <w:t xml:space="preserve"> </w:t>
      </w:r>
      <w:r>
        <w:rPr>
          <w:rFonts w:hint="cs"/>
          <w:rtl/>
        </w:rPr>
        <w:t>כדי</w:t>
      </w:r>
      <w:r w:rsidRPr="00CB16F9">
        <w:rPr>
          <w:rFonts w:hint="cs"/>
          <w:rtl/>
        </w:rPr>
        <w:t xml:space="preserve"> לתת מענה הולם ל</w:t>
      </w:r>
      <w:r>
        <w:rPr>
          <w:rFonts w:hint="cs"/>
          <w:rtl/>
        </w:rPr>
        <w:t>זכאים</w:t>
      </w:r>
      <w:r w:rsidRPr="00CB16F9">
        <w:rPr>
          <w:rFonts w:hint="cs"/>
          <w:rtl/>
        </w:rPr>
        <w:t xml:space="preserve"> לדיור ציבורי.</w:t>
      </w:r>
      <w:r>
        <w:rPr>
          <w:rFonts w:hint="cs"/>
          <w:rtl/>
        </w:rPr>
        <w:t xml:space="preserve"> </w:t>
      </w:r>
    </w:p>
    <w:p w14:paraId="0A3F39B8" w14:textId="77777777" w:rsidR="00C218DA" w:rsidRDefault="00C218DA" w:rsidP="00AB7539">
      <w:pPr>
        <w:pStyle w:val="316"/>
        <w:rPr>
          <w:rtl/>
        </w:rPr>
      </w:pPr>
      <w:r>
        <w:rPr>
          <w:rFonts w:hint="cs"/>
          <w:rtl/>
        </w:rPr>
        <w:lastRenderedPageBreak/>
        <w:t xml:space="preserve">היבטים בניהול </w:t>
      </w:r>
      <w:r w:rsidRPr="00FC0493">
        <w:rPr>
          <w:rFonts w:hint="cs"/>
          <w:rtl/>
        </w:rPr>
        <w:t>מאגר הדירות הציבוריות</w:t>
      </w:r>
      <w:r>
        <w:rPr>
          <w:rFonts w:hint="cs"/>
          <w:rtl/>
        </w:rPr>
        <w:t xml:space="preserve"> </w:t>
      </w:r>
    </w:p>
    <w:p w14:paraId="3258D027" w14:textId="77777777" w:rsidR="00C218DA" w:rsidRDefault="00C218DA" w:rsidP="00AB7539">
      <w:pPr>
        <w:pStyle w:val="100"/>
        <w:rPr>
          <w:rtl/>
        </w:rPr>
      </w:pPr>
      <w:r w:rsidRPr="002C24D5">
        <w:rPr>
          <w:rFonts w:hint="cs"/>
          <w:rtl/>
        </w:rPr>
        <w:t xml:space="preserve">נוכח המחסור בדירות ציבוריות </w:t>
      </w:r>
      <w:r>
        <w:rPr>
          <w:rFonts w:hint="cs"/>
          <w:rtl/>
        </w:rPr>
        <w:t xml:space="preserve">לצורכי דיור של הזכאים והעלויות הרבות הכרוכות ברכישת דירות נוספות, </w:t>
      </w:r>
      <w:r w:rsidRPr="002C24D5">
        <w:rPr>
          <w:rFonts w:hint="cs"/>
          <w:rtl/>
        </w:rPr>
        <w:t xml:space="preserve">ישנה חשיבות רבה לניהול </w:t>
      </w:r>
      <w:r>
        <w:rPr>
          <w:rFonts w:hint="cs"/>
          <w:rtl/>
        </w:rPr>
        <w:t>יעיל</w:t>
      </w:r>
      <w:r w:rsidRPr="002C24D5">
        <w:rPr>
          <w:rFonts w:hint="cs"/>
          <w:rtl/>
        </w:rPr>
        <w:t xml:space="preserve"> של מאגר הדירות</w:t>
      </w:r>
      <w:r>
        <w:rPr>
          <w:rFonts w:hint="cs"/>
          <w:rtl/>
        </w:rPr>
        <w:t xml:space="preserve"> הקיים ומיצוי הפוטנציאל שבו,</w:t>
      </w:r>
      <w:r w:rsidRPr="002C24D5">
        <w:rPr>
          <w:rFonts w:hint="cs"/>
          <w:rtl/>
        </w:rPr>
        <w:t xml:space="preserve"> </w:t>
      </w:r>
      <w:r>
        <w:rPr>
          <w:rFonts w:hint="cs"/>
          <w:rtl/>
        </w:rPr>
        <w:t xml:space="preserve">לשם מתן </w:t>
      </w:r>
      <w:r w:rsidRPr="002C24D5">
        <w:rPr>
          <w:rFonts w:hint="cs"/>
          <w:rtl/>
        </w:rPr>
        <w:t>מענה נרחב לצרכים של הזכאים הממתינים לדירה</w:t>
      </w:r>
      <w:r>
        <w:rPr>
          <w:rFonts w:hint="cs"/>
          <w:rtl/>
        </w:rPr>
        <w:t>.</w:t>
      </w:r>
      <w:r w:rsidRPr="002C24D5">
        <w:rPr>
          <w:rFonts w:hint="cs"/>
          <w:rtl/>
        </w:rPr>
        <w:t xml:space="preserve"> </w:t>
      </w:r>
    </w:p>
    <w:p w14:paraId="7EEB6B47" w14:textId="77777777" w:rsidR="00C218DA" w:rsidRPr="009747FD" w:rsidRDefault="00C218DA" w:rsidP="00AB7539">
      <w:pPr>
        <w:pStyle w:val="af5"/>
        <w:rPr>
          <w:rtl/>
        </w:rPr>
      </w:pPr>
      <w:r w:rsidRPr="009747FD">
        <w:rPr>
          <w:rFonts w:hint="cs"/>
          <w:rtl/>
        </w:rPr>
        <w:t xml:space="preserve">הועלה כי המשרד פועל בכמה דרכים למיצוי פוטנציאל הדירות במאגר הדיור הציבורי לטובת הזכאים. עם זאת, פוטנציאל הדירות עדיין אינו ממומש במלואו והמשרד אינו מנהל את המאגר באופן מיטבי דיו. להלן פירוט. </w:t>
      </w:r>
    </w:p>
    <w:p w14:paraId="1EB70C55" w14:textId="62BE955D" w:rsidR="00C218DA" w:rsidRDefault="00C218DA" w:rsidP="00AB7539">
      <w:pPr>
        <w:pStyle w:val="414"/>
        <w:rPr>
          <w:rtl/>
        </w:rPr>
      </w:pPr>
      <w:r>
        <w:rPr>
          <w:rFonts w:hint="cs"/>
          <w:rtl/>
        </w:rPr>
        <w:t xml:space="preserve">דירות המושכרות לגופים ציבוריים </w:t>
      </w:r>
    </w:p>
    <w:p w14:paraId="6F41D417" w14:textId="7E057D38" w:rsidR="00C218DA" w:rsidRDefault="00C218DA" w:rsidP="00AB7539">
      <w:pPr>
        <w:pStyle w:val="100"/>
        <w:rPr>
          <w:rtl/>
        </w:rPr>
      </w:pPr>
      <w:r>
        <w:rPr>
          <w:rFonts w:hint="cs"/>
          <w:rtl/>
        </w:rPr>
        <w:t>נוהל משרד הבינוי מאפשר השכרה של דירות ציבוריות לגופים ציבוריים, כמו</w:t>
      </w:r>
      <w:r w:rsidRPr="00A7454C">
        <w:rPr>
          <w:rtl/>
        </w:rPr>
        <w:t xml:space="preserve"> משרדי ממשלה, רשויות מקומיות </w:t>
      </w:r>
      <w:r>
        <w:rPr>
          <w:rFonts w:hint="cs"/>
          <w:rtl/>
        </w:rPr>
        <w:t>ו</w:t>
      </w:r>
      <w:r w:rsidRPr="00A7454C">
        <w:rPr>
          <w:rtl/>
        </w:rPr>
        <w:t xml:space="preserve">עמותות </w:t>
      </w:r>
      <w:r>
        <w:rPr>
          <w:rFonts w:hint="cs"/>
          <w:rtl/>
        </w:rPr>
        <w:t>(להלן - גופים ציבוריים) לטובת יעדים ציבוריים, כמו מוסדות חינוך, רווחה, מגורי סטודנטים</w:t>
      </w:r>
      <w:r>
        <w:rPr>
          <w:rStyle w:val="FootnoteReference"/>
          <w:rtl/>
        </w:rPr>
        <w:footnoteReference w:id="48"/>
      </w:r>
      <w:r>
        <w:rPr>
          <w:rFonts w:hint="cs"/>
          <w:rtl/>
        </w:rPr>
        <w:t xml:space="preserve"> וגרעינים התיישבותיים</w:t>
      </w:r>
      <w:r>
        <w:rPr>
          <w:rStyle w:val="FootnoteReference"/>
          <w:rtl/>
        </w:rPr>
        <w:footnoteReference w:id="49"/>
      </w:r>
      <w:r w:rsidRPr="00A7454C">
        <w:rPr>
          <w:rtl/>
        </w:rPr>
        <w:t>.</w:t>
      </w:r>
      <w:r>
        <w:rPr>
          <w:rFonts w:hint="cs"/>
          <w:rtl/>
        </w:rPr>
        <w:t xml:space="preserve"> בנוהל נקבע כי ניתן </w:t>
      </w:r>
      <w:r>
        <w:rPr>
          <w:rtl/>
        </w:rPr>
        <w:t>לייעד דירות</w:t>
      </w:r>
      <w:r>
        <w:rPr>
          <w:rFonts w:hint="cs"/>
          <w:rtl/>
        </w:rPr>
        <w:t xml:space="preserve"> לצרכים</w:t>
      </w:r>
      <w:r>
        <w:rPr>
          <w:rtl/>
        </w:rPr>
        <w:t xml:space="preserve"> </w:t>
      </w:r>
      <w:r>
        <w:rPr>
          <w:rFonts w:hint="cs"/>
          <w:rtl/>
        </w:rPr>
        <w:t>הללו (</w:t>
      </w:r>
      <w:r>
        <w:rPr>
          <w:rtl/>
        </w:rPr>
        <w:t>בשל היעדר</w:t>
      </w:r>
      <w:r>
        <w:rPr>
          <w:rFonts w:hint="cs"/>
          <w:rtl/>
        </w:rPr>
        <w:t xml:space="preserve"> </w:t>
      </w:r>
      <w:r>
        <w:rPr>
          <w:rtl/>
        </w:rPr>
        <w:t>מוסדות ציבוריים חלופיים</w:t>
      </w:r>
      <w:r>
        <w:rPr>
          <w:rFonts w:hint="cs"/>
          <w:rtl/>
        </w:rPr>
        <w:t xml:space="preserve">) </w:t>
      </w:r>
      <w:r>
        <w:rPr>
          <w:rtl/>
        </w:rPr>
        <w:t xml:space="preserve">בתנאי שהדירות לא נדרשות עבור </w:t>
      </w:r>
      <w:r>
        <w:rPr>
          <w:rFonts w:hint="cs"/>
          <w:rtl/>
        </w:rPr>
        <w:t>זכאים</w:t>
      </w:r>
      <w:r>
        <w:rPr>
          <w:rtl/>
        </w:rPr>
        <w:t>.</w:t>
      </w:r>
      <w:r>
        <w:rPr>
          <w:rFonts w:hint="cs"/>
          <w:rtl/>
        </w:rPr>
        <w:t xml:space="preserve"> על פי נתוני המשרד, נכון למאי 2019 הושכרו כ-1,800 דירות לגופים ציבוריים (כ-3.5% מהדירות הציבוריות). </w:t>
      </w:r>
      <w:r w:rsidRPr="008A614F">
        <w:rPr>
          <w:rFonts w:hint="cs"/>
          <w:rtl/>
        </w:rPr>
        <w:t xml:space="preserve">על פי הנוהל, </w:t>
      </w:r>
      <w:r w:rsidRPr="008A614F">
        <w:rPr>
          <w:rtl/>
        </w:rPr>
        <w:t xml:space="preserve">את ההחלטות על ההקצאות </w:t>
      </w:r>
      <w:r w:rsidRPr="008A614F">
        <w:rPr>
          <w:rFonts w:hint="cs"/>
          <w:rtl/>
        </w:rPr>
        <w:t>לצ</w:t>
      </w:r>
      <w:r>
        <w:rPr>
          <w:rFonts w:hint="cs"/>
          <w:rtl/>
        </w:rPr>
        <w:t>ו</w:t>
      </w:r>
      <w:r w:rsidRPr="008A614F">
        <w:rPr>
          <w:rFonts w:hint="cs"/>
          <w:rtl/>
        </w:rPr>
        <w:t xml:space="preserve">רכי ציבור </w:t>
      </w:r>
      <w:r w:rsidRPr="008A614F">
        <w:rPr>
          <w:rtl/>
        </w:rPr>
        <w:t>מקבלת ועדה משרדית</w:t>
      </w:r>
      <w:r w:rsidRPr="001F690C">
        <w:rPr>
          <w:rFonts w:hint="cs"/>
          <w:rtl/>
        </w:rPr>
        <w:t xml:space="preserve">. </w:t>
      </w:r>
      <w:r w:rsidRPr="001F690C">
        <w:rPr>
          <w:rtl/>
        </w:rPr>
        <w:t xml:space="preserve">בתום תקופת השכירות </w:t>
      </w:r>
      <w:r w:rsidRPr="001F690C">
        <w:rPr>
          <w:rFonts w:hint="cs"/>
          <w:rtl/>
        </w:rPr>
        <w:t>שנקבעה</w:t>
      </w:r>
      <w:r>
        <w:rPr>
          <w:rFonts w:hint="cs"/>
          <w:rtl/>
        </w:rPr>
        <w:t>,</w:t>
      </w:r>
      <w:r w:rsidRPr="001F690C">
        <w:rPr>
          <w:rFonts w:hint="cs"/>
          <w:rtl/>
        </w:rPr>
        <w:t xml:space="preserve"> על </w:t>
      </w:r>
      <w:r w:rsidRPr="001F690C">
        <w:rPr>
          <w:rtl/>
        </w:rPr>
        <w:t>ה</w:t>
      </w:r>
      <w:r w:rsidRPr="001F690C">
        <w:rPr>
          <w:rFonts w:hint="cs"/>
          <w:rtl/>
        </w:rPr>
        <w:t>וועדה</w:t>
      </w:r>
      <w:r w:rsidRPr="001F690C">
        <w:rPr>
          <w:rtl/>
        </w:rPr>
        <w:t xml:space="preserve"> ל</w:t>
      </w:r>
      <w:r w:rsidRPr="001F690C">
        <w:rPr>
          <w:rFonts w:hint="cs"/>
          <w:rtl/>
        </w:rPr>
        <w:t>דון</w:t>
      </w:r>
      <w:r w:rsidRPr="001F690C">
        <w:rPr>
          <w:rtl/>
        </w:rPr>
        <w:t xml:space="preserve"> </w:t>
      </w:r>
      <w:r w:rsidRPr="001F690C">
        <w:rPr>
          <w:rFonts w:hint="cs"/>
          <w:rtl/>
        </w:rPr>
        <w:t xml:space="preserve">בבקשות להארכת </w:t>
      </w:r>
      <w:r w:rsidRPr="001F690C">
        <w:rPr>
          <w:rtl/>
        </w:rPr>
        <w:t>תקופת השכירות</w:t>
      </w:r>
      <w:r>
        <w:rPr>
          <w:rFonts w:hint="cs"/>
          <w:rtl/>
        </w:rPr>
        <w:t xml:space="preserve"> (</w:t>
      </w:r>
      <w:r w:rsidRPr="001F690C">
        <w:rPr>
          <w:rFonts w:hint="cs"/>
          <w:rtl/>
        </w:rPr>
        <w:t xml:space="preserve">אם </w:t>
      </w:r>
      <w:r>
        <w:rPr>
          <w:rFonts w:hint="cs"/>
          <w:rtl/>
        </w:rPr>
        <w:t xml:space="preserve">אכן </w:t>
      </w:r>
      <w:r w:rsidRPr="001F690C">
        <w:rPr>
          <w:rFonts w:hint="cs"/>
          <w:rtl/>
        </w:rPr>
        <w:t>הוגשו</w:t>
      </w:r>
      <w:r>
        <w:rPr>
          <w:rFonts w:hint="cs"/>
          <w:rtl/>
        </w:rPr>
        <w:t>)</w:t>
      </w:r>
      <w:r w:rsidRPr="001F690C">
        <w:rPr>
          <w:rFonts w:hint="cs"/>
          <w:rtl/>
        </w:rPr>
        <w:t xml:space="preserve"> </w:t>
      </w:r>
      <w:r w:rsidRPr="001F690C">
        <w:rPr>
          <w:rtl/>
        </w:rPr>
        <w:t>או לחלופין לדרוש את פינוי הדירה ולהחזירה למאגר הדיור הציבורי</w:t>
      </w:r>
      <w:r w:rsidRPr="001F690C">
        <w:rPr>
          <w:rFonts w:hint="cs"/>
          <w:rtl/>
        </w:rPr>
        <w:t xml:space="preserve"> לטובת</w:t>
      </w:r>
      <w:r>
        <w:rPr>
          <w:rFonts w:hint="cs"/>
          <w:rtl/>
        </w:rPr>
        <w:t xml:space="preserve"> אכלוס הזכאים</w:t>
      </w:r>
      <w:r w:rsidRPr="008A614F">
        <w:rPr>
          <w:rtl/>
        </w:rPr>
        <w:t>.</w:t>
      </w:r>
      <w:r w:rsidRPr="008A614F">
        <w:rPr>
          <w:rFonts w:hint="cs"/>
          <w:rtl/>
        </w:rPr>
        <w:t xml:space="preserve"> </w:t>
      </w:r>
    </w:p>
    <w:p w14:paraId="7FF92C2D" w14:textId="61A05F63" w:rsidR="00C218DA" w:rsidRDefault="00C218DA" w:rsidP="00AB7539">
      <w:pPr>
        <w:pStyle w:val="100"/>
        <w:rPr>
          <w:rtl/>
        </w:rPr>
      </w:pPr>
      <w:r>
        <w:rPr>
          <w:rFonts w:hint="cs"/>
          <w:rtl/>
        </w:rPr>
        <w:t>בתקופה שנבדקה (2017 - 2018) קיימה הוועדה האמורה דיונים עיתיים בנוגע לדירות המושכרות לשוכרים ציבוריים, ובהם נבחנו בקשות השוכרים להאריך את מועד ההשכרה. יצוין כי בחלק מהמקרים הוועדה לא אישרה את הארכת השכירות וקבעה כי הדירה תועבר לצורך אכלוס זכאי הדיור הציבורי.</w:t>
      </w:r>
    </w:p>
    <w:p w14:paraId="24C997BA" w14:textId="35299B1F" w:rsidR="00C218DA" w:rsidRDefault="00C218DA" w:rsidP="00AB7539">
      <w:pPr>
        <w:pStyle w:val="100"/>
        <w:rPr>
          <w:rtl/>
        </w:rPr>
      </w:pPr>
      <w:r>
        <w:rPr>
          <w:rFonts w:hint="cs"/>
          <w:sz w:val="24"/>
          <w:rtl/>
        </w:rPr>
        <w:t>יודגש כי כבר בדוח מבקר המדינה מ-2013 נבדק נושא השכרת הדירות הציבוריות לגופים ציבוריים</w:t>
      </w:r>
      <w:r>
        <w:rPr>
          <w:rStyle w:val="FootnoteReference"/>
          <w:sz w:val="24"/>
          <w:rtl/>
        </w:rPr>
        <w:footnoteReference w:id="50"/>
      </w:r>
      <w:r>
        <w:rPr>
          <w:rFonts w:hint="cs"/>
          <w:sz w:val="24"/>
          <w:rtl/>
        </w:rPr>
        <w:t xml:space="preserve">. הבדיקה העלתה כי באותה העת </w:t>
      </w:r>
      <w:r>
        <w:rPr>
          <w:rFonts w:hint="cs"/>
          <w:rtl/>
        </w:rPr>
        <w:t xml:space="preserve">הושכרו </w:t>
      </w:r>
      <w:r w:rsidRPr="00A7454C">
        <w:rPr>
          <w:rtl/>
        </w:rPr>
        <w:t>לגופים ציבוריים כ-2,300 מתוך כ-63,500 הדירות ש</w:t>
      </w:r>
      <w:r>
        <w:rPr>
          <w:rFonts w:hint="cs"/>
          <w:rtl/>
        </w:rPr>
        <w:t xml:space="preserve">היו אז </w:t>
      </w:r>
      <w:r w:rsidRPr="00A7454C">
        <w:rPr>
          <w:rtl/>
        </w:rPr>
        <w:t>במאגר הדיור הציבורי</w:t>
      </w:r>
      <w:r>
        <w:rPr>
          <w:rFonts w:hint="cs"/>
          <w:rtl/>
        </w:rPr>
        <w:t xml:space="preserve"> (כ-4% מהדירות) - </w:t>
      </w:r>
      <w:r w:rsidRPr="00510748">
        <w:rPr>
          <w:rtl/>
        </w:rPr>
        <w:t xml:space="preserve">כשליש מתוך הדירות </w:t>
      </w:r>
      <w:r>
        <w:rPr>
          <w:rFonts w:hint="cs"/>
          <w:rtl/>
        </w:rPr>
        <w:t xml:space="preserve">האלו </w:t>
      </w:r>
      <w:r w:rsidRPr="00510748">
        <w:rPr>
          <w:rtl/>
        </w:rPr>
        <w:t>הושכרו לרשויות מקומיות, כרבע מהן הושכרו למוסדות לימוד והיתר הושכרו לבתי חולים, למשרדי ממשלה ולגופים אחרים</w:t>
      </w:r>
      <w:r>
        <w:rPr>
          <w:rFonts w:hint="cs"/>
          <w:rtl/>
        </w:rPr>
        <w:t xml:space="preserve">. מבקר המדינה קבע אז כי </w:t>
      </w:r>
      <w:r>
        <w:rPr>
          <w:rtl/>
        </w:rPr>
        <w:t>"חיוני ביותר שהמשרד יבחן מחדש את מכלול</w:t>
      </w:r>
      <w:r>
        <w:rPr>
          <w:rFonts w:hint="cs"/>
          <w:rtl/>
        </w:rPr>
        <w:t xml:space="preserve"> </w:t>
      </w:r>
      <w:r>
        <w:rPr>
          <w:rtl/>
        </w:rPr>
        <w:t>ההקצאות שנעשו בעבר בעבור שוכרים שאינם זכאים</w:t>
      </w:r>
      <w:r>
        <w:rPr>
          <w:rFonts w:hint="cs"/>
          <w:rtl/>
        </w:rPr>
        <w:t xml:space="preserve">... </w:t>
      </w:r>
      <w:r>
        <w:rPr>
          <w:rtl/>
        </w:rPr>
        <w:t>וישיב את</w:t>
      </w:r>
      <w:r>
        <w:rPr>
          <w:rFonts w:hint="cs"/>
          <w:rtl/>
        </w:rPr>
        <w:t xml:space="preserve"> </w:t>
      </w:r>
      <w:r>
        <w:rPr>
          <w:rtl/>
        </w:rPr>
        <w:t xml:space="preserve">הדירות </w:t>
      </w:r>
      <w:r w:rsidR="00AB7539">
        <w:rPr>
          <w:rtl/>
        </w:rPr>
        <w:t>למאגר הדיור הציבורי".</w:t>
      </w:r>
    </w:p>
    <w:p w14:paraId="64CE790F" w14:textId="77777777" w:rsidR="00C218DA" w:rsidRDefault="00C218DA" w:rsidP="00AB7539">
      <w:pPr>
        <w:pStyle w:val="100"/>
        <w:rPr>
          <w:rtl/>
        </w:rPr>
      </w:pPr>
      <w:r>
        <w:rPr>
          <w:rFonts w:hint="cs"/>
          <w:rtl/>
        </w:rPr>
        <w:lastRenderedPageBreak/>
        <w:t>בעקבות דוח מבקר המדינה החל המשרד לפעול ביתר שאת למיצוי פוטנציאל מאגר הדירות לטובת מגורי הזכאים, ובכלל זה פינוי חלק מהשוכרים הציבוריים, תוך התמקדות</w:t>
      </w:r>
      <w:r>
        <w:rPr>
          <w:rtl/>
        </w:rPr>
        <w:t xml:space="preserve"> </w:t>
      </w:r>
      <w:r>
        <w:rPr>
          <w:rFonts w:hint="cs"/>
          <w:rtl/>
        </w:rPr>
        <w:t>ב</w:t>
      </w:r>
      <w:r>
        <w:rPr>
          <w:rtl/>
        </w:rPr>
        <w:t>דירות הנמצאות בי</w:t>
      </w:r>
      <w:r>
        <w:rPr>
          <w:rFonts w:hint="cs"/>
          <w:rtl/>
        </w:rPr>
        <w:t>י</w:t>
      </w:r>
      <w:r>
        <w:rPr>
          <w:rtl/>
        </w:rPr>
        <w:t xml:space="preserve">שובים </w:t>
      </w:r>
      <w:r>
        <w:rPr>
          <w:rFonts w:hint="cs"/>
          <w:rtl/>
        </w:rPr>
        <w:t>ש</w:t>
      </w:r>
      <w:r>
        <w:rPr>
          <w:rtl/>
        </w:rPr>
        <w:t xml:space="preserve">בהם </w:t>
      </w:r>
      <w:r>
        <w:rPr>
          <w:rFonts w:hint="cs"/>
          <w:rtl/>
        </w:rPr>
        <w:t>היה</w:t>
      </w:r>
      <w:r>
        <w:rPr>
          <w:rtl/>
        </w:rPr>
        <w:t xml:space="preserve"> מחסור בדירות</w:t>
      </w:r>
      <w:r>
        <w:rPr>
          <w:rFonts w:hint="cs"/>
          <w:rtl/>
        </w:rPr>
        <w:t xml:space="preserve"> ציבוריות. </w:t>
      </w:r>
    </w:p>
    <w:p w14:paraId="3CE4CFA4" w14:textId="207FAE3A" w:rsidR="00C218DA" w:rsidRDefault="00C218DA" w:rsidP="00AB7539">
      <w:pPr>
        <w:pStyle w:val="100"/>
        <w:rPr>
          <w:rtl/>
        </w:rPr>
      </w:pPr>
      <w:r>
        <w:rPr>
          <w:rFonts w:hint="cs"/>
          <w:rtl/>
        </w:rPr>
        <w:t>ע</w:t>
      </w:r>
      <w:r w:rsidRPr="00566FB2">
        <w:rPr>
          <w:rFonts w:hint="cs"/>
          <w:rtl/>
        </w:rPr>
        <w:t>ל</w:t>
      </w:r>
      <w:r>
        <w:rPr>
          <w:rFonts w:hint="cs"/>
          <w:rtl/>
        </w:rPr>
        <w:t xml:space="preserve"> </w:t>
      </w:r>
      <w:r w:rsidRPr="00566FB2">
        <w:rPr>
          <w:rFonts w:hint="cs"/>
          <w:rtl/>
        </w:rPr>
        <w:t>פי נתוני משרד הבינוי</w:t>
      </w:r>
      <w:r>
        <w:rPr>
          <w:rFonts w:hint="cs"/>
          <w:rtl/>
        </w:rPr>
        <w:t>, מאז פורסם דוח מבקר המדינה בנושא ב-2013 הועברו כ-480 דירות שהושכרו לגופים ציבוריים לטובת מגורי הזכאים או נמכרו ותמורתן הועברה לקרן לדיור ציבורי לרכישת דירות חדשות. כאמור, במאי</w:t>
      </w:r>
      <w:r w:rsidRPr="00566FB2">
        <w:rPr>
          <w:rFonts w:hint="cs"/>
          <w:rtl/>
        </w:rPr>
        <w:t xml:space="preserve"> 2019 </w:t>
      </w:r>
      <w:r>
        <w:rPr>
          <w:rFonts w:hint="cs"/>
          <w:rtl/>
        </w:rPr>
        <w:t xml:space="preserve">השכיר המשרד כ-1,800 </w:t>
      </w:r>
      <w:r w:rsidRPr="00566FB2">
        <w:rPr>
          <w:rFonts w:hint="cs"/>
          <w:rtl/>
        </w:rPr>
        <w:t>דירות לגופים ציבוריים</w:t>
      </w:r>
      <w:r>
        <w:rPr>
          <w:rFonts w:hint="cs"/>
          <w:rtl/>
        </w:rPr>
        <w:t xml:space="preserve">. 340 מהן נבנו </w:t>
      </w:r>
      <w:r>
        <w:rPr>
          <w:rtl/>
        </w:rPr>
        <w:t>מלכתחילה על קרקע</w:t>
      </w:r>
      <w:r>
        <w:rPr>
          <w:rFonts w:hint="cs"/>
          <w:rtl/>
        </w:rPr>
        <w:t xml:space="preserve"> </w:t>
      </w:r>
      <w:r>
        <w:rPr>
          <w:rtl/>
        </w:rPr>
        <w:t>שייעודה למטרות ציבוריות</w:t>
      </w:r>
      <w:r>
        <w:rPr>
          <w:rFonts w:hint="cs"/>
          <w:rtl/>
        </w:rPr>
        <w:t xml:space="preserve">, ולפי עמדת המשרד, הדירות האלה אינן רלוונטיות למגורים מסיבה זו. מתוך כ-1,460 הדירות הנותרות, בכ-190 דירות הגיע המשרד להסדרים עם הגופים הציבוריים בדבר מועד העברתן למשרד לטובת זכאי הדיור הציבורי ובנוגע לכ-340 </w:t>
      </w:r>
      <w:r w:rsidRPr="00C3349F">
        <w:rPr>
          <w:rtl/>
        </w:rPr>
        <w:t xml:space="preserve">דירות במתחם בית החולים </w:t>
      </w:r>
      <w:r>
        <w:rPr>
          <w:rFonts w:hint="cs"/>
          <w:rtl/>
        </w:rPr>
        <w:t xml:space="preserve">שיבא </w:t>
      </w:r>
      <w:r w:rsidRPr="00C3349F">
        <w:rPr>
          <w:rtl/>
        </w:rPr>
        <w:t>המיועדות להריסה</w:t>
      </w:r>
      <w:r>
        <w:rPr>
          <w:rFonts w:hint="cs"/>
          <w:rtl/>
        </w:rPr>
        <w:t>,</w:t>
      </w:r>
      <w:r w:rsidRPr="00C3349F">
        <w:rPr>
          <w:rtl/>
        </w:rPr>
        <w:t xml:space="preserve"> </w:t>
      </w:r>
      <w:r>
        <w:rPr>
          <w:rFonts w:hint="cs"/>
          <w:rtl/>
        </w:rPr>
        <w:t xml:space="preserve">מנוהל הליך של </w:t>
      </w:r>
      <w:r w:rsidRPr="00C3349F">
        <w:rPr>
          <w:rtl/>
        </w:rPr>
        <w:t xml:space="preserve">יישוב </w:t>
      </w:r>
      <w:r>
        <w:rPr>
          <w:rFonts w:hint="cs"/>
          <w:rtl/>
        </w:rPr>
        <w:t>מחלוקת</w:t>
      </w:r>
      <w:r w:rsidRPr="00837BDF">
        <w:rPr>
          <w:rtl/>
        </w:rPr>
        <w:t xml:space="preserve"> </w:t>
      </w:r>
      <w:r w:rsidRPr="00837BDF">
        <w:rPr>
          <w:rFonts w:hint="eastAsia"/>
          <w:rtl/>
        </w:rPr>
        <w:t>בין</w:t>
      </w:r>
      <w:r w:rsidRPr="00837BDF">
        <w:rPr>
          <w:rtl/>
        </w:rPr>
        <w:t xml:space="preserve"> </w:t>
      </w:r>
      <w:r w:rsidRPr="00837BDF">
        <w:rPr>
          <w:rFonts w:hint="eastAsia"/>
          <w:rtl/>
        </w:rPr>
        <w:t>משרד</w:t>
      </w:r>
      <w:r w:rsidRPr="00837BDF">
        <w:rPr>
          <w:rtl/>
        </w:rPr>
        <w:t xml:space="preserve"> הבינוי לבין </w:t>
      </w:r>
      <w:r w:rsidRPr="00837BDF">
        <w:rPr>
          <w:rFonts w:hint="eastAsia"/>
          <w:rtl/>
        </w:rPr>
        <w:t>רמ</w:t>
      </w:r>
      <w:r w:rsidRPr="00837BDF">
        <w:rPr>
          <w:rtl/>
        </w:rPr>
        <w:t>"י</w:t>
      </w:r>
      <w:r w:rsidRPr="00837BDF">
        <w:rPr>
          <w:rFonts w:hint="cs"/>
          <w:rtl/>
        </w:rPr>
        <w:t xml:space="preserve"> </w:t>
      </w:r>
      <w:r>
        <w:rPr>
          <w:rFonts w:hint="cs"/>
          <w:rtl/>
        </w:rPr>
        <w:t xml:space="preserve">בפני המשנה ליועץ המשפטי לממשלה </w:t>
      </w:r>
      <w:r w:rsidRPr="00837BDF">
        <w:rPr>
          <w:rtl/>
        </w:rPr>
        <w:t>בנוגע לחלוקת</w:t>
      </w:r>
      <w:r w:rsidRPr="00C3349F">
        <w:rPr>
          <w:rtl/>
        </w:rPr>
        <w:t xml:space="preserve"> הפיצוי שיתקבל מ</w:t>
      </w:r>
      <w:r>
        <w:rPr>
          <w:rFonts w:hint="cs"/>
          <w:rtl/>
        </w:rPr>
        <w:t xml:space="preserve">רמ"י </w:t>
      </w:r>
      <w:r w:rsidRPr="00C3349F">
        <w:rPr>
          <w:rtl/>
        </w:rPr>
        <w:t>בעקבות שיווק ה</w:t>
      </w:r>
      <w:r>
        <w:rPr>
          <w:rFonts w:hint="cs"/>
          <w:rtl/>
        </w:rPr>
        <w:t xml:space="preserve">קרקע במתחם. יתר 930 הדירות (כ-1.5% מהדירות הציבוריות) הושכרו לגופים ציבוריים ללא הסדר עתידי בדבר מועד העברתן למשרד לטובת זכאי הדיור הציבורי, זאת לאחר שהמשרד בחן את הבקשות להארכת השכירות שהגישו הגופים ואישר אותן. בלוח 4 שלהלן מובא פירוט הסטטוס של 1,800 הדירות המושכרות לגופים ציבוריים: </w:t>
      </w:r>
    </w:p>
    <w:p w14:paraId="30FEA5BD" w14:textId="77777777" w:rsidR="00C218DA" w:rsidRPr="00DC0C84" w:rsidRDefault="00C218DA" w:rsidP="00AB7539">
      <w:pPr>
        <w:pStyle w:val="aa"/>
      </w:pPr>
      <w:r w:rsidRPr="00667405">
        <w:rPr>
          <w:rtl/>
        </w:rPr>
        <w:t xml:space="preserve">לוח 4: </w:t>
      </w:r>
      <w:r w:rsidRPr="00AB7539">
        <w:rPr>
          <w:rFonts w:hint="cs"/>
          <w:b/>
          <w:bCs/>
          <w:rtl/>
        </w:rPr>
        <w:t xml:space="preserve">סטטוס </w:t>
      </w:r>
      <w:r w:rsidRPr="00AB7539">
        <w:rPr>
          <w:b/>
          <w:bCs/>
          <w:rtl/>
        </w:rPr>
        <w:t>הדירות המושכרות לגופים ציבוריים</w:t>
      </w:r>
      <w:r w:rsidRPr="00AB7539">
        <w:rPr>
          <w:rFonts w:hint="cs"/>
          <w:b/>
          <w:bCs/>
          <w:rtl/>
        </w:rPr>
        <w:t>, 2019</w:t>
      </w:r>
    </w:p>
    <w:tbl>
      <w:tblPr>
        <w:bidiVisual/>
        <w:tblW w:w="5281" w:type="dxa"/>
        <w:jc w:val="center"/>
        <w:tblCellMar>
          <w:left w:w="0" w:type="dxa"/>
          <w:right w:w="0" w:type="dxa"/>
        </w:tblCellMar>
        <w:tblLook w:val="04A0" w:firstRow="1" w:lastRow="0" w:firstColumn="1" w:lastColumn="0" w:noHBand="0" w:noVBand="1"/>
      </w:tblPr>
      <w:tblGrid>
        <w:gridCol w:w="3721"/>
        <w:gridCol w:w="1560"/>
      </w:tblGrid>
      <w:tr w:rsidR="00C218DA" w:rsidRPr="007001CD" w14:paraId="343C0E41" w14:textId="77777777" w:rsidTr="00AB7539">
        <w:trPr>
          <w:jc w:val="center"/>
        </w:trPr>
        <w:tc>
          <w:tcPr>
            <w:tcW w:w="3721"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268BDE20" w14:textId="77777777" w:rsidR="00C218DA" w:rsidRPr="00652F7B" w:rsidRDefault="00C218DA" w:rsidP="00AB7539">
            <w:pPr>
              <w:pStyle w:val="af1"/>
            </w:pPr>
            <w:r>
              <w:rPr>
                <w:rFonts w:hint="cs"/>
                <w:rtl/>
              </w:rPr>
              <w:t>ה</w:t>
            </w:r>
            <w:r w:rsidRPr="00652F7B">
              <w:rPr>
                <w:rFonts w:hint="eastAsia"/>
                <w:rtl/>
              </w:rPr>
              <w:t>סטטוס</w:t>
            </w:r>
          </w:p>
        </w:tc>
        <w:tc>
          <w:tcPr>
            <w:tcW w:w="156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5ED53416" w14:textId="77777777" w:rsidR="00C218DA" w:rsidRPr="00652F7B" w:rsidRDefault="00C218DA" w:rsidP="00AB7539">
            <w:pPr>
              <w:pStyle w:val="af1"/>
              <w:rPr>
                <w:rtl/>
              </w:rPr>
            </w:pPr>
            <w:r w:rsidRPr="00652F7B">
              <w:rPr>
                <w:rFonts w:hint="eastAsia"/>
                <w:rtl/>
              </w:rPr>
              <w:t>מספר</w:t>
            </w:r>
            <w:r w:rsidRPr="00652F7B">
              <w:rPr>
                <w:rtl/>
              </w:rPr>
              <w:t xml:space="preserve"> </w:t>
            </w:r>
            <w:r>
              <w:rPr>
                <w:rFonts w:hint="cs"/>
                <w:rtl/>
              </w:rPr>
              <w:t>ה</w:t>
            </w:r>
            <w:r w:rsidRPr="00652F7B">
              <w:rPr>
                <w:rFonts w:hint="eastAsia"/>
                <w:rtl/>
              </w:rPr>
              <w:t>דירות</w:t>
            </w:r>
          </w:p>
        </w:tc>
      </w:tr>
      <w:tr w:rsidR="00C218DA" w:rsidRPr="007001CD" w14:paraId="1C2D50BA" w14:textId="77777777" w:rsidTr="005138F5">
        <w:trPr>
          <w:jc w:val="center"/>
        </w:trPr>
        <w:tc>
          <w:tcPr>
            <w:tcW w:w="37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FB9A6B" w14:textId="77777777" w:rsidR="00C218DA" w:rsidRPr="00652F7B" w:rsidRDefault="00C218DA" w:rsidP="00AB7539">
            <w:pPr>
              <w:pStyle w:val="R"/>
              <w:rPr>
                <w:rtl/>
              </w:rPr>
            </w:pPr>
            <w:r w:rsidRPr="00652F7B">
              <w:rPr>
                <w:rFonts w:hint="eastAsia"/>
                <w:rtl/>
              </w:rPr>
              <w:t>קרקע</w:t>
            </w:r>
            <w:r w:rsidRPr="00652F7B">
              <w:rPr>
                <w:rtl/>
              </w:rPr>
              <w:t xml:space="preserve"> </w:t>
            </w:r>
            <w:r w:rsidRPr="00652F7B">
              <w:rPr>
                <w:rFonts w:hint="eastAsia"/>
                <w:rtl/>
              </w:rPr>
              <w:t>שייעודה</w:t>
            </w:r>
            <w:r w:rsidRPr="00652F7B">
              <w:rPr>
                <w:rtl/>
              </w:rPr>
              <w:t xml:space="preserve"> </w:t>
            </w:r>
            <w:r w:rsidRPr="00652F7B">
              <w:rPr>
                <w:rFonts w:hint="eastAsia"/>
                <w:rtl/>
              </w:rPr>
              <w:t>למטרות</w:t>
            </w:r>
            <w:r w:rsidRPr="00652F7B">
              <w:rPr>
                <w:rtl/>
              </w:rPr>
              <w:t xml:space="preserve"> </w:t>
            </w:r>
            <w:r w:rsidRPr="00652F7B">
              <w:rPr>
                <w:rFonts w:hint="eastAsia"/>
                <w:rtl/>
              </w:rPr>
              <w:t>ציבוריות</w:t>
            </w:r>
            <w:r w:rsidRPr="00652F7B">
              <w:rPr>
                <w:rtl/>
              </w:rPr>
              <w:t xml:space="preserve"> - </w:t>
            </w:r>
            <w:r w:rsidRPr="00652F7B">
              <w:rPr>
                <w:rFonts w:hint="eastAsia"/>
                <w:rtl/>
              </w:rPr>
              <w:t>אינן</w:t>
            </w:r>
            <w:r w:rsidRPr="00652F7B">
              <w:rPr>
                <w:rtl/>
              </w:rPr>
              <w:t xml:space="preserve"> </w:t>
            </w:r>
            <w:r w:rsidRPr="00652F7B">
              <w:rPr>
                <w:rFonts w:hint="eastAsia"/>
                <w:rtl/>
              </w:rPr>
              <w:t>רלוונטיות</w:t>
            </w:r>
            <w:r w:rsidRPr="00652F7B">
              <w:rPr>
                <w:rtl/>
              </w:rPr>
              <w:t xml:space="preserve"> </w:t>
            </w:r>
            <w:r w:rsidRPr="00652F7B">
              <w:rPr>
                <w:rFonts w:hint="eastAsia"/>
                <w:rtl/>
              </w:rPr>
              <w:t>למגורים</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155FEDAA" w14:textId="77777777" w:rsidR="00C218DA" w:rsidRPr="00652F7B" w:rsidRDefault="00C218DA" w:rsidP="00AB7539">
            <w:pPr>
              <w:pStyle w:val="R"/>
              <w:rPr>
                <w:rtl/>
              </w:rPr>
            </w:pPr>
            <w:r w:rsidRPr="00652F7B">
              <w:rPr>
                <w:rtl/>
              </w:rPr>
              <w:t>340</w:t>
            </w:r>
          </w:p>
        </w:tc>
      </w:tr>
      <w:tr w:rsidR="00C218DA" w:rsidRPr="007001CD" w14:paraId="431E5729" w14:textId="77777777" w:rsidTr="005138F5">
        <w:trPr>
          <w:jc w:val="center"/>
        </w:trPr>
        <w:tc>
          <w:tcPr>
            <w:tcW w:w="37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7EAB5E" w14:textId="77777777" w:rsidR="00C218DA" w:rsidRPr="00652F7B" w:rsidRDefault="00C218DA" w:rsidP="00AB7539">
            <w:pPr>
              <w:pStyle w:val="R"/>
              <w:rPr>
                <w:rtl/>
              </w:rPr>
            </w:pPr>
            <w:r w:rsidRPr="00652F7B">
              <w:rPr>
                <w:rFonts w:hint="eastAsia"/>
                <w:rtl/>
              </w:rPr>
              <w:t>הושג</w:t>
            </w:r>
            <w:r w:rsidRPr="00652F7B">
              <w:rPr>
                <w:rtl/>
              </w:rPr>
              <w:t xml:space="preserve"> </w:t>
            </w:r>
            <w:r w:rsidRPr="00652F7B">
              <w:rPr>
                <w:rFonts w:hint="eastAsia"/>
                <w:rtl/>
              </w:rPr>
              <w:t>הסדר</w:t>
            </w:r>
            <w:r w:rsidRPr="00652F7B">
              <w:rPr>
                <w:rtl/>
              </w:rPr>
              <w:t xml:space="preserve"> </w:t>
            </w:r>
            <w:r w:rsidRPr="00652F7B">
              <w:rPr>
                <w:rFonts w:hint="eastAsia"/>
                <w:rtl/>
              </w:rPr>
              <w:t>עם</w:t>
            </w:r>
            <w:r w:rsidRPr="00652F7B">
              <w:rPr>
                <w:rtl/>
              </w:rPr>
              <w:t xml:space="preserve"> </w:t>
            </w:r>
            <w:r w:rsidRPr="00652F7B">
              <w:rPr>
                <w:rFonts w:hint="eastAsia"/>
                <w:rtl/>
              </w:rPr>
              <w:t>הגופים</w:t>
            </w:r>
            <w:r w:rsidRPr="00652F7B">
              <w:rPr>
                <w:rtl/>
              </w:rPr>
              <w:t xml:space="preserve"> </w:t>
            </w:r>
            <w:r w:rsidRPr="00652F7B">
              <w:rPr>
                <w:rFonts w:hint="eastAsia"/>
                <w:rtl/>
              </w:rPr>
              <w:t>הציבוריים</w:t>
            </w:r>
            <w:r w:rsidRPr="00652F7B">
              <w:rPr>
                <w:rtl/>
              </w:rPr>
              <w:t xml:space="preserve"> </w:t>
            </w:r>
            <w:r w:rsidRPr="00652F7B">
              <w:rPr>
                <w:rFonts w:hint="eastAsia"/>
                <w:rtl/>
              </w:rPr>
              <w:t>להשבת</w:t>
            </w:r>
            <w:r w:rsidRPr="00652F7B">
              <w:rPr>
                <w:rtl/>
              </w:rPr>
              <w:t xml:space="preserve"> </w:t>
            </w:r>
            <w:r w:rsidRPr="00652F7B">
              <w:rPr>
                <w:rFonts w:hint="eastAsia"/>
                <w:rtl/>
              </w:rPr>
              <w:t>הדירות</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380E6AD" w14:textId="77777777" w:rsidR="00C218DA" w:rsidRPr="00652F7B" w:rsidRDefault="00C218DA" w:rsidP="00AB7539">
            <w:pPr>
              <w:pStyle w:val="R"/>
              <w:rPr>
                <w:rtl/>
              </w:rPr>
            </w:pPr>
            <w:r w:rsidRPr="00652F7B">
              <w:rPr>
                <w:rtl/>
              </w:rPr>
              <w:t>190</w:t>
            </w:r>
          </w:p>
        </w:tc>
      </w:tr>
      <w:tr w:rsidR="00C218DA" w:rsidRPr="007001CD" w14:paraId="51D4B9E1" w14:textId="77777777" w:rsidTr="005138F5">
        <w:trPr>
          <w:jc w:val="center"/>
        </w:trPr>
        <w:tc>
          <w:tcPr>
            <w:tcW w:w="37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29157" w14:textId="77777777" w:rsidR="00C218DA" w:rsidRPr="00652F7B" w:rsidRDefault="00C218DA" w:rsidP="00AB7539">
            <w:pPr>
              <w:pStyle w:val="R"/>
              <w:rPr>
                <w:rtl/>
              </w:rPr>
            </w:pPr>
            <w:r w:rsidRPr="00652F7B">
              <w:rPr>
                <w:rFonts w:hint="eastAsia"/>
                <w:rtl/>
              </w:rPr>
              <w:t>דירות</w:t>
            </w:r>
            <w:r w:rsidRPr="00652F7B">
              <w:rPr>
                <w:rtl/>
              </w:rPr>
              <w:t xml:space="preserve"> </w:t>
            </w:r>
            <w:r w:rsidRPr="00652F7B">
              <w:rPr>
                <w:rFonts w:hint="eastAsia"/>
                <w:rtl/>
              </w:rPr>
              <w:t>במתחם</w:t>
            </w:r>
            <w:r w:rsidRPr="00652F7B">
              <w:rPr>
                <w:rtl/>
              </w:rPr>
              <w:t xml:space="preserve"> </w:t>
            </w:r>
            <w:r w:rsidRPr="00652F7B">
              <w:rPr>
                <w:rFonts w:hint="eastAsia"/>
                <w:rtl/>
              </w:rPr>
              <w:t>בי</w:t>
            </w:r>
            <w:r w:rsidRPr="00652F7B">
              <w:rPr>
                <w:rtl/>
              </w:rPr>
              <w:t xml:space="preserve">"ח </w:t>
            </w:r>
            <w:r w:rsidRPr="00652F7B">
              <w:rPr>
                <w:rFonts w:hint="eastAsia"/>
                <w:rtl/>
              </w:rPr>
              <w:t>שיבא</w:t>
            </w:r>
            <w:r w:rsidRPr="00652F7B">
              <w:rPr>
                <w:rtl/>
              </w:rPr>
              <w:t xml:space="preserve"> - </w:t>
            </w:r>
            <w:r w:rsidRPr="00652F7B">
              <w:rPr>
                <w:rFonts w:hint="eastAsia"/>
                <w:rtl/>
              </w:rPr>
              <w:t>מנוהל</w:t>
            </w:r>
            <w:r w:rsidRPr="00652F7B">
              <w:rPr>
                <w:rtl/>
              </w:rPr>
              <w:t xml:space="preserve"> </w:t>
            </w:r>
            <w:r w:rsidRPr="00652F7B">
              <w:rPr>
                <w:rFonts w:hint="eastAsia"/>
                <w:rtl/>
              </w:rPr>
              <w:t>הליך</w:t>
            </w:r>
            <w:r w:rsidRPr="00652F7B">
              <w:rPr>
                <w:rtl/>
              </w:rPr>
              <w:t xml:space="preserve"> </w:t>
            </w:r>
            <w:r w:rsidRPr="00652F7B">
              <w:rPr>
                <w:rFonts w:hint="eastAsia"/>
                <w:rtl/>
              </w:rPr>
              <w:t>יישוב</w:t>
            </w:r>
            <w:r w:rsidRPr="00652F7B">
              <w:rPr>
                <w:rtl/>
              </w:rPr>
              <w:t xml:space="preserve"> </w:t>
            </w:r>
            <w:r w:rsidRPr="00652F7B">
              <w:rPr>
                <w:rFonts w:hint="eastAsia"/>
                <w:rtl/>
              </w:rPr>
              <w:t>מחלוקת</w:t>
            </w:r>
            <w:r w:rsidRPr="00652F7B">
              <w:rPr>
                <w:rtl/>
              </w:rPr>
              <w:t xml:space="preserve"> </w:t>
            </w:r>
            <w:r w:rsidRPr="00652F7B">
              <w:rPr>
                <w:rFonts w:hint="eastAsia"/>
                <w:rtl/>
              </w:rPr>
              <w:t>בין</w:t>
            </w:r>
            <w:r w:rsidRPr="00652F7B">
              <w:rPr>
                <w:rtl/>
              </w:rPr>
              <w:t xml:space="preserve"> </w:t>
            </w:r>
            <w:r w:rsidRPr="00652F7B">
              <w:rPr>
                <w:rFonts w:hint="eastAsia"/>
                <w:rtl/>
              </w:rPr>
              <w:t>משרד</w:t>
            </w:r>
            <w:r w:rsidRPr="00652F7B">
              <w:rPr>
                <w:rtl/>
              </w:rPr>
              <w:t xml:space="preserve"> </w:t>
            </w:r>
            <w:r w:rsidRPr="00652F7B">
              <w:rPr>
                <w:rFonts w:hint="eastAsia"/>
                <w:rtl/>
              </w:rPr>
              <w:t>הבינוי</w:t>
            </w:r>
            <w:r w:rsidRPr="00652F7B">
              <w:rPr>
                <w:rtl/>
              </w:rPr>
              <w:t xml:space="preserve"> </w:t>
            </w:r>
            <w:r w:rsidRPr="00652F7B">
              <w:rPr>
                <w:rFonts w:hint="eastAsia"/>
                <w:rtl/>
              </w:rPr>
              <w:t>ורמ</w:t>
            </w:r>
            <w:r w:rsidRPr="00652F7B">
              <w:rPr>
                <w:rtl/>
              </w:rPr>
              <w:t>"י</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38EA174" w14:textId="77777777" w:rsidR="00C218DA" w:rsidRPr="00652F7B" w:rsidRDefault="00C218DA" w:rsidP="00AB7539">
            <w:pPr>
              <w:pStyle w:val="R"/>
              <w:rPr>
                <w:rtl/>
              </w:rPr>
            </w:pPr>
            <w:r w:rsidRPr="00652F7B">
              <w:rPr>
                <w:rtl/>
              </w:rPr>
              <w:t>340</w:t>
            </w:r>
          </w:p>
        </w:tc>
      </w:tr>
      <w:tr w:rsidR="00C218DA" w:rsidRPr="007001CD" w14:paraId="024DB2F1" w14:textId="77777777" w:rsidTr="005138F5">
        <w:trPr>
          <w:jc w:val="center"/>
        </w:trPr>
        <w:tc>
          <w:tcPr>
            <w:tcW w:w="37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EBC54D" w14:textId="77777777" w:rsidR="00C218DA" w:rsidRPr="00652F7B" w:rsidRDefault="00C218DA" w:rsidP="00AB7539">
            <w:pPr>
              <w:pStyle w:val="R"/>
              <w:rPr>
                <w:rtl/>
              </w:rPr>
            </w:pPr>
            <w:r w:rsidRPr="00652F7B">
              <w:rPr>
                <w:rFonts w:hint="eastAsia"/>
                <w:rtl/>
              </w:rPr>
              <w:t>ללא</w:t>
            </w:r>
            <w:r w:rsidRPr="00652F7B">
              <w:rPr>
                <w:rtl/>
              </w:rPr>
              <w:t xml:space="preserve"> </w:t>
            </w:r>
            <w:r w:rsidRPr="00652F7B">
              <w:rPr>
                <w:rFonts w:hint="eastAsia"/>
                <w:rtl/>
              </w:rPr>
              <w:t>הסדר</w:t>
            </w:r>
            <w:r>
              <w:rPr>
                <w:rFonts w:hint="cs"/>
                <w:rtl/>
              </w:rPr>
              <w:t xml:space="preserve"> עתידי</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7FD0FA3" w14:textId="77777777" w:rsidR="00C218DA" w:rsidRPr="00652F7B" w:rsidRDefault="00C218DA" w:rsidP="00AB7539">
            <w:pPr>
              <w:pStyle w:val="R"/>
              <w:rPr>
                <w:rtl/>
              </w:rPr>
            </w:pPr>
            <w:r w:rsidRPr="00652F7B">
              <w:rPr>
                <w:rtl/>
              </w:rPr>
              <w:t>930</w:t>
            </w:r>
          </w:p>
        </w:tc>
      </w:tr>
      <w:tr w:rsidR="00C218DA" w:rsidRPr="007001CD" w14:paraId="634521B0" w14:textId="77777777" w:rsidTr="00AB7539">
        <w:trPr>
          <w:jc w:val="center"/>
        </w:trPr>
        <w:tc>
          <w:tcPr>
            <w:tcW w:w="3721"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79D6690A" w14:textId="77777777" w:rsidR="00C218DA" w:rsidRPr="00AB7539" w:rsidRDefault="00C218DA" w:rsidP="00AB7539">
            <w:pPr>
              <w:pStyle w:val="B"/>
              <w:rPr>
                <w:szCs w:val="20"/>
                <w:rtl/>
              </w:rPr>
            </w:pPr>
            <w:r w:rsidRPr="00AB7539">
              <w:rPr>
                <w:rFonts w:hint="eastAsia"/>
                <w:szCs w:val="20"/>
                <w:rtl/>
              </w:rPr>
              <w:t>סה</w:t>
            </w:r>
            <w:r w:rsidRPr="00AB7539">
              <w:rPr>
                <w:szCs w:val="20"/>
                <w:rtl/>
              </w:rPr>
              <w:t>"כ</w:t>
            </w:r>
          </w:p>
        </w:tc>
        <w:tc>
          <w:tcPr>
            <w:tcW w:w="1560"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3188AC42" w14:textId="77777777" w:rsidR="00C218DA" w:rsidRPr="00AB7539" w:rsidRDefault="00C218DA" w:rsidP="00AB7539">
            <w:pPr>
              <w:pStyle w:val="B"/>
              <w:rPr>
                <w:szCs w:val="20"/>
                <w:rtl/>
              </w:rPr>
            </w:pPr>
            <w:r w:rsidRPr="00AB7539">
              <w:rPr>
                <w:szCs w:val="20"/>
                <w:rtl/>
              </w:rPr>
              <w:t>1,800</w:t>
            </w:r>
          </w:p>
        </w:tc>
      </w:tr>
    </w:tbl>
    <w:p w14:paraId="6E2A423D" w14:textId="77777777" w:rsidR="00C218DA" w:rsidRDefault="00C218DA" w:rsidP="00AB7539">
      <w:pPr>
        <w:pStyle w:val="aff3"/>
        <w:rPr>
          <w:rtl/>
        </w:rPr>
      </w:pPr>
      <w:r w:rsidRPr="00352513">
        <w:rPr>
          <w:rFonts w:hint="cs"/>
          <w:rtl/>
        </w:rPr>
        <w:t>על פי נתוני משרד ה</w:t>
      </w:r>
      <w:r>
        <w:rPr>
          <w:rFonts w:hint="cs"/>
          <w:rtl/>
        </w:rPr>
        <w:t>בינוי</w:t>
      </w:r>
      <w:r w:rsidRPr="00352513">
        <w:rPr>
          <w:rFonts w:hint="cs"/>
          <w:rtl/>
        </w:rPr>
        <w:t>, בעיבוד של משרד מבקר המדינה</w:t>
      </w:r>
      <w:r>
        <w:rPr>
          <w:rFonts w:hint="cs"/>
          <w:rtl/>
        </w:rPr>
        <w:t>.</w:t>
      </w:r>
    </w:p>
    <w:p w14:paraId="42C68688" w14:textId="77777777" w:rsidR="00AB7539" w:rsidRPr="00352513" w:rsidRDefault="00AB7539" w:rsidP="00AB7539">
      <w:pPr>
        <w:pStyle w:val="aff3"/>
        <w:rPr>
          <w:rtl/>
        </w:rPr>
      </w:pPr>
    </w:p>
    <w:p w14:paraId="28F8C378" w14:textId="77777777" w:rsidR="00C218DA" w:rsidRDefault="00C218DA" w:rsidP="00AB7539">
      <w:pPr>
        <w:pStyle w:val="af5"/>
        <w:rPr>
          <w:rtl/>
        </w:rPr>
      </w:pPr>
      <w:r>
        <w:rPr>
          <w:rFonts w:hint="cs"/>
          <w:rtl/>
        </w:rPr>
        <w:t xml:space="preserve">יש לראות בחיוב את ההתקדמות בטיפול בהמלצות דוח מבקר המדינה משנת 2013. </w:t>
      </w:r>
      <w:r w:rsidRPr="00236185">
        <w:rPr>
          <w:rFonts w:hint="cs"/>
          <w:rtl/>
        </w:rPr>
        <w:t xml:space="preserve">על המשרד להמשיך בתהליך שהחל בו להעברת הדירות הציבוריות לשימוש זכאי הדיור הציבורי ולהקפיד לקיים מעקב צמוד אחר העברת הדירות </w:t>
      </w:r>
      <w:r>
        <w:rPr>
          <w:rFonts w:hint="cs"/>
          <w:rtl/>
        </w:rPr>
        <w:t>מהגופים</w:t>
      </w:r>
      <w:r w:rsidRPr="00236185">
        <w:rPr>
          <w:rFonts w:hint="cs"/>
          <w:rtl/>
        </w:rPr>
        <w:t xml:space="preserve"> הציבוריים לטובת זכאי הדיור הציבורי</w:t>
      </w:r>
      <w:r>
        <w:rPr>
          <w:rFonts w:hint="cs"/>
          <w:rtl/>
        </w:rPr>
        <w:t>,</w:t>
      </w:r>
      <w:r w:rsidRPr="00236185">
        <w:rPr>
          <w:rFonts w:hint="cs"/>
          <w:rtl/>
        </w:rPr>
        <w:t xml:space="preserve"> </w:t>
      </w:r>
      <w:r>
        <w:rPr>
          <w:rFonts w:hint="cs"/>
          <w:rtl/>
        </w:rPr>
        <w:t>על פי</w:t>
      </w:r>
      <w:r w:rsidRPr="00236185">
        <w:rPr>
          <w:rFonts w:hint="cs"/>
          <w:rtl/>
        </w:rPr>
        <w:t xml:space="preserve"> </w:t>
      </w:r>
      <w:r>
        <w:rPr>
          <w:rFonts w:hint="cs"/>
          <w:rtl/>
        </w:rPr>
        <w:t>ה</w:t>
      </w:r>
      <w:r w:rsidRPr="00236185">
        <w:rPr>
          <w:rFonts w:hint="cs"/>
          <w:rtl/>
        </w:rPr>
        <w:t>הסדרים שנקבעו.</w:t>
      </w:r>
    </w:p>
    <w:p w14:paraId="559C3982" w14:textId="77777777" w:rsidR="00C218DA" w:rsidRDefault="00C218DA" w:rsidP="00AB7539">
      <w:pPr>
        <w:pStyle w:val="414"/>
      </w:pPr>
      <w:r>
        <w:rPr>
          <w:rFonts w:hint="cs"/>
          <w:rtl/>
        </w:rPr>
        <w:lastRenderedPageBreak/>
        <w:t>אי</w:t>
      </w:r>
      <w:r w:rsidRPr="00DA2EB7">
        <w:rPr>
          <w:rFonts w:hint="cs"/>
          <w:sz w:val="24"/>
          <w:szCs w:val="24"/>
          <w:rtl/>
        </w:rPr>
        <w:t>-</w:t>
      </w:r>
      <w:r>
        <w:rPr>
          <w:rFonts w:hint="cs"/>
          <w:rtl/>
        </w:rPr>
        <w:t xml:space="preserve">התאמה בין מספר הנפשות למספר החדרים בדירות הדיור הציבורי </w:t>
      </w:r>
    </w:p>
    <w:p w14:paraId="59DEC0AE" w14:textId="77777777" w:rsidR="00C218DA" w:rsidRPr="004F033C" w:rsidRDefault="00C218DA" w:rsidP="00AB7539">
      <w:pPr>
        <w:pStyle w:val="100"/>
        <w:rPr>
          <w:rtl/>
        </w:rPr>
      </w:pPr>
      <w:r w:rsidRPr="00846F38">
        <w:rPr>
          <w:rFonts w:hint="cs"/>
          <w:rtl/>
        </w:rPr>
        <w:t>נוהל משרד ה</w:t>
      </w:r>
      <w:r>
        <w:rPr>
          <w:rFonts w:hint="cs"/>
          <w:rtl/>
        </w:rPr>
        <w:t>בינוי</w:t>
      </w:r>
      <w:r w:rsidRPr="00846F38">
        <w:rPr>
          <w:rFonts w:hint="cs"/>
          <w:rtl/>
        </w:rPr>
        <w:t xml:space="preserve"> </w:t>
      </w:r>
      <w:r>
        <w:rPr>
          <w:rFonts w:hint="cs"/>
          <w:rtl/>
        </w:rPr>
        <w:t xml:space="preserve">קובע אמות מידה להתאמת גודל הדירה ומספר החדרים שבה למספר הנפשות במשפחה הזכאית לדירה. לצורך החישוב נכללים, ככלל, ילדים עד גיל 21. הבחינה מבוצעת במועד קביעת הזכאות לדיור ציבורי ואינה מבוצעת לאחר האכלוס. מכאן שמשפחה שבמועד האכלוס כללה ילדים מתחת לגיל 21 תמשיך להתגורר בדירה המיועדת לאותו מספר נפשות גם לאחר שהילדים בגרו. אם הייתה נבחנת זכאותה בשנית, בהתאם לגודל המשפחה העדכני, הרי שמספר הנפשות הרלוונטיות היה קטן יותר ועל כן היא הייתה זכאית לדירה קטנה יותר. כך למעשה, </w:t>
      </w:r>
      <w:r w:rsidRPr="004F033C">
        <w:rPr>
          <w:rtl/>
        </w:rPr>
        <w:t>צפיפות הדיור הממוצעת ב</w:t>
      </w:r>
      <w:r>
        <w:rPr>
          <w:rFonts w:hint="cs"/>
          <w:rtl/>
        </w:rPr>
        <w:t>דיור הציבורי</w:t>
      </w:r>
      <w:r w:rsidRPr="004F033C">
        <w:rPr>
          <w:rtl/>
        </w:rPr>
        <w:t xml:space="preserve"> נמוכה מזו שמאפיינת את משקי הבית העניים המתגוררים בשכירות</w:t>
      </w:r>
      <w:r>
        <w:rPr>
          <w:rStyle w:val="FootnoteReference"/>
          <w:sz w:val="24"/>
          <w:rtl/>
        </w:rPr>
        <w:footnoteReference w:id="51"/>
      </w:r>
      <w:r>
        <w:rPr>
          <w:rFonts w:hint="cs"/>
          <w:rtl/>
        </w:rPr>
        <w:t xml:space="preserve">. </w:t>
      </w:r>
    </w:p>
    <w:p w14:paraId="017B1D82" w14:textId="29AE7911" w:rsidR="00C218DA" w:rsidRPr="00AB7539" w:rsidRDefault="00C218DA" w:rsidP="00AB7539">
      <w:pPr>
        <w:pStyle w:val="100"/>
        <w:rPr>
          <w:rtl/>
        </w:rPr>
      </w:pPr>
      <w:r w:rsidRPr="00DA2EB7">
        <w:rPr>
          <w:rFonts w:hint="cs"/>
          <w:rtl/>
        </w:rPr>
        <w:t>בדוח מבקר המדינה משנת 2015</w:t>
      </w:r>
      <w:r>
        <w:rPr>
          <w:rStyle w:val="FootnoteReference"/>
          <w:sz w:val="24"/>
          <w:rtl/>
        </w:rPr>
        <w:footnoteReference w:id="52"/>
      </w:r>
      <w:r w:rsidRPr="00DA2EB7">
        <w:rPr>
          <w:rFonts w:hint="cs"/>
          <w:rtl/>
        </w:rPr>
        <w:t xml:space="preserve"> </w:t>
      </w:r>
      <w:r>
        <w:rPr>
          <w:rFonts w:hint="cs"/>
          <w:rtl/>
        </w:rPr>
        <w:t>נמצא כ</w:t>
      </w:r>
      <w:r w:rsidRPr="00DA2EB7">
        <w:rPr>
          <w:rFonts w:hint="cs"/>
          <w:rtl/>
        </w:rPr>
        <w:t xml:space="preserve">י </w:t>
      </w:r>
      <w:r>
        <w:rPr>
          <w:rFonts w:hint="cs"/>
          <w:rtl/>
        </w:rPr>
        <w:t>ביותר</w:t>
      </w:r>
      <w:r w:rsidRPr="00DA2EB7">
        <w:rPr>
          <w:rFonts w:hint="cs"/>
          <w:rtl/>
        </w:rPr>
        <w:t xml:space="preserve"> </w:t>
      </w:r>
      <w:r>
        <w:rPr>
          <w:rFonts w:hint="cs"/>
          <w:rtl/>
        </w:rPr>
        <w:t>מ</w:t>
      </w:r>
      <w:r w:rsidRPr="00DA2EB7">
        <w:rPr>
          <w:rFonts w:hint="cs"/>
          <w:rtl/>
        </w:rPr>
        <w:t>-</w:t>
      </w:r>
      <w:r w:rsidRPr="00DA2EB7">
        <w:rPr>
          <w:rtl/>
        </w:rPr>
        <w:t xml:space="preserve">26,000 דירות </w:t>
      </w:r>
      <w:r>
        <w:rPr>
          <w:rFonts w:hint="cs"/>
          <w:rtl/>
        </w:rPr>
        <w:t>מתוך כ-60,000 הדירות הציבוריות שהיו באותה העת (כ-43%) התגוררו</w:t>
      </w:r>
      <w:r w:rsidRPr="00DA2EB7">
        <w:rPr>
          <w:rtl/>
        </w:rPr>
        <w:t xml:space="preserve"> זכאים ש</w:t>
      </w:r>
      <w:r>
        <w:rPr>
          <w:rFonts w:hint="cs"/>
          <w:rtl/>
        </w:rPr>
        <w:t xml:space="preserve">אם הייתה נבדקת זכאותם בשנית באותה העת, הם היו נמצאים </w:t>
      </w:r>
      <w:r w:rsidRPr="00DA2EB7">
        <w:rPr>
          <w:rFonts w:hint="eastAsia"/>
          <w:rtl/>
        </w:rPr>
        <w:t>זכאים</w:t>
      </w:r>
      <w:r w:rsidRPr="00DA2EB7">
        <w:rPr>
          <w:rtl/>
        </w:rPr>
        <w:t xml:space="preserve"> </w:t>
      </w:r>
      <w:r w:rsidRPr="00DA2EB7">
        <w:rPr>
          <w:rFonts w:hint="eastAsia"/>
          <w:rtl/>
        </w:rPr>
        <w:t>לדירות</w:t>
      </w:r>
      <w:r w:rsidRPr="00DA2EB7">
        <w:rPr>
          <w:rtl/>
        </w:rPr>
        <w:t xml:space="preserve"> </w:t>
      </w:r>
      <w:r w:rsidRPr="00DA2EB7">
        <w:rPr>
          <w:rFonts w:hint="eastAsia"/>
          <w:rtl/>
        </w:rPr>
        <w:t>קטנות</w:t>
      </w:r>
      <w:r w:rsidRPr="00DA2EB7">
        <w:rPr>
          <w:rtl/>
        </w:rPr>
        <w:t xml:space="preserve"> </w:t>
      </w:r>
      <w:r w:rsidRPr="00DA2EB7">
        <w:rPr>
          <w:rFonts w:hint="eastAsia"/>
          <w:rtl/>
        </w:rPr>
        <w:t>מאל</w:t>
      </w:r>
      <w:r w:rsidRPr="00DA2EB7">
        <w:rPr>
          <w:rFonts w:hint="cs"/>
          <w:rtl/>
        </w:rPr>
        <w:t>ה</w:t>
      </w:r>
      <w:r w:rsidRPr="00DA2EB7">
        <w:rPr>
          <w:rtl/>
        </w:rPr>
        <w:t xml:space="preserve"> </w:t>
      </w:r>
      <w:r w:rsidRPr="00DA2EB7">
        <w:rPr>
          <w:rFonts w:hint="eastAsia"/>
          <w:rtl/>
        </w:rPr>
        <w:t>שהם</w:t>
      </w:r>
      <w:r w:rsidRPr="00DA2EB7">
        <w:rPr>
          <w:rtl/>
        </w:rPr>
        <w:t xml:space="preserve"> </w:t>
      </w:r>
      <w:r w:rsidRPr="00DA2EB7">
        <w:rPr>
          <w:rFonts w:hint="cs"/>
          <w:rtl/>
        </w:rPr>
        <w:t>ה</w:t>
      </w:r>
      <w:r w:rsidRPr="00DA2EB7">
        <w:rPr>
          <w:rFonts w:hint="eastAsia"/>
          <w:rtl/>
        </w:rPr>
        <w:t>תגורר</w:t>
      </w:r>
      <w:r w:rsidRPr="00DA2EB7">
        <w:rPr>
          <w:rFonts w:hint="cs"/>
          <w:rtl/>
        </w:rPr>
        <w:t>ו</w:t>
      </w:r>
      <w:r w:rsidRPr="00DA2EB7">
        <w:rPr>
          <w:rFonts w:hint="eastAsia"/>
          <w:rtl/>
        </w:rPr>
        <w:t xml:space="preserve"> בהן</w:t>
      </w:r>
      <w:r w:rsidRPr="00DA2EB7">
        <w:rPr>
          <w:rtl/>
        </w:rPr>
        <w:t xml:space="preserve">. </w:t>
      </w:r>
      <w:r>
        <w:rPr>
          <w:rFonts w:hint="cs"/>
          <w:rtl/>
        </w:rPr>
        <w:t xml:space="preserve">הבדיקה אז העלתה כי </w:t>
      </w:r>
      <w:r w:rsidRPr="00DA2EB7">
        <w:rPr>
          <w:rFonts w:hint="cs"/>
          <w:rtl/>
        </w:rPr>
        <w:t xml:space="preserve">המשרד לא </w:t>
      </w:r>
      <w:r w:rsidRPr="00DA2EB7">
        <w:rPr>
          <w:rFonts w:hint="eastAsia"/>
          <w:rtl/>
        </w:rPr>
        <w:t>נקט</w:t>
      </w:r>
      <w:r w:rsidRPr="00DA2EB7">
        <w:rPr>
          <w:rFonts w:hint="cs"/>
          <w:rtl/>
        </w:rPr>
        <w:t xml:space="preserve"> </w:t>
      </w:r>
      <w:r w:rsidRPr="00DA2EB7">
        <w:rPr>
          <w:rFonts w:hint="eastAsia"/>
          <w:rtl/>
        </w:rPr>
        <w:t>פעולות</w:t>
      </w:r>
      <w:r w:rsidRPr="00DA2EB7">
        <w:rPr>
          <w:rtl/>
        </w:rPr>
        <w:t xml:space="preserve"> </w:t>
      </w:r>
      <w:r w:rsidRPr="00DA2EB7">
        <w:rPr>
          <w:rFonts w:hint="eastAsia"/>
          <w:rtl/>
        </w:rPr>
        <w:t>להחלפת</w:t>
      </w:r>
      <w:r w:rsidRPr="00DA2EB7">
        <w:rPr>
          <w:rtl/>
        </w:rPr>
        <w:t xml:space="preserve"> </w:t>
      </w:r>
      <w:r w:rsidRPr="00DA2EB7">
        <w:rPr>
          <w:rFonts w:hint="eastAsia"/>
          <w:rtl/>
        </w:rPr>
        <w:t>דירות</w:t>
      </w:r>
      <w:r w:rsidRPr="00DA2EB7">
        <w:rPr>
          <w:rtl/>
        </w:rPr>
        <w:t xml:space="preserve"> </w:t>
      </w:r>
      <w:r w:rsidRPr="00DA2EB7">
        <w:rPr>
          <w:rFonts w:hint="eastAsia"/>
          <w:rtl/>
        </w:rPr>
        <w:t>הזכאים</w:t>
      </w:r>
      <w:r w:rsidRPr="00DA2EB7">
        <w:rPr>
          <w:rtl/>
        </w:rPr>
        <w:t xml:space="preserve"> </w:t>
      </w:r>
      <w:r w:rsidRPr="00DA2EB7">
        <w:rPr>
          <w:rFonts w:hint="eastAsia"/>
          <w:rtl/>
        </w:rPr>
        <w:t>לדירות</w:t>
      </w:r>
      <w:r w:rsidRPr="00DA2EB7">
        <w:rPr>
          <w:rtl/>
        </w:rPr>
        <w:t xml:space="preserve"> </w:t>
      </w:r>
      <w:r w:rsidRPr="00DA2EB7">
        <w:rPr>
          <w:rFonts w:hint="eastAsia"/>
          <w:rtl/>
        </w:rPr>
        <w:t>קטנות</w:t>
      </w:r>
      <w:r w:rsidRPr="00DA2EB7">
        <w:rPr>
          <w:rtl/>
        </w:rPr>
        <w:t xml:space="preserve"> </w:t>
      </w:r>
      <w:r w:rsidRPr="00DA2EB7">
        <w:rPr>
          <w:rFonts w:hint="eastAsia"/>
          <w:rtl/>
        </w:rPr>
        <w:t>יותר</w:t>
      </w:r>
      <w:r>
        <w:rPr>
          <w:rFonts w:hint="cs"/>
          <w:rtl/>
        </w:rPr>
        <w:t>,</w:t>
      </w:r>
      <w:r w:rsidRPr="00DA2EB7">
        <w:rPr>
          <w:rtl/>
        </w:rPr>
        <w:t xml:space="preserve"> </w:t>
      </w:r>
      <w:r>
        <w:rPr>
          <w:rFonts w:hint="cs"/>
          <w:rtl/>
        </w:rPr>
        <w:t>בהתאם לגודל המשפחה העדכני,</w:t>
      </w:r>
      <w:r w:rsidRPr="00DA2EB7">
        <w:rPr>
          <w:rFonts w:hint="cs"/>
          <w:rtl/>
        </w:rPr>
        <w:t xml:space="preserve"> ולהקצאת הדירות הגדולות לזכאים הממתינים</w:t>
      </w:r>
      <w:r w:rsidRPr="00DA2EB7">
        <w:rPr>
          <w:rtl/>
        </w:rPr>
        <w:t>.</w:t>
      </w:r>
      <w:r>
        <w:rPr>
          <w:rFonts w:hint="cs"/>
          <w:rtl/>
        </w:rPr>
        <w:t xml:space="preserve"> המבקר קבע כי </w:t>
      </w:r>
      <w:r w:rsidRPr="006566E8">
        <w:rPr>
          <w:rtl/>
        </w:rPr>
        <w:t>כדי לנהל ביעילות את מאגר הדיור הציבורי ולשפר את ההתאמה בין הדירות לדיירים, על משרד הבינוי לבחון את הצורך להתאים בין גודל המשפחה וצרכיה ה</w:t>
      </w:r>
      <w:r w:rsidR="00AB7539">
        <w:rPr>
          <w:rtl/>
        </w:rPr>
        <w:t>מיוחדים ובין הדירה שהוקצתה להם.</w:t>
      </w:r>
    </w:p>
    <w:p w14:paraId="6B27BF31" w14:textId="77777777" w:rsidR="00C218DA" w:rsidRDefault="00C218DA" w:rsidP="00AB7539">
      <w:pPr>
        <w:pStyle w:val="100"/>
        <w:rPr>
          <w:b/>
          <w:bCs/>
          <w:sz w:val="28"/>
          <w:szCs w:val="28"/>
          <w:rtl/>
        </w:rPr>
      </w:pPr>
      <w:r>
        <w:rPr>
          <w:rFonts w:hint="cs"/>
          <w:rtl/>
        </w:rPr>
        <w:t>בשנת 2018 מיפה המשרד את מספר הדיירים המתגוררים בדירות של ארבעה חדרים ויותר, בחלוקה לפי יישובי ביקוש</w:t>
      </w:r>
      <w:r>
        <w:rPr>
          <w:rStyle w:val="FootnoteReference"/>
          <w:sz w:val="24"/>
          <w:rtl/>
        </w:rPr>
        <w:footnoteReference w:id="53"/>
      </w:r>
      <w:r>
        <w:rPr>
          <w:rFonts w:hint="cs"/>
          <w:rtl/>
        </w:rPr>
        <w:t xml:space="preserve"> ויישובים שאינם יישובי ביקוש. בלוחות שלהלן מובא פירוט הדירות של ארבעה חדרים ויותר שבהן התגוררו נפש אחת או שתיים ביישובי ביקוש וביישובים שאינם יישובי ביקוש, על פי נתוני משרד הבינוי: </w:t>
      </w:r>
    </w:p>
    <w:p w14:paraId="717115CE" w14:textId="4583F632" w:rsidR="00C218DA" w:rsidRPr="0083391A" w:rsidRDefault="00C218DA" w:rsidP="0083391A">
      <w:pPr>
        <w:bidi w:val="0"/>
        <w:spacing w:after="200" w:line="276" w:lineRule="auto"/>
        <w:rPr>
          <w:szCs w:val="20"/>
          <w:rtl/>
        </w:rPr>
      </w:pPr>
      <w:r>
        <w:rPr>
          <w:rtl/>
        </w:rPr>
        <w:br w:type="page"/>
      </w:r>
    </w:p>
    <w:p w14:paraId="1A5E728E" w14:textId="77777777" w:rsidR="00C218DA" w:rsidRPr="00602E86" w:rsidRDefault="00C218DA" w:rsidP="00AB7539">
      <w:pPr>
        <w:pStyle w:val="aa"/>
        <w:rPr>
          <w:rtl/>
        </w:rPr>
      </w:pPr>
      <w:r w:rsidRPr="00602E86">
        <w:rPr>
          <w:rFonts w:hint="eastAsia"/>
          <w:rtl/>
        </w:rPr>
        <w:lastRenderedPageBreak/>
        <w:t>לוח</w:t>
      </w:r>
      <w:r w:rsidRPr="00602E86">
        <w:rPr>
          <w:rtl/>
        </w:rPr>
        <w:t xml:space="preserve"> 5: </w:t>
      </w:r>
      <w:r w:rsidRPr="00602E86">
        <w:rPr>
          <w:rFonts w:hint="eastAsia"/>
          <w:rtl/>
        </w:rPr>
        <w:t>דירות</w:t>
      </w:r>
      <w:r w:rsidRPr="00602E86">
        <w:rPr>
          <w:rtl/>
        </w:rPr>
        <w:t xml:space="preserve"> </w:t>
      </w:r>
      <w:r>
        <w:rPr>
          <w:rFonts w:hint="cs"/>
          <w:rtl/>
        </w:rPr>
        <w:t>של</w:t>
      </w:r>
      <w:r w:rsidRPr="00602E86">
        <w:rPr>
          <w:rtl/>
        </w:rPr>
        <w:t xml:space="preserve"> </w:t>
      </w:r>
      <w:r w:rsidRPr="00602E86">
        <w:rPr>
          <w:rFonts w:hint="eastAsia"/>
          <w:rtl/>
        </w:rPr>
        <w:t>ארבעה</w:t>
      </w:r>
      <w:r w:rsidRPr="00602E86">
        <w:rPr>
          <w:rtl/>
        </w:rPr>
        <w:t xml:space="preserve"> </w:t>
      </w:r>
      <w:r w:rsidRPr="00602E86">
        <w:rPr>
          <w:rFonts w:hint="eastAsia"/>
          <w:rtl/>
        </w:rPr>
        <w:t>חדרים</w:t>
      </w:r>
      <w:r w:rsidRPr="00602E86">
        <w:rPr>
          <w:rtl/>
        </w:rPr>
        <w:t xml:space="preserve"> </w:t>
      </w:r>
      <w:r w:rsidRPr="00602E86">
        <w:rPr>
          <w:rFonts w:hint="eastAsia"/>
          <w:rtl/>
        </w:rPr>
        <w:t>ויותר</w:t>
      </w:r>
      <w:r w:rsidRPr="00602E86">
        <w:rPr>
          <w:rtl/>
        </w:rPr>
        <w:t xml:space="preserve"> </w:t>
      </w:r>
      <w:r w:rsidRPr="00602E86">
        <w:rPr>
          <w:rFonts w:hint="eastAsia"/>
          <w:rtl/>
        </w:rPr>
        <w:t>שבהן</w:t>
      </w:r>
      <w:r w:rsidRPr="00602E86">
        <w:rPr>
          <w:rtl/>
        </w:rPr>
        <w:t xml:space="preserve"> </w:t>
      </w:r>
      <w:r w:rsidRPr="00602E86">
        <w:rPr>
          <w:rFonts w:hint="eastAsia"/>
          <w:rtl/>
        </w:rPr>
        <w:t>התגוררו</w:t>
      </w:r>
      <w:r w:rsidRPr="00602E86">
        <w:rPr>
          <w:rtl/>
        </w:rPr>
        <w:t xml:space="preserve"> </w:t>
      </w:r>
      <w:r w:rsidRPr="00602E86">
        <w:rPr>
          <w:rFonts w:hint="eastAsia"/>
          <w:rtl/>
        </w:rPr>
        <w:t>נפש</w:t>
      </w:r>
      <w:r w:rsidRPr="00602E86">
        <w:rPr>
          <w:rtl/>
        </w:rPr>
        <w:t xml:space="preserve"> </w:t>
      </w:r>
      <w:r w:rsidRPr="00602E86">
        <w:rPr>
          <w:rFonts w:hint="eastAsia"/>
          <w:rtl/>
        </w:rPr>
        <w:t>אחת</w:t>
      </w:r>
      <w:r w:rsidRPr="00602E86">
        <w:rPr>
          <w:rtl/>
        </w:rPr>
        <w:t xml:space="preserve"> </w:t>
      </w:r>
      <w:r w:rsidRPr="00602E86">
        <w:rPr>
          <w:rFonts w:hint="eastAsia"/>
          <w:rtl/>
        </w:rPr>
        <w:t>או</w:t>
      </w:r>
      <w:r w:rsidRPr="00602E86">
        <w:rPr>
          <w:rtl/>
        </w:rPr>
        <w:t xml:space="preserve"> </w:t>
      </w:r>
      <w:r w:rsidRPr="00602E86">
        <w:rPr>
          <w:rFonts w:hint="eastAsia"/>
          <w:rtl/>
        </w:rPr>
        <w:t>שתיים</w:t>
      </w:r>
      <w:r w:rsidRPr="00602E86">
        <w:rPr>
          <w:rtl/>
        </w:rPr>
        <w:t xml:space="preserve"> </w:t>
      </w:r>
      <w:r w:rsidRPr="00602E86">
        <w:rPr>
          <w:rFonts w:hint="eastAsia"/>
          <w:rtl/>
        </w:rPr>
        <w:t>ביישובי</w:t>
      </w:r>
      <w:r w:rsidRPr="00602E86">
        <w:rPr>
          <w:rtl/>
        </w:rPr>
        <w:t xml:space="preserve"> </w:t>
      </w:r>
      <w:r w:rsidRPr="00602E86">
        <w:rPr>
          <w:rFonts w:hint="eastAsia"/>
          <w:rtl/>
        </w:rPr>
        <w:t>ביקוש</w:t>
      </w:r>
    </w:p>
    <w:tbl>
      <w:tblPr>
        <w:tblStyle w:val="TableGrid"/>
        <w:bidiVisual/>
        <w:tblW w:w="0" w:type="auto"/>
        <w:jc w:val="center"/>
        <w:tblLook w:val="04A0" w:firstRow="1" w:lastRow="0" w:firstColumn="1" w:lastColumn="0" w:noHBand="0" w:noVBand="1"/>
      </w:tblPr>
      <w:tblGrid>
        <w:gridCol w:w="1026"/>
        <w:gridCol w:w="1026"/>
        <w:gridCol w:w="1026"/>
        <w:gridCol w:w="1026"/>
      </w:tblGrid>
      <w:tr w:rsidR="00C218DA" w14:paraId="5C688257" w14:textId="77777777" w:rsidTr="0083391A">
        <w:trPr>
          <w:jc w:val="center"/>
        </w:trPr>
        <w:tc>
          <w:tcPr>
            <w:tcW w:w="1026" w:type="dxa"/>
            <w:vMerge w:val="restart"/>
            <w:shd w:val="clear" w:color="auto" w:fill="C6D9F1"/>
          </w:tcPr>
          <w:p w14:paraId="7E84E246" w14:textId="77777777" w:rsidR="00C218DA" w:rsidRPr="00D462EE" w:rsidRDefault="00C218DA" w:rsidP="0083391A">
            <w:pPr>
              <w:pStyle w:val="af1"/>
              <w:rPr>
                <w:rtl/>
              </w:rPr>
            </w:pPr>
            <w:r w:rsidRPr="00D462EE">
              <w:rPr>
                <w:rFonts w:hint="eastAsia"/>
                <w:rtl/>
              </w:rPr>
              <w:t>מספר</w:t>
            </w:r>
            <w:r w:rsidRPr="00D462EE">
              <w:rPr>
                <w:rtl/>
              </w:rPr>
              <w:t xml:space="preserve"> </w:t>
            </w:r>
            <w:r>
              <w:rPr>
                <w:rFonts w:hint="cs"/>
                <w:rtl/>
              </w:rPr>
              <w:t>ה</w:t>
            </w:r>
            <w:r w:rsidRPr="00D462EE">
              <w:rPr>
                <w:rFonts w:hint="eastAsia"/>
                <w:rtl/>
              </w:rPr>
              <w:t>חדרים</w:t>
            </w:r>
          </w:p>
        </w:tc>
        <w:tc>
          <w:tcPr>
            <w:tcW w:w="2052" w:type="dxa"/>
            <w:gridSpan w:val="2"/>
            <w:shd w:val="clear" w:color="auto" w:fill="C6D9F1"/>
          </w:tcPr>
          <w:p w14:paraId="4AE99130" w14:textId="77777777" w:rsidR="00C218DA" w:rsidRPr="00D462EE" w:rsidRDefault="00C218DA" w:rsidP="0083391A">
            <w:pPr>
              <w:pStyle w:val="af1"/>
              <w:rPr>
                <w:rtl/>
              </w:rPr>
            </w:pPr>
            <w:r w:rsidRPr="00D462EE">
              <w:rPr>
                <w:rFonts w:hint="eastAsia"/>
                <w:rtl/>
              </w:rPr>
              <w:t>מספר</w:t>
            </w:r>
            <w:r w:rsidRPr="00D462EE">
              <w:rPr>
                <w:rtl/>
              </w:rPr>
              <w:t xml:space="preserve"> </w:t>
            </w:r>
            <w:r>
              <w:rPr>
                <w:rFonts w:hint="cs"/>
                <w:rtl/>
              </w:rPr>
              <w:t>ה</w:t>
            </w:r>
            <w:r w:rsidRPr="00D462EE">
              <w:rPr>
                <w:rFonts w:hint="eastAsia"/>
                <w:rtl/>
              </w:rPr>
              <w:t>נפשות</w:t>
            </w:r>
          </w:p>
        </w:tc>
        <w:tc>
          <w:tcPr>
            <w:tcW w:w="1026" w:type="dxa"/>
            <w:vMerge w:val="restart"/>
            <w:shd w:val="clear" w:color="auto" w:fill="C6D9F1"/>
          </w:tcPr>
          <w:p w14:paraId="7D73BEB8" w14:textId="77777777" w:rsidR="00C218DA" w:rsidRPr="00D462EE" w:rsidRDefault="00C218DA" w:rsidP="0083391A">
            <w:pPr>
              <w:pStyle w:val="af1"/>
              <w:rPr>
                <w:rtl/>
              </w:rPr>
            </w:pPr>
            <w:r w:rsidRPr="00D462EE">
              <w:rPr>
                <w:rFonts w:hint="eastAsia"/>
                <w:rtl/>
              </w:rPr>
              <w:t>סה</w:t>
            </w:r>
            <w:r w:rsidRPr="00D462EE">
              <w:rPr>
                <w:rtl/>
              </w:rPr>
              <w:t>"כ</w:t>
            </w:r>
          </w:p>
        </w:tc>
      </w:tr>
      <w:tr w:rsidR="00C218DA" w14:paraId="1BB54477" w14:textId="77777777" w:rsidTr="0083391A">
        <w:trPr>
          <w:jc w:val="center"/>
        </w:trPr>
        <w:tc>
          <w:tcPr>
            <w:tcW w:w="1026" w:type="dxa"/>
            <w:vMerge/>
            <w:shd w:val="clear" w:color="auto" w:fill="C6D9F1"/>
          </w:tcPr>
          <w:p w14:paraId="305D3A38" w14:textId="77777777" w:rsidR="00C218DA" w:rsidRPr="00D462EE" w:rsidRDefault="00C218DA" w:rsidP="0083391A">
            <w:pPr>
              <w:pStyle w:val="af1"/>
              <w:rPr>
                <w:rtl/>
              </w:rPr>
            </w:pPr>
          </w:p>
        </w:tc>
        <w:tc>
          <w:tcPr>
            <w:tcW w:w="1026" w:type="dxa"/>
            <w:shd w:val="clear" w:color="auto" w:fill="C6D9F1"/>
          </w:tcPr>
          <w:p w14:paraId="038F3E6E" w14:textId="77777777" w:rsidR="00C218DA" w:rsidRPr="00D462EE" w:rsidRDefault="00C218DA" w:rsidP="0083391A">
            <w:pPr>
              <w:pStyle w:val="af1"/>
              <w:rPr>
                <w:rtl/>
              </w:rPr>
            </w:pPr>
            <w:r w:rsidRPr="00D462EE">
              <w:rPr>
                <w:rtl/>
              </w:rPr>
              <w:t>1</w:t>
            </w:r>
          </w:p>
        </w:tc>
        <w:tc>
          <w:tcPr>
            <w:tcW w:w="1026" w:type="dxa"/>
            <w:shd w:val="clear" w:color="auto" w:fill="C6D9F1"/>
          </w:tcPr>
          <w:p w14:paraId="295AAB66" w14:textId="77777777" w:rsidR="00C218DA" w:rsidRPr="00D462EE" w:rsidRDefault="00C218DA" w:rsidP="0083391A">
            <w:pPr>
              <w:pStyle w:val="af1"/>
              <w:rPr>
                <w:rtl/>
              </w:rPr>
            </w:pPr>
            <w:r w:rsidRPr="00D462EE">
              <w:rPr>
                <w:rtl/>
              </w:rPr>
              <w:t>2</w:t>
            </w:r>
          </w:p>
        </w:tc>
        <w:tc>
          <w:tcPr>
            <w:tcW w:w="1026" w:type="dxa"/>
            <w:vMerge/>
            <w:shd w:val="clear" w:color="auto" w:fill="C6D9F1"/>
          </w:tcPr>
          <w:p w14:paraId="166E2CB1" w14:textId="77777777" w:rsidR="00C218DA" w:rsidRPr="00D462EE" w:rsidRDefault="00C218DA" w:rsidP="0083391A">
            <w:pPr>
              <w:pStyle w:val="af1"/>
              <w:rPr>
                <w:rtl/>
              </w:rPr>
            </w:pPr>
          </w:p>
        </w:tc>
      </w:tr>
      <w:tr w:rsidR="00C218DA" w14:paraId="1A2A1BE6" w14:textId="77777777" w:rsidTr="005138F5">
        <w:trPr>
          <w:jc w:val="center"/>
        </w:trPr>
        <w:tc>
          <w:tcPr>
            <w:tcW w:w="1026" w:type="dxa"/>
          </w:tcPr>
          <w:p w14:paraId="14104B9F" w14:textId="77777777" w:rsidR="00C218DA" w:rsidRPr="00D462EE" w:rsidRDefault="00C218DA" w:rsidP="0083391A">
            <w:pPr>
              <w:pStyle w:val="R"/>
              <w:rPr>
                <w:rtl/>
              </w:rPr>
            </w:pPr>
            <w:r w:rsidRPr="00D462EE">
              <w:rPr>
                <w:rtl/>
              </w:rPr>
              <w:t>4</w:t>
            </w:r>
          </w:p>
        </w:tc>
        <w:tc>
          <w:tcPr>
            <w:tcW w:w="1026" w:type="dxa"/>
          </w:tcPr>
          <w:p w14:paraId="5031C3B0" w14:textId="77777777" w:rsidR="00C218DA" w:rsidRPr="00D462EE" w:rsidRDefault="00C218DA" w:rsidP="0083391A">
            <w:pPr>
              <w:pStyle w:val="R"/>
              <w:rPr>
                <w:rtl/>
              </w:rPr>
            </w:pPr>
            <w:r w:rsidRPr="00D462EE">
              <w:rPr>
                <w:rtl/>
              </w:rPr>
              <w:t>178</w:t>
            </w:r>
          </w:p>
        </w:tc>
        <w:tc>
          <w:tcPr>
            <w:tcW w:w="1026" w:type="dxa"/>
          </w:tcPr>
          <w:p w14:paraId="202D283B" w14:textId="77777777" w:rsidR="00C218DA" w:rsidRPr="00D462EE" w:rsidRDefault="00C218DA" w:rsidP="0083391A">
            <w:pPr>
              <w:pStyle w:val="R"/>
              <w:rPr>
                <w:rtl/>
              </w:rPr>
            </w:pPr>
            <w:r w:rsidRPr="00D462EE">
              <w:rPr>
                <w:rtl/>
              </w:rPr>
              <w:t>268</w:t>
            </w:r>
          </w:p>
        </w:tc>
        <w:tc>
          <w:tcPr>
            <w:tcW w:w="1026" w:type="dxa"/>
          </w:tcPr>
          <w:p w14:paraId="7F6D2B7B" w14:textId="77777777" w:rsidR="00C218DA" w:rsidRPr="00D462EE" w:rsidRDefault="00C218DA" w:rsidP="0083391A">
            <w:pPr>
              <w:pStyle w:val="R"/>
              <w:rPr>
                <w:b/>
                <w:bCs/>
                <w:rtl/>
              </w:rPr>
            </w:pPr>
            <w:r w:rsidRPr="00D462EE">
              <w:rPr>
                <w:b/>
                <w:bCs/>
                <w:rtl/>
              </w:rPr>
              <w:t>446</w:t>
            </w:r>
          </w:p>
        </w:tc>
      </w:tr>
      <w:tr w:rsidR="00C218DA" w14:paraId="7BBC1265" w14:textId="77777777" w:rsidTr="005138F5">
        <w:trPr>
          <w:jc w:val="center"/>
        </w:trPr>
        <w:tc>
          <w:tcPr>
            <w:tcW w:w="1026" w:type="dxa"/>
          </w:tcPr>
          <w:p w14:paraId="5C7D171A" w14:textId="77777777" w:rsidR="00C218DA" w:rsidRPr="00D462EE" w:rsidRDefault="00C218DA" w:rsidP="0083391A">
            <w:pPr>
              <w:pStyle w:val="R"/>
              <w:rPr>
                <w:rtl/>
              </w:rPr>
            </w:pPr>
            <w:r w:rsidRPr="00D462EE">
              <w:rPr>
                <w:rtl/>
              </w:rPr>
              <w:t>4.5</w:t>
            </w:r>
          </w:p>
        </w:tc>
        <w:tc>
          <w:tcPr>
            <w:tcW w:w="1026" w:type="dxa"/>
          </w:tcPr>
          <w:p w14:paraId="45EC2466" w14:textId="77777777" w:rsidR="00C218DA" w:rsidRPr="00D462EE" w:rsidRDefault="00C218DA" w:rsidP="0083391A">
            <w:pPr>
              <w:pStyle w:val="R"/>
              <w:rPr>
                <w:rtl/>
              </w:rPr>
            </w:pPr>
            <w:r w:rsidRPr="00D462EE">
              <w:rPr>
                <w:rtl/>
              </w:rPr>
              <w:t>12</w:t>
            </w:r>
          </w:p>
        </w:tc>
        <w:tc>
          <w:tcPr>
            <w:tcW w:w="1026" w:type="dxa"/>
          </w:tcPr>
          <w:p w14:paraId="0F3D42BC" w14:textId="77777777" w:rsidR="00C218DA" w:rsidRPr="00D462EE" w:rsidRDefault="00C218DA" w:rsidP="0083391A">
            <w:pPr>
              <w:pStyle w:val="R"/>
              <w:rPr>
                <w:rtl/>
              </w:rPr>
            </w:pPr>
            <w:r w:rsidRPr="00D462EE">
              <w:rPr>
                <w:rtl/>
              </w:rPr>
              <w:t>13</w:t>
            </w:r>
          </w:p>
        </w:tc>
        <w:tc>
          <w:tcPr>
            <w:tcW w:w="1026" w:type="dxa"/>
          </w:tcPr>
          <w:p w14:paraId="3C35EC6E" w14:textId="77777777" w:rsidR="00C218DA" w:rsidRPr="00D462EE" w:rsidRDefault="00C218DA" w:rsidP="0083391A">
            <w:pPr>
              <w:pStyle w:val="R"/>
              <w:rPr>
                <w:b/>
                <w:bCs/>
                <w:rtl/>
              </w:rPr>
            </w:pPr>
            <w:r w:rsidRPr="00D462EE">
              <w:rPr>
                <w:b/>
                <w:bCs/>
                <w:rtl/>
              </w:rPr>
              <w:t>25</w:t>
            </w:r>
          </w:p>
        </w:tc>
      </w:tr>
      <w:tr w:rsidR="00C218DA" w14:paraId="65F21D56" w14:textId="77777777" w:rsidTr="005138F5">
        <w:trPr>
          <w:jc w:val="center"/>
        </w:trPr>
        <w:tc>
          <w:tcPr>
            <w:tcW w:w="1026" w:type="dxa"/>
          </w:tcPr>
          <w:p w14:paraId="791AB61B" w14:textId="77777777" w:rsidR="00C218DA" w:rsidRPr="00D462EE" w:rsidRDefault="00C218DA" w:rsidP="0083391A">
            <w:pPr>
              <w:pStyle w:val="R"/>
              <w:rPr>
                <w:rtl/>
              </w:rPr>
            </w:pPr>
            <w:r w:rsidRPr="00D462EE">
              <w:rPr>
                <w:rtl/>
              </w:rPr>
              <w:t>5</w:t>
            </w:r>
          </w:p>
        </w:tc>
        <w:tc>
          <w:tcPr>
            <w:tcW w:w="1026" w:type="dxa"/>
          </w:tcPr>
          <w:p w14:paraId="10C92F1C" w14:textId="77777777" w:rsidR="00C218DA" w:rsidRPr="00D462EE" w:rsidRDefault="00C218DA" w:rsidP="0083391A">
            <w:pPr>
              <w:pStyle w:val="R"/>
              <w:rPr>
                <w:rtl/>
              </w:rPr>
            </w:pPr>
            <w:r w:rsidRPr="00D462EE">
              <w:rPr>
                <w:rtl/>
              </w:rPr>
              <w:t>17</w:t>
            </w:r>
          </w:p>
        </w:tc>
        <w:tc>
          <w:tcPr>
            <w:tcW w:w="1026" w:type="dxa"/>
          </w:tcPr>
          <w:p w14:paraId="1120FE0C" w14:textId="77777777" w:rsidR="00C218DA" w:rsidRPr="00D462EE" w:rsidRDefault="00C218DA" w:rsidP="0083391A">
            <w:pPr>
              <w:pStyle w:val="R"/>
              <w:rPr>
                <w:rtl/>
              </w:rPr>
            </w:pPr>
            <w:r w:rsidRPr="00D462EE">
              <w:rPr>
                <w:rtl/>
              </w:rPr>
              <w:t>39</w:t>
            </w:r>
          </w:p>
        </w:tc>
        <w:tc>
          <w:tcPr>
            <w:tcW w:w="1026" w:type="dxa"/>
          </w:tcPr>
          <w:p w14:paraId="39BEC0AA" w14:textId="77777777" w:rsidR="00C218DA" w:rsidRPr="00D462EE" w:rsidRDefault="00C218DA" w:rsidP="0083391A">
            <w:pPr>
              <w:pStyle w:val="R"/>
              <w:rPr>
                <w:b/>
                <w:bCs/>
                <w:rtl/>
              </w:rPr>
            </w:pPr>
            <w:r w:rsidRPr="00D462EE">
              <w:rPr>
                <w:b/>
                <w:bCs/>
                <w:rtl/>
              </w:rPr>
              <w:t>56</w:t>
            </w:r>
          </w:p>
        </w:tc>
      </w:tr>
      <w:tr w:rsidR="00C218DA" w14:paraId="73C86F8F" w14:textId="77777777" w:rsidTr="005138F5">
        <w:trPr>
          <w:jc w:val="center"/>
        </w:trPr>
        <w:tc>
          <w:tcPr>
            <w:tcW w:w="1026" w:type="dxa"/>
          </w:tcPr>
          <w:p w14:paraId="145C5572" w14:textId="77777777" w:rsidR="00C218DA" w:rsidRPr="00D462EE" w:rsidRDefault="00C218DA" w:rsidP="0083391A">
            <w:pPr>
              <w:pStyle w:val="R"/>
              <w:rPr>
                <w:rtl/>
              </w:rPr>
            </w:pPr>
            <w:r w:rsidRPr="00D462EE">
              <w:rPr>
                <w:rtl/>
              </w:rPr>
              <w:t>5.5</w:t>
            </w:r>
          </w:p>
        </w:tc>
        <w:tc>
          <w:tcPr>
            <w:tcW w:w="1026" w:type="dxa"/>
          </w:tcPr>
          <w:p w14:paraId="3546AACA" w14:textId="77777777" w:rsidR="00C218DA" w:rsidRPr="00D462EE" w:rsidRDefault="00C218DA" w:rsidP="0083391A">
            <w:pPr>
              <w:pStyle w:val="R"/>
              <w:rPr>
                <w:rtl/>
              </w:rPr>
            </w:pPr>
            <w:r>
              <w:rPr>
                <w:rFonts w:hint="cs"/>
                <w:rtl/>
              </w:rPr>
              <w:t>0</w:t>
            </w:r>
          </w:p>
        </w:tc>
        <w:tc>
          <w:tcPr>
            <w:tcW w:w="1026" w:type="dxa"/>
          </w:tcPr>
          <w:p w14:paraId="7312DFF2" w14:textId="77777777" w:rsidR="00C218DA" w:rsidRPr="00D462EE" w:rsidRDefault="00C218DA" w:rsidP="0083391A">
            <w:pPr>
              <w:pStyle w:val="R"/>
              <w:rPr>
                <w:rtl/>
              </w:rPr>
            </w:pPr>
            <w:r w:rsidRPr="00D462EE">
              <w:rPr>
                <w:rtl/>
              </w:rPr>
              <w:t>4</w:t>
            </w:r>
          </w:p>
        </w:tc>
        <w:tc>
          <w:tcPr>
            <w:tcW w:w="1026" w:type="dxa"/>
          </w:tcPr>
          <w:p w14:paraId="36263B94" w14:textId="77777777" w:rsidR="00C218DA" w:rsidRPr="00D462EE" w:rsidRDefault="00C218DA" w:rsidP="0083391A">
            <w:pPr>
              <w:pStyle w:val="R"/>
              <w:rPr>
                <w:b/>
                <w:bCs/>
                <w:rtl/>
              </w:rPr>
            </w:pPr>
            <w:r w:rsidRPr="00D462EE">
              <w:rPr>
                <w:b/>
                <w:bCs/>
                <w:rtl/>
              </w:rPr>
              <w:t>4</w:t>
            </w:r>
          </w:p>
        </w:tc>
      </w:tr>
      <w:tr w:rsidR="00C218DA" w14:paraId="161F6F30" w14:textId="77777777" w:rsidTr="005138F5">
        <w:trPr>
          <w:jc w:val="center"/>
        </w:trPr>
        <w:tc>
          <w:tcPr>
            <w:tcW w:w="1026" w:type="dxa"/>
          </w:tcPr>
          <w:p w14:paraId="6B6CB622" w14:textId="77777777" w:rsidR="00C218DA" w:rsidRPr="00D462EE" w:rsidRDefault="00C218DA" w:rsidP="0083391A">
            <w:pPr>
              <w:pStyle w:val="R"/>
              <w:rPr>
                <w:rtl/>
              </w:rPr>
            </w:pPr>
            <w:r w:rsidRPr="00D462EE">
              <w:rPr>
                <w:rtl/>
              </w:rPr>
              <w:t>6</w:t>
            </w:r>
          </w:p>
        </w:tc>
        <w:tc>
          <w:tcPr>
            <w:tcW w:w="1026" w:type="dxa"/>
          </w:tcPr>
          <w:p w14:paraId="449439DA" w14:textId="77777777" w:rsidR="00C218DA" w:rsidRPr="00D462EE" w:rsidRDefault="00C218DA" w:rsidP="0083391A">
            <w:pPr>
              <w:pStyle w:val="R"/>
              <w:rPr>
                <w:rtl/>
              </w:rPr>
            </w:pPr>
            <w:r w:rsidRPr="00D462EE">
              <w:rPr>
                <w:rtl/>
              </w:rPr>
              <w:t>3</w:t>
            </w:r>
          </w:p>
        </w:tc>
        <w:tc>
          <w:tcPr>
            <w:tcW w:w="1026" w:type="dxa"/>
          </w:tcPr>
          <w:p w14:paraId="057C31A5" w14:textId="77777777" w:rsidR="00C218DA" w:rsidRPr="00D462EE" w:rsidRDefault="00C218DA" w:rsidP="0083391A">
            <w:pPr>
              <w:pStyle w:val="R"/>
              <w:rPr>
                <w:rtl/>
              </w:rPr>
            </w:pPr>
            <w:r w:rsidRPr="00D462EE">
              <w:rPr>
                <w:rtl/>
              </w:rPr>
              <w:t>5</w:t>
            </w:r>
          </w:p>
        </w:tc>
        <w:tc>
          <w:tcPr>
            <w:tcW w:w="1026" w:type="dxa"/>
          </w:tcPr>
          <w:p w14:paraId="08894B6E" w14:textId="77777777" w:rsidR="00C218DA" w:rsidRPr="00D462EE" w:rsidRDefault="00C218DA" w:rsidP="0083391A">
            <w:pPr>
              <w:pStyle w:val="R"/>
              <w:rPr>
                <w:b/>
                <w:bCs/>
                <w:rtl/>
              </w:rPr>
            </w:pPr>
            <w:r w:rsidRPr="00D462EE">
              <w:rPr>
                <w:b/>
                <w:bCs/>
                <w:rtl/>
              </w:rPr>
              <w:t>8</w:t>
            </w:r>
          </w:p>
        </w:tc>
      </w:tr>
      <w:tr w:rsidR="00C218DA" w14:paraId="41AE0FC2" w14:textId="77777777" w:rsidTr="0083391A">
        <w:trPr>
          <w:jc w:val="center"/>
        </w:trPr>
        <w:tc>
          <w:tcPr>
            <w:tcW w:w="1026" w:type="dxa"/>
            <w:shd w:val="clear" w:color="auto" w:fill="C6D9F1"/>
          </w:tcPr>
          <w:p w14:paraId="4EF94F11" w14:textId="77777777" w:rsidR="00C218DA" w:rsidRPr="0083391A" w:rsidRDefault="00C218DA" w:rsidP="0083391A">
            <w:pPr>
              <w:pStyle w:val="B"/>
              <w:rPr>
                <w:szCs w:val="20"/>
                <w:rtl/>
              </w:rPr>
            </w:pPr>
            <w:r w:rsidRPr="0083391A">
              <w:rPr>
                <w:rFonts w:hint="eastAsia"/>
                <w:szCs w:val="20"/>
                <w:rtl/>
              </w:rPr>
              <w:t>סה</w:t>
            </w:r>
            <w:r w:rsidRPr="0083391A">
              <w:rPr>
                <w:szCs w:val="20"/>
                <w:rtl/>
              </w:rPr>
              <w:t>"כ</w:t>
            </w:r>
          </w:p>
        </w:tc>
        <w:tc>
          <w:tcPr>
            <w:tcW w:w="1026" w:type="dxa"/>
            <w:shd w:val="clear" w:color="auto" w:fill="C6D9F1"/>
          </w:tcPr>
          <w:p w14:paraId="4D5B15B8" w14:textId="77777777" w:rsidR="00C218DA" w:rsidRPr="0083391A" w:rsidRDefault="00C218DA" w:rsidP="0083391A">
            <w:pPr>
              <w:pStyle w:val="B"/>
              <w:rPr>
                <w:szCs w:val="20"/>
                <w:rtl/>
              </w:rPr>
            </w:pPr>
            <w:r w:rsidRPr="0083391A">
              <w:rPr>
                <w:szCs w:val="20"/>
                <w:rtl/>
              </w:rPr>
              <w:t>210</w:t>
            </w:r>
          </w:p>
        </w:tc>
        <w:tc>
          <w:tcPr>
            <w:tcW w:w="1026" w:type="dxa"/>
            <w:shd w:val="clear" w:color="auto" w:fill="C6D9F1"/>
          </w:tcPr>
          <w:p w14:paraId="3A5D05D1" w14:textId="77777777" w:rsidR="00C218DA" w:rsidRPr="0083391A" w:rsidRDefault="00C218DA" w:rsidP="0083391A">
            <w:pPr>
              <w:pStyle w:val="B"/>
              <w:rPr>
                <w:szCs w:val="20"/>
                <w:rtl/>
              </w:rPr>
            </w:pPr>
            <w:r w:rsidRPr="0083391A">
              <w:rPr>
                <w:szCs w:val="20"/>
                <w:rtl/>
              </w:rPr>
              <w:t>329</w:t>
            </w:r>
          </w:p>
        </w:tc>
        <w:tc>
          <w:tcPr>
            <w:tcW w:w="1026" w:type="dxa"/>
            <w:shd w:val="clear" w:color="auto" w:fill="C6D9F1"/>
          </w:tcPr>
          <w:p w14:paraId="1DB4F1D4" w14:textId="77777777" w:rsidR="00C218DA" w:rsidRPr="0083391A" w:rsidRDefault="00C218DA" w:rsidP="0083391A">
            <w:pPr>
              <w:pStyle w:val="B"/>
              <w:rPr>
                <w:szCs w:val="20"/>
                <w:rtl/>
              </w:rPr>
            </w:pPr>
            <w:r w:rsidRPr="0083391A">
              <w:rPr>
                <w:szCs w:val="20"/>
                <w:rtl/>
              </w:rPr>
              <w:t>539</w:t>
            </w:r>
          </w:p>
        </w:tc>
      </w:tr>
    </w:tbl>
    <w:p w14:paraId="4D9F52BA" w14:textId="77777777" w:rsidR="00C218DA" w:rsidRDefault="00C218DA" w:rsidP="0083391A">
      <w:pPr>
        <w:pStyle w:val="aff3"/>
        <w:rPr>
          <w:rtl/>
        </w:rPr>
      </w:pPr>
      <w:r w:rsidRPr="00352513">
        <w:rPr>
          <w:rFonts w:hint="cs"/>
          <w:rtl/>
        </w:rPr>
        <w:t>על פי נתוני משרד ה</w:t>
      </w:r>
      <w:r>
        <w:rPr>
          <w:rFonts w:hint="cs"/>
          <w:rtl/>
        </w:rPr>
        <w:t>בינוי</w:t>
      </w:r>
      <w:r w:rsidRPr="00352513">
        <w:rPr>
          <w:rFonts w:hint="cs"/>
          <w:rtl/>
        </w:rPr>
        <w:t>, בעיבוד של משרד מבקר המדינה.</w:t>
      </w:r>
    </w:p>
    <w:p w14:paraId="7288C35B" w14:textId="77777777" w:rsidR="0083391A" w:rsidRDefault="0083391A" w:rsidP="00AB7539">
      <w:pPr>
        <w:pStyle w:val="aa"/>
        <w:rPr>
          <w:rtl/>
        </w:rPr>
      </w:pPr>
    </w:p>
    <w:p w14:paraId="458EB2D7" w14:textId="03CB075F" w:rsidR="00C218DA" w:rsidRPr="00BD5DFF" w:rsidRDefault="00C218DA" w:rsidP="00AB7539">
      <w:pPr>
        <w:pStyle w:val="aa"/>
        <w:rPr>
          <w:rtl/>
        </w:rPr>
      </w:pPr>
      <w:r w:rsidRPr="00602E86">
        <w:rPr>
          <w:rFonts w:hint="eastAsia"/>
          <w:rtl/>
        </w:rPr>
        <w:t>לוח</w:t>
      </w:r>
      <w:r w:rsidRPr="00602E86">
        <w:rPr>
          <w:rtl/>
        </w:rPr>
        <w:t xml:space="preserve"> 6: </w:t>
      </w:r>
      <w:r w:rsidRPr="00602E86">
        <w:rPr>
          <w:rFonts w:hint="eastAsia"/>
          <w:rtl/>
        </w:rPr>
        <w:t>דירות</w:t>
      </w:r>
      <w:r w:rsidRPr="00602E86">
        <w:rPr>
          <w:rtl/>
        </w:rPr>
        <w:t xml:space="preserve"> </w:t>
      </w:r>
      <w:r>
        <w:rPr>
          <w:rFonts w:hint="cs"/>
          <w:rtl/>
        </w:rPr>
        <w:t>של</w:t>
      </w:r>
      <w:r w:rsidRPr="00BD5DFF">
        <w:rPr>
          <w:rtl/>
        </w:rPr>
        <w:t xml:space="preserve"> </w:t>
      </w:r>
      <w:r w:rsidRPr="00BD5DFF">
        <w:rPr>
          <w:rFonts w:hint="eastAsia"/>
          <w:rtl/>
        </w:rPr>
        <w:t>ארבעה</w:t>
      </w:r>
      <w:r w:rsidRPr="00BD5DFF">
        <w:rPr>
          <w:rtl/>
        </w:rPr>
        <w:t xml:space="preserve"> </w:t>
      </w:r>
      <w:r w:rsidRPr="00BD5DFF">
        <w:rPr>
          <w:rFonts w:hint="eastAsia"/>
          <w:rtl/>
        </w:rPr>
        <w:t>חדרים</w:t>
      </w:r>
      <w:r w:rsidRPr="00BD5DFF">
        <w:rPr>
          <w:rtl/>
        </w:rPr>
        <w:t xml:space="preserve"> </w:t>
      </w:r>
      <w:r w:rsidRPr="00BD5DFF">
        <w:rPr>
          <w:rFonts w:hint="eastAsia"/>
          <w:rtl/>
        </w:rPr>
        <w:t>ויותר</w:t>
      </w:r>
      <w:r w:rsidRPr="00BD5DFF">
        <w:rPr>
          <w:rtl/>
        </w:rPr>
        <w:t xml:space="preserve"> </w:t>
      </w:r>
      <w:r w:rsidRPr="00BD5DFF">
        <w:rPr>
          <w:rFonts w:hint="eastAsia"/>
          <w:rtl/>
        </w:rPr>
        <w:t>שבהן</w:t>
      </w:r>
      <w:r w:rsidRPr="00BD5DFF">
        <w:rPr>
          <w:rtl/>
        </w:rPr>
        <w:t xml:space="preserve"> </w:t>
      </w:r>
      <w:r w:rsidRPr="00BD5DFF">
        <w:rPr>
          <w:rFonts w:hint="eastAsia"/>
          <w:rtl/>
        </w:rPr>
        <w:t>התגוררו</w:t>
      </w:r>
      <w:r w:rsidRPr="00BD5DFF">
        <w:rPr>
          <w:rtl/>
        </w:rPr>
        <w:t xml:space="preserve"> </w:t>
      </w:r>
      <w:r w:rsidRPr="00BD5DFF">
        <w:rPr>
          <w:rFonts w:hint="eastAsia"/>
          <w:rtl/>
        </w:rPr>
        <w:t>נפש</w:t>
      </w:r>
      <w:r w:rsidRPr="00BD5DFF">
        <w:rPr>
          <w:rtl/>
        </w:rPr>
        <w:t xml:space="preserve"> </w:t>
      </w:r>
      <w:r w:rsidRPr="00BD5DFF">
        <w:rPr>
          <w:rFonts w:hint="eastAsia"/>
          <w:rtl/>
        </w:rPr>
        <w:t>אחת</w:t>
      </w:r>
      <w:r w:rsidRPr="00BD5DFF">
        <w:rPr>
          <w:rtl/>
        </w:rPr>
        <w:t xml:space="preserve"> </w:t>
      </w:r>
      <w:r w:rsidRPr="00BD5DFF">
        <w:rPr>
          <w:rFonts w:hint="eastAsia"/>
          <w:rtl/>
        </w:rPr>
        <w:t>או</w:t>
      </w:r>
      <w:r w:rsidRPr="00BD5DFF">
        <w:rPr>
          <w:rtl/>
        </w:rPr>
        <w:t xml:space="preserve"> </w:t>
      </w:r>
      <w:r w:rsidRPr="00BD5DFF">
        <w:rPr>
          <w:rFonts w:hint="eastAsia"/>
          <w:rtl/>
        </w:rPr>
        <w:t>שתיים</w:t>
      </w:r>
      <w:r w:rsidR="00A44262">
        <w:rPr>
          <w:rtl/>
        </w:rPr>
        <w:br/>
      </w:r>
      <w:r w:rsidRPr="00BD5DFF">
        <w:rPr>
          <w:rFonts w:hint="eastAsia"/>
          <w:rtl/>
        </w:rPr>
        <w:t>שאינן</w:t>
      </w:r>
      <w:r w:rsidRPr="00BD5DFF">
        <w:rPr>
          <w:rtl/>
        </w:rPr>
        <w:t xml:space="preserve"> </w:t>
      </w:r>
      <w:r w:rsidRPr="00BD5DFF">
        <w:rPr>
          <w:rFonts w:hint="eastAsia"/>
          <w:rtl/>
        </w:rPr>
        <w:t>ביישובי</w:t>
      </w:r>
      <w:r w:rsidRPr="00BD5DFF">
        <w:rPr>
          <w:rtl/>
        </w:rPr>
        <w:t xml:space="preserve"> </w:t>
      </w:r>
      <w:r w:rsidRPr="00BD5DFF">
        <w:rPr>
          <w:rFonts w:hint="eastAsia"/>
          <w:rtl/>
        </w:rPr>
        <w:t>ביקוש</w:t>
      </w:r>
    </w:p>
    <w:tbl>
      <w:tblPr>
        <w:tblStyle w:val="TableGrid"/>
        <w:bidiVisual/>
        <w:tblW w:w="0" w:type="auto"/>
        <w:jc w:val="center"/>
        <w:tblLook w:val="04A0" w:firstRow="1" w:lastRow="0" w:firstColumn="1" w:lastColumn="0" w:noHBand="0" w:noVBand="1"/>
      </w:tblPr>
      <w:tblGrid>
        <w:gridCol w:w="1026"/>
        <w:gridCol w:w="1026"/>
        <w:gridCol w:w="1026"/>
        <w:gridCol w:w="1026"/>
      </w:tblGrid>
      <w:tr w:rsidR="00C218DA" w14:paraId="0C985D7D" w14:textId="77777777" w:rsidTr="0083391A">
        <w:trPr>
          <w:jc w:val="center"/>
        </w:trPr>
        <w:tc>
          <w:tcPr>
            <w:tcW w:w="1026" w:type="dxa"/>
            <w:vMerge w:val="restart"/>
            <w:shd w:val="clear" w:color="auto" w:fill="C6D9F1"/>
          </w:tcPr>
          <w:p w14:paraId="0E6FBE32" w14:textId="77777777" w:rsidR="00C218DA" w:rsidRPr="00D462EE" w:rsidRDefault="00C218DA" w:rsidP="0083391A">
            <w:pPr>
              <w:pStyle w:val="af1"/>
              <w:rPr>
                <w:rtl/>
              </w:rPr>
            </w:pPr>
            <w:r w:rsidRPr="00D462EE">
              <w:rPr>
                <w:rFonts w:hint="eastAsia"/>
                <w:rtl/>
              </w:rPr>
              <w:t>מספר</w:t>
            </w:r>
            <w:r w:rsidRPr="00D462EE">
              <w:rPr>
                <w:rtl/>
              </w:rPr>
              <w:t xml:space="preserve"> </w:t>
            </w:r>
            <w:r>
              <w:rPr>
                <w:rFonts w:hint="cs"/>
                <w:rtl/>
              </w:rPr>
              <w:t>ה</w:t>
            </w:r>
            <w:r w:rsidRPr="00D462EE">
              <w:rPr>
                <w:rFonts w:hint="eastAsia"/>
                <w:rtl/>
              </w:rPr>
              <w:t>חדרים</w:t>
            </w:r>
          </w:p>
        </w:tc>
        <w:tc>
          <w:tcPr>
            <w:tcW w:w="2052" w:type="dxa"/>
            <w:gridSpan w:val="2"/>
            <w:shd w:val="clear" w:color="auto" w:fill="C6D9F1"/>
          </w:tcPr>
          <w:p w14:paraId="6FE040B4" w14:textId="77777777" w:rsidR="00C218DA" w:rsidRPr="00D462EE" w:rsidRDefault="00C218DA" w:rsidP="0083391A">
            <w:pPr>
              <w:pStyle w:val="af1"/>
              <w:rPr>
                <w:rtl/>
              </w:rPr>
            </w:pPr>
            <w:r w:rsidRPr="00D462EE">
              <w:rPr>
                <w:rFonts w:hint="eastAsia"/>
                <w:rtl/>
              </w:rPr>
              <w:t>מספר</w:t>
            </w:r>
            <w:r w:rsidRPr="00D462EE">
              <w:rPr>
                <w:rtl/>
              </w:rPr>
              <w:t xml:space="preserve"> </w:t>
            </w:r>
            <w:r>
              <w:rPr>
                <w:rFonts w:hint="cs"/>
                <w:rtl/>
              </w:rPr>
              <w:t>ה</w:t>
            </w:r>
            <w:r w:rsidRPr="00D462EE">
              <w:rPr>
                <w:rFonts w:hint="eastAsia"/>
                <w:rtl/>
              </w:rPr>
              <w:t>נפשות</w:t>
            </w:r>
          </w:p>
        </w:tc>
        <w:tc>
          <w:tcPr>
            <w:tcW w:w="1026" w:type="dxa"/>
            <w:vMerge w:val="restart"/>
            <w:shd w:val="clear" w:color="auto" w:fill="C6D9F1"/>
          </w:tcPr>
          <w:p w14:paraId="091F309B" w14:textId="77777777" w:rsidR="00C218DA" w:rsidRPr="00D462EE" w:rsidRDefault="00C218DA" w:rsidP="0083391A">
            <w:pPr>
              <w:pStyle w:val="af1"/>
              <w:rPr>
                <w:rtl/>
              </w:rPr>
            </w:pPr>
            <w:r w:rsidRPr="00D462EE">
              <w:rPr>
                <w:rFonts w:hint="eastAsia"/>
                <w:rtl/>
              </w:rPr>
              <w:t>סה</w:t>
            </w:r>
            <w:r w:rsidRPr="00D462EE">
              <w:rPr>
                <w:rtl/>
              </w:rPr>
              <w:t>"כ</w:t>
            </w:r>
          </w:p>
        </w:tc>
      </w:tr>
      <w:tr w:rsidR="00C218DA" w14:paraId="114F5877" w14:textId="77777777" w:rsidTr="0083391A">
        <w:trPr>
          <w:jc w:val="center"/>
        </w:trPr>
        <w:tc>
          <w:tcPr>
            <w:tcW w:w="1026" w:type="dxa"/>
            <w:vMerge/>
            <w:shd w:val="clear" w:color="auto" w:fill="C6D9F1"/>
          </w:tcPr>
          <w:p w14:paraId="4C473A35" w14:textId="77777777" w:rsidR="00C218DA" w:rsidRPr="00D462EE" w:rsidRDefault="00C218DA" w:rsidP="0083391A">
            <w:pPr>
              <w:pStyle w:val="af1"/>
              <w:rPr>
                <w:rtl/>
              </w:rPr>
            </w:pPr>
          </w:p>
        </w:tc>
        <w:tc>
          <w:tcPr>
            <w:tcW w:w="1026" w:type="dxa"/>
            <w:shd w:val="clear" w:color="auto" w:fill="C6D9F1"/>
          </w:tcPr>
          <w:p w14:paraId="6390ED20" w14:textId="77777777" w:rsidR="00C218DA" w:rsidRPr="00D462EE" w:rsidRDefault="00C218DA" w:rsidP="0083391A">
            <w:pPr>
              <w:pStyle w:val="af1"/>
              <w:rPr>
                <w:rtl/>
              </w:rPr>
            </w:pPr>
            <w:r w:rsidRPr="00D462EE">
              <w:rPr>
                <w:rtl/>
              </w:rPr>
              <w:t>1</w:t>
            </w:r>
          </w:p>
        </w:tc>
        <w:tc>
          <w:tcPr>
            <w:tcW w:w="1026" w:type="dxa"/>
            <w:shd w:val="clear" w:color="auto" w:fill="C6D9F1"/>
          </w:tcPr>
          <w:p w14:paraId="49E5D7B7" w14:textId="77777777" w:rsidR="00C218DA" w:rsidRPr="00D462EE" w:rsidRDefault="00C218DA" w:rsidP="0083391A">
            <w:pPr>
              <w:pStyle w:val="af1"/>
              <w:rPr>
                <w:rtl/>
              </w:rPr>
            </w:pPr>
            <w:r w:rsidRPr="00D462EE">
              <w:rPr>
                <w:rtl/>
              </w:rPr>
              <w:t>2</w:t>
            </w:r>
          </w:p>
        </w:tc>
        <w:tc>
          <w:tcPr>
            <w:tcW w:w="1026" w:type="dxa"/>
            <w:vMerge/>
            <w:shd w:val="clear" w:color="auto" w:fill="C6D9F1"/>
          </w:tcPr>
          <w:p w14:paraId="11916153" w14:textId="77777777" w:rsidR="00C218DA" w:rsidRPr="00D462EE" w:rsidRDefault="00C218DA" w:rsidP="0083391A">
            <w:pPr>
              <w:pStyle w:val="af1"/>
              <w:rPr>
                <w:rtl/>
              </w:rPr>
            </w:pPr>
          </w:p>
        </w:tc>
      </w:tr>
      <w:tr w:rsidR="00C218DA" w14:paraId="69B22967" w14:textId="77777777" w:rsidTr="005138F5">
        <w:trPr>
          <w:jc w:val="center"/>
        </w:trPr>
        <w:tc>
          <w:tcPr>
            <w:tcW w:w="1026" w:type="dxa"/>
          </w:tcPr>
          <w:p w14:paraId="2C018042" w14:textId="77777777" w:rsidR="00C218DA" w:rsidRPr="00D462EE" w:rsidRDefault="00C218DA" w:rsidP="0083391A">
            <w:pPr>
              <w:pStyle w:val="R"/>
              <w:rPr>
                <w:rtl/>
              </w:rPr>
            </w:pPr>
            <w:r w:rsidRPr="00D462EE">
              <w:rPr>
                <w:rtl/>
              </w:rPr>
              <w:t>4</w:t>
            </w:r>
          </w:p>
        </w:tc>
        <w:tc>
          <w:tcPr>
            <w:tcW w:w="1026" w:type="dxa"/>
          </w:tcPr>
          <w:p w14:paraId="50A23233" w14:textId="77777777" w:rsidR="00C218DA" w:rsidRPr="00D462EE" w:rsidRDefault="00C218DA" w:rsidP="0083391A">
            <w:pPr>
              <w:pStyle w:val="R"/>
              <w:rPr>
                <w:rtl/>
              </w:rPr>
            </w:pPr>
            <w:r w:rsidRPr="00D462EE">
              <w:rPr>
                <w:rtl/>
              </w:rPr>
              <w:t>635</w:t>
            </w:r>
          </w:p>
        </w:tc>
        <w:tc>
          <w:tcPr>
            <w:tcW w:w="1026" w:type="dxa"/>
          </w:tcPr>
          <w:p w14:paraId="796CC0A4" w14:textId="77777777" w:rsidR="00C218DA" w:rsidRPr="00D462EE" w:rsidRDefault="00C218DA" w:rsidP="0083391A">
            <w:pPr>
              <w:pStyle w:val="R"/>
              <w:rPr>
                <w:rtl/>
              </w:rPr>
            </w:pPr>
            <w:r w:rsidRPr="00D462EE">
              <w:rPr>
                <w:rtl/>
              </w:rPr>
              <w:t>669</w:t>
            </w:r>
          </w:p>
        </w:tc>
        <w:tc>
          <w:tcPr>
            <w:tcW w:w="1026" w:type="dxa"/>
          </w:tcPr>
          <w:p w14:paraId="5C2745EB" w14:textId="77777777" w:rsidR="00C218DA" w:rsidRPr="00D462EE" w:rsidRDefault="00C218DA" w:rsidP="0083391A">
            <w:pPr>
              <w:pStyle w:val="R"/>
              <w:rPr>
                <w:b/>
                <w:bCs/>
                <w:rtl/>
              </w:rPr>
            </w:pPr>
            <w:r w:rsidRPr="00D462EE">
              <w:rPr>
                <w:b/>
                <w:bCs/>
                <w:rtl/>
              </w:rPr>
              <w:t>1,304</w:t>
            </w:r>
          </w:p>
        </w:tc>
      </w:tr>
      <w:tr w:rsidR="00C218DA" w14:paraId="13B8C9E9" w14:textId="77777777" w:rsidTr="005138F5">
        <w:trPr>
          <w:jc w:val="center"/>
        </w:trPr>
        <w:tc>
          <w:tcPr>
            <w:tcW w:w="1026" w:type="dxa"/>
          </w:tcPr>
          <w:p w14:paraId="72EB36DF" w14:textId="77777777" w:rsidR="00C218DA" w:rsidRPr="00D462EE" w:rsidRDefault="00C218DA" w:rsidP="0083391A">
            <w:pPr>
              <w:pStyle w:val="R"/>
              <w:rPr>
                <w:rtl/>
              </w:rPr>
            </w:pPr>
            <w:r w:rsidRPr="00D462EE">
              <w:rPr>
                <w:rtl/>
              </w:rPr>
              <w:t>4.5</w:t>
            </w:r>
          </w:p>
        </w:tc>
        <w:tc>
          <w:tcPr>
            <w:tcW w:w="1026" w:type="dxa"/>
          </w:tcPr>
          <w:p w14:paraId="44A4FCC7" w14:textId="77777777" w:rsidR="00C218DA" w:rsidRPr="00D462EE" w:rsidRDefault="00C218DA" w:rsidP="0083391A">
            <w:pPr>
              <w:pStyle w:val="R"/>
              <w:rPr>
                <w:rtl/>
              </w:rPr>
            </w:pPr>
            <w:r w:rsidRPr="00D462EE">
              <w:rPr>
                <w:rtl/>
              </w:rPr>
              <w:t>34</w:t>
            </w:r>
          </w:p>
        </w:tc>
        <w:tc>
          <w:tcPr>
            <w:tcW w:w="1026" w:type="dxa"/>
          </w:tcPr>
          <w:p w14:paraId="08822A33" w14:textId="77777777" w:rsidR="00C218DA" w:rsidRPr="00D462EE" w:rsidRDefault="00C218DA" w:rsidP="0083391A">
            <w:pPr>
              <w:pStyle w:val="R"/>
              <w:rPr>
                <w:rtl/>
              </w:rPr>
            </w:pPr>
            <w:r w:rsidRPr="00D462EE">
              <w:rPr>
                <w:rtl/>
              </w:rPr>
              <w:t>34</w:t>
            </w:r>
          </w:p>
        </w:tc>
        <w:tc>
          <w:tcPr>
            <w:tcW w:w="1026" w:type="dxa"/>
          </w:tcPr>
          <w:p w14:paraId="04999A15" w14:textId="77777777" w:rsidR="00C218DA" w:rsidRPr="00D462EE" w:rsidRDefault="00C218DA" w:rsidP="0083391A">
            <w:pPr>
              <w:pStyle w:val="R"/>
              <w:rPr>
                <w:b/>
                <w:bCs/>
                <w:rtl/>
              </w:rPr>
            </w:pPr>
            <w:r w:rsidRPr="00D462EE">
              <w:rPr>
                <w:b/>
                <w:bCs/>
                <w:rtl/>
              </w:rPr>
              <w:t>68</w:t>
            </w:r>
          </w:p>
        </w:tc>
      </w:tr>
      <w:tr w:rsidR="00C218DA" w14:paraId="358DA280" w14:textId="77777777" w:rsidTr="005138F5">
        <w:trPr>
          <w:jc w:val="center"/>
        </w:trPr>
        <w:tc>
          <w:tcPr>
            <w:tcW w:w="1026" w:type="dxa"/>
          </w:tcPr>
          <w:p w14:paraId="33269E8D" w14:textId="77777777" w:rsidR="00C218DA" w:rsidRPr="00D462EE" w:rsidRDefault="00C218DA" w:rsidP="0083391A">
            <w:pPr>
              <w:pStyle w:val="R"/>
              <w:rPr>
                <w:rtl/>
              </w:rPr>
            </w:pPr>
            <w:r w:rsidRPr="00D462EE">
              <w:rPr>
                <w:rtl/>
              </w:rPr>
              <w:t>5</w:t>
            </w:r>
          </w:p>
        </w:tc>
        <w:tc>
          <w:tcPr>
            <w:tcW w:w="1026" w:type="dxa"/>
          </w:tcPr>
          <w:p w14:paraId="6B9D55D2" w14:textId="77777777" w:rsidR="00C218DA" w:rsidRPr="00D462EE" w:rsidRDefault="00C218DA" w:rsidP="0083391A">
            <w:pPr>
              <w:pStyle w:val="R"/>
              <w:rPr>
                <w:rtl/>
              </w:rPr>
            </w:pPr>
            <w:r w:rsidRPr="00D462EE">
              <w:rPr>
                <w:rtl/>
              </w:rPr>
              <w:t>36</w:t>
            </w:r>
          </w:p>
        </w:tc>
        <w:tc>
          <w:tcPr>
            <w:tcW w:w="1026" w:type="dxa"/>
          </w:tcPr>
          <w:p w14:paraId="0DF247E3" w14:textId="77777777" w:rsidR="00C218DA" w:rsidRPr="00D462EE" w:rsidRDefault="00C218DA" w:rsidP="0083391A">
            <w:pPr>
              <w:pStyle w:val="R"/>
              <w:rPr>
                <w:rtl/>
              </w:rPr>
            </w:pPr>
            <w:r w:rsidRPr="00D462EE">
              <w:rPr>
                <w:rtl/>
              </w:rPr>
              <w:t>47</w:t>
            </w:r>
          </w:p>
        </w:tc>
        <w:tc>
          <w:tcPr>
            <w:tcW w:w="1026" w:type="dxa"/>
          </w:tcPr>
          <w:p w14:paraId="22BC86D7" w14:textId="77777777" w:rsidR="00C218DA" w:rsidRPr="00D462EE" w:rsidRDefault="00C218DA" w:rsidP="0083391A">
            <w:pPr>
              <w:pStyle w:val="R"/>
              <w:rPr>
                <w:b/>
                <w:bCs/>
                <w:rtl/>
              </w:rPr>
            </w:pPr>
            <w:r w:rsidRPr="00D462EE">
              <w:rPr>
                <w:b/>
                <w:bCs/>
                <w:rtl/>
              </w:rPr>
              <w:t>83</w:t>
            </w:r>
          </w:p>
        </w:tc>
      </w:tr>
      <w:tr w:rsidR="00C218DA" w14:paraId="4E0BA9D0" w14:textId="77777777" w:rsidTr="005138F5">
        <w:trPr>
          <w:jc w:val="center"/>
        </w:trPr>
        <w:tc>
          <w:tcPr>
            <w:tcW w:w="1026" w:type="dxa"/>
          </w:tcPr>
          <w:p w14:paraId="159FCB6A" w14:textId="77777777" w:rsidR="00C218DA" w:rsidRPr="00D462EE" w:rsidRDefault="00C218DA" w:rsidP="0083391A">
            <w:pPr>
              <w:pStyle w:val="R"/>
              <w:rPr>
                <w:rtl/>
              </w:rPr>
            </w:pPr>
            <w:r w:rsidRPr="00D462EE">
              <w:rPr>
                <w:rtl/>
              </w:rPr>
              <w:t>5.5</w:t>
            </w:r>
          </w:p>
        </w:tc>
        <w:tc>
          <w:tcPr>
            <w:tcW w:w="1026" w:type="dxa"/>
          </w:tcPr>
          <w:p w14:paraId="2E4B5CDA" w14:textId="77777777" w:rsidR="00C218DA" w:rsidRPr="00D462EE" w:rsidRDefault="00C218DA" w:rsidP="0083391A">
            <w:pPr>
              <w:pStyle w:val="R"/>
              <w:rPr>
                <w:rtl/>
              </w:rPr>
            </w:pPr>
            <w:r w:rsidRPr="00D462EE">
              <w:rPr>
                <w:rtl/>
              </w:rPr>
              <w:t>4</w:t>
            </w:r>
          </w:p>
        </w:tc>
        <w:tc>
          <w:tcPr>
            <w:tcW w:w="1026" w:type="dxa"/>
          </w:tcPr>
          <w:p w14:paraId="1C35EBA4" w14:textId="77777777" w:rsidR="00C218DA" w:rsidRPr="00D462EE" w:rsidRDefault="00C218DA" w:rsidP="0083391A">
            <w:pPr>
              <w:pStyle w:val="R"/>
              <w:rPr>
                <w:rtl/>
              </w:rPr>
            </w:pPr>
            <w:r w:rsidRPr="00D462EE">
              <w:rPr>
                <w:rtl/>
              </w:rPr>
              <w:t>6</w:t>
            </w:r>
          </w:p>
        </w:tc>
        <w:tc>
          <w:tcPr>
            <w:tcW w:w="1026" w:type="dxa"/>
          </w:tcPr>
          <w:p w14:paraId="5B9DC140" w14:textId="77777777" w:rsidR="00C218DA" w:rsidRPr="00D462EE" w:rsidRDefault="00C218DA" w:rsidP="0083391A">
            <w:pPr>
              <w:pStyle w:val="R"/>
              <w:rPr>
                <w:b/>
                <w:bCs/>
                <w:rtl/>
              </w:rPr>
            </w:pPr>
            <w:r w:rsidRPr="00D462EE">
              <w:rPr>
                <w:b/>
                <w:bCs/>
                <w:rtl/>
              </w:rPr>
              <w:t>10</w:t>
            </w:r>
          </w:p>
        </w:tc>
      </w:tr>
      <w:tr w:rsidR="00C218DA" w14:paraId="28DBD76C" w14:textId="77777777" w:rsidTr="005138F5">
        <w:trPr>
          <w:jc w:val="center"/>
        </w:trPr>
        <w:tc>
          <w:tcPr>
            <w:tcW w:w="1026" w:type="dxa"/>
          </w:tcPr>
          <w:p w14:paraId="307E6A2E" w14:textId="77777777" w:rsidR="00C218DA" w:rsidRPr="00D462EE" w:rsidRDefault="00C218DA" w:rsidP="0083391A">
            <w:pPr>
              <w:pStyle w:val="R"/>
              <w:rPr>
                <w:rtl/>
              </w:rPr>
            </w:pPr>
            <w:r w:rsidRPr="00D462EE">
              <w:rPr>
                <w:rtl/>
              </w:rPr>
              <w:t>6</w:t>
            </w:r>
          </w:p>
        </w:tc>
        <w:tc>
          <w:tcPr>
            <w:tcW w:w="1026" w:type="dxa"/>
          </w:tcPr>
          <w:p w14:paraId="7CBC2379" w14:textId="77777777" w:rsidR="00C218DA" w:rsidRPr="00D462EE" w:rsidRDefault="00C218DA" w:rsidP="0083391A">
            <w:pPr>
              <w:pStyle w:val="R"/>
              <w:rPr>
                <w:rtl/>
              </w:rPr>
            </w:pPr>
            <w:r w:rsidRPr="00D462EE">
              <w:rPr>
                <w:rtl/>
              </w:rPr>
              <w:t>33</w:t>
            </w:r>
          </w:p>
        </w:tc>
        <w:tc>
          <w:tcPr>
            <w:tcW w:w="1026" w:type="dxa"/>
          </w:tcPr>
          <w:p w14:paraId="58A9E512" w14:textId="77777777" w:rsidR="00C218DA" w:rsidRPr="00D462EE" w:rsidRDefault="00C218DA" w:rsidP="0083391A">
            <w:pPr>
              <w:pStyle w:val="R"/>
              <w:rPr>
                <w:rtl/>
              </w:rPr>
            </w:pPr>
            <w:r w:rsidRPr="00D462EE">
              <w:rPr>
                <w:rtl/>
              </w:rPr>
              <w:t>40</w:t>
            </w:r>
          </w:p>
        </w:tc>
        <w:tc>
          <w:tcPr>
            <w:tcW w:w="1026" w:type="dxa"/>
          </w:tcPr>
          <w:p w14:paraId="08C5D728" w14:textId="77777777" w:rsidR="00C218DA" w:rsidRPr="00D462EE" w:rsidRDefault="00C218DA" w:rsidP="0083391A">
            <w:pPr>
              <w:pStyle w:val="R"/>
              <w:rPr>
                <w:b/>
                <w:bCs/>
                <w:rtl/>
              </w:rPr>
            </w:pPr>
            <w:r w:rsidRPr="00D462EE">
              <w:rPr>
                <w:b/>
                <w:bCs/>
                <w:rtl/>
              </w:rPr>
              <w:t>73</w:t>
            </w:r>
          </w:p>
        </w:tc>
      </w:tr>
      <w:tr w:rsidR="00C218DA" w14:paraId="44488BDA" w14:textId="77777777" w:rsidTr="005138F5">
        <w:trPr>
          <w:jc w:val="center"/>
        </w:trPr>
        <w:tc>
          <w:tcPr>
            <w:tcW w:w="1026" w:type="dxa"/>
          </w:tcPr>
          <w:p w14:paraId="14E4256D" w14:textId="77777777" w:rsidR="00C218DA" w:rsidRPr="00D462EE" w:rsidRDefault="00C218DA" w:rsidP="0083391A">
            <w:pPr>
              <w:pStyle w:val="R"/>
              <w:rPr>
                <w:rtl/>
              </w:rPr>
            </w:pPr>
            <w:r w:rsidRPr="00D462EE">
              <w:rPr>
                <w:rtl/>
              </w:rPr>
              <w:t>6.5</w:t>
            </w:r>
          </w:p>
        </w:tc>
        <w:tc>
          <w:tcPr>
            <w:tcW w:w="1026" w:type="dxa"/>
          </w:tcPr>
          <w:p w14:paraId="0F7C7C40" w14:textId="77777777" w:rsidR="00C218DA" w:rsidRPr="00D462EE" w:rsidRDefault="00C218DA" w:rsidP="0083391A">
            <w:pPr>
              <w:pStyle w:val="R"/>
              <w:rPr>
                <w:rtl/>
              </w:rPr>
            </w:pPr>
            <w:r>
              <w:rPr>
                <w:rFonts w:hint="cs"/>
                <w:rtl/>
              </w:rPr>
              <w:t>0</w:t>
            </w:r>
          </w:p>
        </w:tc>
        <w:tc>
          <w:tcPr>
            <w:tcW w:w="1026" w:type="dxa"/>
          </w:tcPr>
          <w:p w14:paraId="35B758D3" w14:textId="77777777" w:rsidR="00C218DA" w:rsidRPr="00D462EE" w:rsidRDefault="00C218DA" w:rsidP="0083391A">
            <w:pPr>
              <w:pStyle w:val="R"/>
              <w:rPr>
                <w:rtl/>
              </w:rPr>
            </w:pPr>
            <w:r w:rsidRPr="00D462EE">
              <w:rPr>
                <w:rtl/>
              </w:rPr>
              <w:t>1</w:t>
            </w:r>
          </w:p>
        </w:tc>
        <w:tc>
          <w:tcPr>
            <w:tcW w:w="1026" w:type="dxa"/>
          </w:tcPr>
          <w:p w14:paraId="55D76B9F" w14:textId="77777777" w:rsidR="00C218DA" w:rsidRPr="00D462EE" w:rsidRDefault="00C218DA" w:rsidP="0083391A">
            <w:pPr>
              <w:pStyle w:val="R"/>
              <w:rPr>
                <w:b/>
                <w:bCs/>
                <w:rtl/>
              </w:rPr>
            </w:pPr>
            <w:r w:rsidRPr="00D462EE">
              <w:rPr>
                <w:b/>
                <w:bCs/>
                <w:rtl/>
              </w:rPr>
              <w:t>1</w:t>
            </w:r>
          </w:p>
        </w:tc>
      </w:tr>
      <w:tr w:rsidR="00C218DA" w14:paraId="32749A83" w14:textId="77777777" w:rsidTr="005138F5">
        <w:trPr>
          <w:jc w:val="center"/>
        </w:trPr>
        <w:tc>
          <w:tcPr>
            <w:tcW w:w="1026" w:type="dxa"/>
          </w:tcPr>
          <w:p w14:paraId="2E2A02E9" w14:textId="77777777" w:rsidR="00C218DA" w:rsidRPr="00D462EE" w:rsidRDefault="00C218DA" w:rsidP="0083391A">
            <w:pPr>
              <w:pStyle w:val="R"/>
              <w:rPr>
                <w:rtl/>
              </w:rPr>
            </w:pPr>
            <w:r w:rsidRPr="00D462EE">
              <w:rPr>
                <w:rtl/>
              </w:rPr>
              <w:t>7</w:t>
            </w:r>
          </w:p>
        </w:tc>
        <w:tc>
          <w:tcPr>
            <w:tcW w:w="1026" w:type="dxa"/>
          </w:tcPr>
          <w:p w14:paraId="1CBE80E2" w14:textId="77777777" w:rsidR="00C218DA" w:rsidRPr="00D462EE" w:rsidRDefault="00C218DA" w:rsidP="0083391A">
            <w:pPr>
              <w:pStyle w:val="R"/>
              <w:rPr>
                <w:rtl/>
              </w:rPr>
            </w:pPr>
            <w:r w:rsidRPr="00D462EE">
              <w:rPr>
                <w:rtl/>
              </w:rPr>
              <w:t>7</w:t>
            </w:r>
          </w:p>
        </w:tc>
        <w:tc>
          <w:tcPr>
            <w:tcW w:w="1026" w:type="dxa"/>
          </w:tcPr>
          <w:p w14:paraId="53632894" w14:textId="77777777" w:rsidR="00C218DA" w:rsidRPr="00D462EE" w:rsidRDefault="00C218DA" w:rsidP="0083391A">
            <w:pPr>
              <w:pStyle w:val="R"/>
              <w:rPr>
                <w:rtl/>
              </w:rPr>
            </w:pPr>
            <w:r w:rsidRPr="00D462EE">
              <w:rPr>
                <w:rtl/>
              </w:rPr>
              <w:t>6</w:t>
            </w:r>
          </w:p>
        </w:tc>
        <w:tc>
          <w:tcPr>
            <w:tcW w:w="1026" w:type="dxa"/>
          </w:tcPr>
          <w:p w14:paraId="1E18A4BD" w14:textId="77777777" w:rsidR="00C218DA" w:rsidRPr="00D462EE" w:rsidRDefault="00C218DA" w:rsidP="0083391A">
            <w:pPr>
              <w:pStyle w:val="R"/>
              <w:rPr>
                <w:b/>
                <w:bCs/>
                <w:rtl/>
              </w:rPr>
            </w:pPr>
            <w:r w:rsidRPr="00D462EE">
              <w:rPr>
                <w:b/>
                <w:bCs/>
                <w:rtl/>
              </w:rPr>
              <w:t>13</w:t>
            </w:r>
          </w:p>
        </w:tc>
      </w:tr>
      <w:tr w:rsidR="00C218DA" w14:paraId="4549A9F0" w14:textId="77777777" w:rsidTr="005138F5">
        <w:trPr>
          <w:jc w:val="center"/>
        </w:trPr>
        <w:tc>
          <w:tcPr>
            <w:tcW w:w="1026" w:type="dxa"/>
          </w:tcPr>
          <w:p w14:paraId="3E5861BE" w14:textId="77777777" w:rsidR="00C218DA" w:rsidRPr="00D462EE" w:rsidRDefault="00C218DA" w:rsidP="0083391A">
            <w:pPr>
              <w:pStyle w:val="R"/>
              <w:rPr>
                <w:rtl/>
              </w:rPr>
            </w:pPr>
            <w:r w:rsidRPr="00D462EE">
              <w:rPr>
                <w:rtl/>
              </w:rPr>
              <w:t>7.5</w:t>
            </w:r>
          </w:p>
        </w:tc>
        <w:tc>
          <w:tcPr>
            <w:tcW w:w="1026" w:type="dxa"/>
          </w:tcPr>
          <w:p w14:paraId="5FAA7ACE" w14:textId="77777777" w:rsidR="00C218DA" w:rsidRPr="00D462EE" w:rsidRDefault="00C218DA" w:rsidP="0083391A">
            <w:pPr>
              <w:pStyle w:val="R"/>
              <w:rPr>
                <w:rtl/>
              </w:rPr>
            </w:pPr>
            <w:r>
              <w:rPr>
                <w:rFonts w:hint="cs"/>
                <w:rtl/>
              </w:rPr>
              <w:t>0</w:t>
            </w:r>
          </w:p>
        </w:tc>
        <w:tc>
          <w:tcPr>
            <w:tcW w:w="1026" w:type="dxa"/>
          </w:tcPr>
          <w:p w14:paraId="2A36274D" w14:textId="77777777" w:rsidR="00C218DA" w:rsidRPr="00D462EE" w:rsidRDefault="00C218DA" w:rsidP="0083391A">
            <w:pPr>
              <w:pStyle w:val="R"/>
              <w:rPr>
                <w:rtl/>
              </w:rPr>
            </w:pPr>
            <w:r w:rsidRPr="00D462EE">
              <w:rPr>
                <w:rtl/>
              </w:rPr>
              <w:t>1</w:t>
            </w:r>
          </w:p>
        </w:tc>
        <w:tc>
          <w:tcPr>
            <w:tcW w:w="1026" w:type="dxa"/>
          </w:tcPr>
          <w:p w14:paraId="7A8E6F1D" w14:textId="77777777" w:rsidR="00C218DA" w:rsidRPr="00D462EE" w:rsidRDefault="00C218DA" w:rsidP="0083391A">
            <w:pPr>
              <w:pStyle w:val="R"/>
              <w:rPr>
                <w:b/>
                <w:bCs/>
                <w:rtl/>
              </w:rPr>
            </w:pPr>
            <w:r w:rsidRPr="00D462EE">
              <w:rPr>
                <w:b/>
                <w:bCs/>
                <w:rtl/>
              </w:rPr>
              <w:t>1</w:t>
            </w:r>
          </w:p>
        </w:tc>
      </w:tr>
      <w:tr w:rsidR="00C218DA" w14:paraId="112F5098" w14:textId="77777777" w:rsidTr="005138F5">
        <w:trPr>
          <w:jc w:val="center"/>
        </w:trPr>
        <w:tc>
          <w:tcPr>
            <w:tcW w:w="1026" w:type="dxa"/>
          </w:tcPr>
          <w:p w14:paraId="36094683" w14:textId="77777777" w:rsidR="00C218DA" w:rsidRPr="00D462EE" w:rsidRDefault="00C218DA" w:rsidP="0083391A">
            <w:pPr>
              <w:pStyle w:val="R"/>
              <w:rPr>
                <w:rtl/>
              </w:rPr>
            </w:pPr>
            <w:r w:rsidRPr="00D462EE">
              <w:rPr>
                <w:rtl/>
              </w:rPr>
              <w:t>8</w:t>
            </w:r>
          </w:p>
        </w:tc>
        <w:tc>
          <w:tcPr>
            <w:tcW w:w="1026" w:type="dxa"/>
          </w:tcPr>
          <w:p w14:paraId="1CE2DFC4" w14:textId="77777777" w:rsidR="00C218DA" w:rsidRPr="00D462EE" w:rsidRDefault="00C218DA" w:rsidP="0083391A">
            <w:pPr>
              <w:pStyle w:val="R"/>
              <w:rPr>
                <w:rtl/>
              </w:rPr>
            </w:pPr>
            <w:r w:rsidRPr="00D462EE">
              <w:rPr>
                <w:rtl/>
              </w:rPr>
              <w:t>5</w:t>
            </w:r>
          </w:p>
        </w:tc>
        <w:tc>
          <w:tcPr>
            <w:tcW w:w="1026" w:type="dxa"/>
          </w:tcPr>
          <w:p w14:paraId="46AF2351" w14:textId="77777777" w:rsidR="00C218DA" w:rsidRPr="00D462EE" w:rsidRDefault="00C218DA" w:rsidP="0083391A">
            <w:pPr>
              <w:pStyle w:val="R"/>
              <w:rPr>
                <w:rtl/>
              </w:rPr>
            </w:pPr>
            <w:r w:rsidRPr="00D462EE">
              <w:rPr>
                <w:rtl/>
              </w:rPr>
              <w:t>4</w:t>
            </w:r>
          </w:p>
        </w:tc>
        <w:tc>
          <w:tcPr>
            <w:tcW w:w="1026" w:type="dxa"/>
          </w:tcPr>
          <w:p w14:paraId="47EAAE58" w14:textId="77777777" w:rsidR="00C218DA" w:rsidRPr="00D462EE" w:rsidRDefault="00C218DA" w:rsidP="0083391A">
            <w:pPr>
              <w:pStyle w:val="R"/>
              <w:rPr>
                <w:b/>
                <w:bCs/>
                <w:rtl/>
              </w:rPr>
            </w:pPr>
            <w:r w:rsidRPr="00D462EE">
              <w:rPr>
                <w:b/>
                <w:bCs/>
                <w:rtl/>
              </w:rPr>
              <w:t>9</w:t>
            </w:r>
          </w:p>
        </w:tc>
      </w:tr>
      <w:tr w:rsidR="00C218DA" w14:paraId="402296AF" w14:textId="77777777" w:rsidTr="0083391A">
        <w:trPr>
          <w:jc w:val="center"/>
        </w:trPr>
        <w:tc>
          <w:tcPr>
            <w:tcW w:w="1026" w:type="dxa"/>
            <w:shd w:val="clear" w:color="auto" w:fill="C6D9F1"/>
          </w:tcPr>
          <w:p w14:paraId="5F339CE7" w14:textId="77777777" w:rsidR="00C218DA" w:rsidRPr="0083391A" w:rsidRDefault="00C218DA" w:rsidP="0083391A">
            <w:pPr>
              <w:pStyle w:val="B"/>
              <w:rPr>
                <w:szCs w:val="20"/>
                <w:rtl/>
              </w:rPr>
            </w:pPr>
            <w:r w:rsidRPr="0083391A">
              <w:rPr>
                <w:rFonts w:hint="eastAsia"/>
                <w:szCs w:val="20"/>
                <w:rtl/>
              </w:rPr>
              <w:t>סה</w:t>
            </w:r>
            <w:r w:rsidRPr="0083391A">
              <w:rPr>
                <w:szCs w:val="20"/>
                <w:rtl/>
              </w:rPr>
              <w:t>"כ</w:t>
            </w:r>
          </w:p>
        </w:tc>
        <w:tc>
          <w:tcPr>
            <w:tcW w:w="1026" w:type="dxa"/>
            <w:shd w:val="clear" w:color="auto" w:fill="C6D9F1"/>
          </w:tcPr>
          <w:p w14:paraId="5A1720E9" w14:textId="77777777" w:rsidR="00C218DA" w:rsidRPr="0083391A" w:rsidRDefault="00C218DA" w:rsidP="0083391A">
            <w:pPr>
              <w:pStyle w:val="B"/>
              <w:rPr>
                <w:szCs w:val="20"/>
                <w:rtl/>
              </w:rPr>
            </w:pPr>
            <w:r w:rsidRPr="0083391A">
              <w:rPr>
                <w:szCs w:val="20"/>
                <w:rtl/>
              </w:rPr>
              <w:t>754</w:t>
            </w:r>
          </w:p>
        </w:tc>
        <w:tc>
          <w:tcPr>
            <w:tcW w:w="1026" w:type="dxa"/>
            <w:shd w:val="clear" w:color="auto" w:fill="C6D9F1"/>
          </w:tcPr>
          <w:p w14:paraId="44566010" w14:textId="77777777" w:rsidR="00C218DA" w:rsidRPr="0083391A" w:rsidRDefault="00C218DA" w:rsidP="0083391A">
            <w:pPr>
              <w:pStyle w:val="B"/>
              <w:rPr>
                <w:szCs w:val="20"/>
                <w:rtl/>
              </w:rPr>
            </w:pPr>
            <w:r w:rsidRPr="0083391A">
              <w:rPr>
                <w:szCs w:val="20"/>
                <w:rtl/>
              </w:rPr>
              <w:t>808</w:t>
            </w:r>
          </w:p>
        </w:tc>
        <w:tc>
          <w:tcPr>
            <w:tcW w:w="1026" w:type="dxa"/>
            <w:shd w:val="clear" w:color="auto" w:fill="C6D9F1"/>
          </w:tcPr>
          <w:p w14:paraId="40B02259" w14:textId="77777777" w:rsidR="00C218DA" w:rsidRPr="0083391A" w:rsidRDefault="00C218DA" w:rsidP="0083391A">
            <w:pPr>
              <w:pStyle w:val="B"/>
              <w:rPr>
                <w:szCs w:val="20"/>
                <w:rtl/>
              </w:rPr>
            </w:pPr>
            <w:r w:rsidRPr="0083391A">
              <w:rPr>
                <w:szCs w:val="20"/>
                <w:rtl/>
              </w:rPr>
              <w:t>1,562</w:t>
            </w:r>
          </w:p>
        </w:tc>
      </w:tr>
    </w:tbl>
    <w:p w14:paraId="09FB9610" w14:textId="77777777" w:rsidR="00C218DA" w:rsidRPr="0083391A" w:rsidRDefault="00C218DA" w:rsidP="0083391A">
      <w:pPr>
        <w:pStyle w:val="aff3"/>
        <w:rPr>
          <w:rtl/>
        </w:rPr>
      </w:pPr>
      <w:r w:rsidRPr="0083391A">
        <w:rPr>
          <w:rFonts w:hint="cs"/>
          <w:rtl/>
        </w:rPr>
        <w:t>על פי נתוני משרד הבינוי, בעיבוד של משרד מבקר המדינה.</w:t>
      </w:r>
    </w:p>
    <w:p w14:paraId="08852A8E" w14:textId="77777777" w:rsidR="00A44262" w:rsidRDefault="00A44262" w:rsidP="0083391A">
      <w:pPr>
        <w:pStyle w:val="100"/>
        <w:rPr>
          <w:rtl/>
        </w:rPr>
      </w:pPr>
    </w:p>
    <w:p w14:paraId="308B4F3E" w14:textId="1EE66A35" w:rsidR="00C218DA" w:rsidRDefault="00C218DA" w:rsidP="0083391A">
      <w:pPr>
        <w:pStyle w:val="100"/>
        <w:rPr>
          <w:rtl/>
        </w:rPr>
      </w:pPr>
      <w:r>
        <w:rPr>
          <w:rFonts w:hint="cs"/>
          <w:rtl/>
        </w:rPr>
        <w:t>מהנתונים עולה כי ב-2018 היו כ-2,100 דירות של ארבעה חדרים ויותר שבהם התגוררו דייר יחיד או שני דיירים בלבד. לו הייתה נבחנת זכאותם באותה השנה, הרי שהיו זכאי</w:t>
      </w:r>
      <w:r w:rsidR="0083391A">
        <w:rPr>
          <w:rFonts w:hint="cs"/>
          <w:rtl/>
        </w:rPr>
        <w:t>ם לדירה קטנה מדירת ארבעה חדרים.</w:t>
      </w:r>
    </w:p>
    <w:p w14:paraId="22DBA057" w14:textId="4A21A39D" w:rsidR="00C218DA" w:rsidRPr="00AF44F4" w:rsidRDefault="00C218DA" w:rsidP="0083391A">
      <w:pPr>
        <w:pStyle w:val="100"/>
        <w:rPr>
          <w:rtl/>
        </w:rPr>
      </w:pPr>
      <w:r>
        <w:rPr>
          <w:rFonts w:hint="cs"/>
          <w:rtl/>
        </w:rPr>
        <w:lastRenderedPageBreak/>
        <w:t>יצוין כי ב-2012 החל משרד הבינוי לעודד מעבר של קשישים המתגוררים בדירות הדיור הציבורי לבתי דיור ציבורי לקשישים תמורת מענק כספי בסך של 75,000 - 125,000 ש"ח, בהתאם למאפייני הדירה</w:t>
      </w:r>
      <w:r>
        <w:rPr>
          <w:rStyle w:val="FootnoteReference"/>
          <w:b/>
          <w:sz w:val="24"/>
          <w:rtl/>
        </w:rPr>
        <w:footnoteReference w:id="54"/>
      </w:r>
      <w:r>
        <w:rPr>
          <w:rFonts w:hint="cs"/>
          <w:rtl/>
        </w:rPr>
        <w:t>. כ-100 משקי בית של קשישים נענו להצעת המשרד ועברו לבתי דיור ציבורי לקשישים. על פי נתוני משרד הבינוי, במועד הביקורת היו כ-12,600 דירות שבהן התגוררו קשישים יחידים או זוגות. משרד הבינוי מסר לצוות הביקורת כי "</w:t>
      </w:r>
      <w:r w:rsidRPr="00DA6652">
        <w:rPr>
          <w:rtl/>
        </w:rPr>
        <w:t xml:space="preserve">ההחלטה </w:t>
      </w:r>
      <w:r>
        <w:rPr>
          <w:rFonts w:hint="cs"/>
          <w:rtl/>
        </w:rPr>
        <w:t xml:space="preserve">[בדבר עידוד הקשישים] </w:t>
      </w:r>
      <w:r w:rsidRPr="00DA6652">
        <w:rPr>
          <w:rtl/>
        </w:rPr>
        <w:t>בתוקף עד לתאריך 31.12.2021</w:t>
      </w:r>
      <w:r>
        <w:rPr>
          <w:rFonts w:hint="cs"/>
          <w:rtl/>
        </w:rPr>
        <w:t>.</w:t>
      </w:r>
      <w:r w:rsidRPr="00DA6652">
        <w:rPr>
          <w:rtl/>
        </w:rPr>
        <w:t xml:space="preserve"> כל זמן שחוק הדיור הציבורי</w:t>
      </w:r>
      <w:r>
        <w:rPr>
          <w:rFonts w:hint="cs"/>
          <w:rtl/>
        </w:rPr>
        <w:t xml:space="preserve">... </w:t>
      </w:r>
      <w:r w:rsidRPr="00DA6652">
        <w:rPr>
          <w:rtl/>
        </w:rPr>
        <w:t>בתוקף, קיים תמריץ שלילי משמעותי למעבר, ולכן איננו צופים שתמריצים נוספים ישפרו את המצב. ככל ויבוטל החוק, ייבחנו התמריצים מחדש</w:t>
      </w:r>
      <w:r>
        <w:rPr>
          <w:rFonts w:hint="cs"/>
          <w:rtl/>
        </w:rPr>
        <w:t>"</w:t>
      </w:r>
      <w:r w:rsidRPr="00DA6652">
        <w:rPr>
          <w:rtl/>
        </w:rPr>
        <w:t>.</w:t>
      </w:r>
    </w:p>
    <w:p w14:paraId="2A3EB256" w14:textId="77349C74" w:rsidR="00C218DA" w:rsidRPr="009E5FBB" w:rsidRDefault="00C218DA" w:rsidP="0083391A">
      <w:pPr>
        <w:pStyle w:val="100"/>
        <w:rPr>
          <w:rtl/>
        </w:rPr>
      </w:pPr>
      <w:r w:rsidRPr="00D23BDB">
        <w:rPr>
          <w:rFonts w:hint="cs"/>
          <w:rtl/>
        </w:rPr>
        <w:t>ב</w:t>
      </w:r>
      <w:r>
        <w:rPr>
          <w:rFonts w:hint="cs"/>
          <w:rtl/>
        </w:rPr>
        <w:t>מאי 2019 (בתקופת</w:t>
      </w:r>
      <w:r w:rsidRPr="00D23BDB">
        <w:rPr>
          <w:rFonts w:hint="cs"/>
          <w:rtl/>
        </w:rPr>
        <w:t xml:space="preserve"> הביקורת</w:t>
      </w:r>
      <w:r>
        <w:rPr>
          <w:rFonts w:hint="cs"/>
          <w:rtl/>
        </w:rPr>
        <w:t xml:space="preserve">) התקיים במשרד הבינוי דיון </w:t>
      </w:r>
      <w:r w:rsidRPr="00D23BDB">
        <w:rPr>
          <w:rFonts w:hint="cs"/>
          <w:rtl/>
        </w:rPr>
        <w:t>בנו</w:t>
      </w:r>
      <w:r>
        <w:rPr>
          <w:rFonts w:hint="cs"/>
          <w:rtl/>
        </w:rPr>
        <w:t>ש</w:t>
      </w:r>
      <w:r w:rsidRPr="00D23BDB">
        <w:rPr>
          <w:rFonts w:hint="cs"/>
          <w:rtl/>
        </w:rPr>
        <w:t xml:space="preserve">א </w:t>
      </w:r>
      <w:r>
        <w:rPr>
          <w:rFonts w:hint="cs"/>
          <w:rtl/>
        </w:rPr>
        <w:t>צעדים לייעול מלאי הדיור הציבורי, בהשתתפות מנהלי האגפים הרלוונטיים במשרד ונציגי חברות מאכלסות. בדיון עלה נושא הדיירים שגרים בדירות שגודלן אינו הולם את גודל הדירה שלה הם זכאים וצוין כי "</w:t>
      </w:r>
      <w:r w:rsidRPr="00D23BDB">
        <w:rPr>
          <w:rtl/>
        </w:rPr>
        <w:t>קיימת מורכבות רבה בפינוי דייר מדירתו</w:t>
      </w:r>
      <w:r>
        <w:rPr>
          <w:rFonts w:hint="cs"/>
          <w:rtl/>
        </w:rPr>
        <w:t>... כ</w:t>
      </w:r>
      <w:r w:rsidRPr="00D23BDB">
        <w:rPr>
          <w:rtl/>
        </w:rPr>
        <w:t>מו כן, קיים קושי רב באיתור דירות קטנות, לכן העברת הדייר היא לא סבירה במצב זה</w:t>
      </w:r>
      <w:r>
        <w:rPr>
          <w:rFonts w:hint="cs"/>
          <w:rtl/>
        </w:rPr>
        <w:t xml:space="preserve">..." בדיון סוכם כי משרד הבינוי יבדוק את גובה שכר הדירה שבו מחויבים הדיירים האלה ואם יש מקום לגבות שכר דירה מלא (ללא סבסוד) על החלק העודף בדירה. </w:t>
      </w:r>
    </w:p>
    <w:p w14:paraId="0494CAEA" w14:textId="6949A873" w:rsidR="00C218DA" w:rsidRDefault="00C218DA" w:rsidP="0083391A">
      <w:pPr>
        <w:pStyle w:val="100"/>
        <w:rPr>
          <w:rtl/>
        </w:rPr>
      </w:pPr>
      <w:r w:rsidRPr="009E5FBB">
        <w:rPr>
          <w:rFonts w:hint="cs"/>
          <w:rtl/>
        </w:rPr>
        <w:t>יצוין כי גם בדיוני הוועדה</w:t>
      </w:r>
      <w:r>
        <w:rPr>
          <w:rFonts w:hint="cs"/>
          <w:rtl/>
        </w:rPr>
        <w:t xml:space="preserve"> הבין-משרדית עלתה סוגיית ייעול המלאי באמצעות התאמת שטח הדירה למספר הנפשות המתגוררות בה ועידוד משפחות קטנות (קשישים ושאינם קשישים) לפנות את דירתם ולעבור לדירה קטנה יותר. בדיונים הועלו הצעות בנדון, כגון הרחבת התמריצים, אולם, כאמור, הוועדה לא סי</w:t>
      </w:r>
      <w:r w:rsidR="0083391A">
        <w:rPr>
          <w:rFonts w:hint="cs"/>
          <w:rtl/>
        </w:rPr>
        <w:t>ימה את עבודתה ולא החליטה בנושא.</w:t>
      </w:r>
    </w:p>
    <w:p w14:paraId="38E84758" w14:textId="50F01DDA" w:rsidR="00C218DA" w:rsidRDefault="00C218DA" w:rsidP="0083391A">
      <w:pPr>
        <w:pStyle w:val="af5"/>
        <w:rPr>
          <w:rtl/>
        </w:rPr>
      </w:pPr>
      <w:r w:rsidRPr="004D7392">
        <w:rPr>
          <w:rFonts w:hint="cs"/>
          <w:rtl/>
        </w:rPr>
        <w:t xml:space="preserve">נמצא כי </w:t>
      </w:r>
      <w:r>
        <w:rPr>
          <w:rFonts w:hint="cs"/>
          <w:rtl/>
        </w:rPr>
        <w:t>אף ש</w:t>
      </w:r>
      <w:r w:rsidRPr="004D7392">
        <w:rPr>
          <w:rFonts w:hint="cs"/>
          <w:rtl/>
        </w:rPr>
        <w:t>משרד הבינוי</w:t>
      </w:r>
      <w:r>
        <w:rPr>
          <w:rFonts w:hint="cs"/>
          <w:rtl/>
        </w:rPr>
        <w:t xml:space="preserve"> דן בנושא, הלכה למעשה הוא טרם</w:t>
      </w:r>
      <w:r w:rsidRPr="004D7392">
        <w:rPr>
          <w:rFonts w:hint="cs"/>
          <w:rtl/>
        </w:rPr>
        <w:t xml:space="preserve"> בחן </w:t>
      </w:r>
      <w:r>
        <w:rPr>
          <w:rFonts w:hint="cs"/>
          <w:rtl/>
        </w:rPr>
        <w:t xml:space="preserve">באופן מעמיק, המבוסס על נתונים כמותיים, את </w:t>
      </w:r>
      <w:r w:rsidRPr="004D7392">
        <w:rPr>
          <w:rFonts w:hint="cs"/>
          <w:rtl/>
        </w:rPr>
        <w:t xml:space="preserve">האפשרות לקדם מעבר </w:t>
      </w:r>
      <w:r>
        <w:rPr>
          <w:rFonts w:hint="cs"/>
          <w:rtl/>
        </w:rPr>
        <w:t xml:space="preserve">של </w:t>
      </w:r>
      <w:r w:rsidRPr="004D7392">
        <w:rPr>
          <w:rFonts w:hint="cs"/>
          <w:rtl/>
        </w:rPr>
        <w:t>דיירים לדירה קטנה יותר בהתאם לגודל משק הבית הנוכחי,</w:t>
      </w:r>
      <w:r>
        <w:rPr>
          <w:rFonts w:hint="cs"/>
          <w:rtl/>
        </w:rPr>
        <w:t xml:space="preserve"> כך שיוכל להחליט החלטה מושכלת בנדון</w:t>
      </w:r>
      <w:r w:rsidRPr="004D7392">
        <w:rPr>
          <w:rFonts w:hint="cs"/>
          <w:rtl/>
        </w:rPr>
        <w:t xml:space="preserve">. </w:t>
      </w:r>
      <w:r w:rsidRPr="004D7392">
        <w:rPr>
          <w:rFonts w:hint="cs"/>
          <w:sz w:val="24"/>
          <w:rtl/>
        </w:rPr>
        <w:t>בכלל זה המשרד</w:t>
      </w:r>
      <w:r>
        <w:rPr>
          <w:rFonts w:hint="cs"/>
          <w:sz w:val="24"/>
          <w:rtl/>
        </w:rPr>
        <w:t xml:space="preserve"> טרם בחן</w:t>
      </w:r>
      <w:r w:rsidRPr="004D7392">
        <w:rPr>
          <w:rFonts w:hint="cs"/>
          <w:sz w:val="24"/>
          <w:rtl/>
        </w:rPr>
        <w:t xml:space="preserve"> את </w:t>
      </w:r>
      <w:r>
        <w:rPr>
          <w:rFonts w:hint="cs"/>
          <w:sz w:val="24"/>
          <w:rtl/>
        </w:rPr>
        <w:t xml:space="preserve">שיעור </w:t>
      </w:r>
      <w:r w:rsidRPr="004D7392">
        <w:rPr>
          <w:rFonts w:hint="cs"/>
          <w:sz w:val="24"/>
          <w:rtl/>
        </w:rPr>
        <w:t xml:space="preserve">הדיירים </w:t>
      </w:r>
      <w:r>
        <w:rPr>
          <w:rFonts w:hint="cs"/>
          <w:sz w:val="24"/>
          <w:rtl/>
        </w:rPr>
        <w:t xml:space="preserve">הנכונים </w:t>
      </w:r>
      <w:r w:rsidRPr="004D7392">
        <w:rPr>
          <w:rFonts w:hint="cs"/>
          <w:sz w:val="24"/>
          <w:rtl/>
        </w:rPr>
        <w:t>להחליף את דירתם, את ישימות המנגנונים האפשריים לתמרוץ הדיירים להחליף את דירתם</w:t>
      </w:r>
      <w:r>
        <w:rPr>
          <w:rFonts w:hint="cs"/>
          <w:sz w:val="24"/>
          <w:rtl/>
        </w:rPr>
        <w:t xml:space="preserve"> ו</w:t>
      </w:r>
      <w:r w:rsidRPr="004D7392">
        <w:rPr>
          <w:rFonts w:hint="cs"/>
          <w:sz w:val="24"/>
          <w:rtl/>
        </w:rPr>
        <w:t xml:space="preserve">את </w:t>
      </w:r>
      <w:r>
        <w:rPr>
          <w:rFonts w:hint="cs"/>
          <w:sz w:val="24"/>
          <w:rtl/>
        </w:rPr>
        <w:t xml:space="preserve">מידת </w:t>
      </w:r>
      <w:r w:rsidRPr="004D7392">
        <w:rPr>
          <w:rFonts w:hint="cs"/>
          <w:sz w:val="24"/>
          <w:rtl/>
        </w:rPr>
        <w:t xml:space="preserve">התועלת </w:t>
      </w:r>
      <w:r>
        <w:rPr>
          <w:rFonts w:hint="cs"/>
          <w:sz w:val="24"/>
          <w:rtl/>
        </w:rPr>
        <w:t>הצפויה לצמוח</w:t>
      </w:r>
      <w:r w:rsidRPr="004D7392">
        <w:rPr>
          <w:rFonts w:hint="cs"/>
          <w:sz w:val="24"/>
          <w:rtl/>
        </w:rPr>
        <w:t xml:space="preserve"> מהמהלך לעומת העלויות הכרוכות בו. </w:t>
      </w:r>
    </w:p>
    <w:p w14:paraId="71A2BED2" w14:textId="7D8984D6" w:rsidR="00C218DA" w:rsidRDefault="00C218DA" w:rsidP="0083391A">
      <w:pPr>
        <w:pStyle w:val="100"/>
        <w:rPr>
          <w:rtl/>
        </w:rPr>
      </w:pPr>
      <w:r>
        <w:rPr>
          <w:rFonts w:hint="cs"/>
          <w:rtl/>
        </w:rPr>
        <w:t xml:space="preserve">בתשובתו מסר משרד הבינוי כי </w:t>
      </w:r>
      <w:r w:rsidRPr="00347DFE">
        <w:rPr>
          <w:rtl/>
        </w:rPr>
        <w:t xml:space="preserve">ניוד אנשים מדירות גדולות לדירות קטנות </w:t>
      </w:r>
      <w:r>
        <w:rPr>
          <w:rFonts w:hint="cs"/>
          <w:rtl/>
        </w:rPr>
        <w:t>יביא ל</w:t>
      </w:r>
      <w:r w:rsidRPr="00347DFE">
        <w:rPr>
          <w:rtl/>
        </w:rPr>
        <w:t>כך ש</w:t>
      </w:r>
      <w:r>
        <w:rPr>
          <w:rFonts w:hint="cs"/>
          <w:rtl/>
        </w:rPr>
        <w:t>ייפגעו</w:t>
      </w:r>
      <w:r w:rsidRPr="00347DFE">
        <w:rPr>
          <w:rtl/>
        </w:rPr>
        <w:t xml:space="preserve"> משפחות </w:t>
      </w:r>
      <w:r>
        <w:rPr>
          <w:rFonts w:hint="cs"/>
          <w:rtl/>
        </w:rPr>
        <w:t>עם שניים עד שלושה ילדים הממתינות למגורים ב</w:t>
      </w:r>
      <w:r w:rsidRPr="00347DFE">
        <w:rPr>
          <w:rtl/>
        </w:rPr>
        <w:t>דיר</w:t>
      </w:r>
      <w:r>
        <w:rPr>
          <w:rFonts w:hint="cs"/>
          <w:rtl/>
        </w:rPr>
        <w:t>ות</w:t>
      </w:r>
      <w:r w:rsidRPr="00347DFE">
        <w:rPr>
          <w:rtl/>
        </w:rPr>
        <w:t xml:space="preserve"> קטנ</w:t>
      </w:r>
      <w:r>
        <w:rPr>
          <w:rFonts w:hint="cs"/>
          <w:rtl/>
        </w:rPr>
        <w:t>ות</w:t>
      </w:r>
      <w:r w:rsidRPr="00347DFE">
        <w:rPr>
          <w:rtl/>
        </w:rPr>
        <w:t xml:space="preserve"> ותי</w:t>
      </w:r>
      <w:r>
        <w:rPr>
          <w:rFonts w:hint="cs"/>
          <w:rtl/>
        </w:rPr>
        <w:t>נ</w:t>
      </w:r>
      <w:r w:rsidRPr="00347DFE">
        <w:rPr>
          <w:rtl/>
        </w:rPr>
        <w:t xml:space="preserve">תן עדיפות למשפחות </w:t>
      </w:r>
      <w:r>
        <w:rPr>
          <w:rFonts w:hint="cs"/>
          <w:rtl/>
        </w:rPr>
        <w:t>גדולות יותר הממתינות למגורים בדירות גדולות</w:t>
      </w:r>
      <w:r w:rsidRPr="00347DFE">
        <w:rPr>
          <w:rtl/>
        </w:rPr>
        <w:t>.</w:t>
      </w:r>
      <w:r>
        <w:rPr>
          <w:rFonts w:hint="cs"/>
          <w:rtl/>
        </w:rPr>
        <w:t xml:space="preserve"> על כן, בטרם יקודם מהלך של מעבר דיירים מדירות גדולות לקטנות, </w:t>
      </w:r>
      <w:r w:rsidRPr="00347DFE">
        <w:rPr>
          <w:rtl/>
        </w:rPr>
        <w:t>יש קודם להגדיל את מלאי הדירות הקטנות באופן משמעותי כך שייתן מענה גם למשפחות עם שני</w:t>
      </w:r>
      <w:r>
        <w:rPr>
          <w:rFonts w:hint="cs"/>
          <w:rtl/>
        </w:rPr>
        <w:t>י</w:t>
      </w:r>
      <w:r w:rsidRPr="00347DFE">
        <w:rPr>
          <w:rtl/>
        </w:rPr>
        <w:t>ם</w:t>
      </w:r>
      <w:r>
        <w:rPr>
          <w:rFonts w:hint="cs"/>
          <w:rtl/>
        </w:rPr>
        <w:t xml:space="preserve"> עד </w:t>
      </w:r>
      <w:r w:rsidRPr="00347DFE">
        <w:rPr>
          <w:rtl/>
        </w:rPr>
        <w:t>שלושה ילדים</w:t>
      </w:r>
      <w:r>
        <w:rPr>
          <w:rFonts w:hint="cs"/>
          <w:rtl/>
        </w:rPr>
        <w:t>.</w:t>
      </w:r>
    </w:p>
    <w:p w14:paraId="344A035A" w14:textId="1FBA0DE4" w:rsidR="00C218DA" w:rsidRPr="00D32632" w:rsidRDefault="00C218DA" w:rsidP="0083391A">
      <w:pPr>
        <w:pStyle w:val="af5"/>
        <w:rPr>
          <w:rtl/>
        </w:rPr>
      </w:pPr>
      <w:r w:rsidRPr="009747FD">
        <w:rPr>
          <w:rFonts w:hint="cs"/>
          <w:rtl/>
        </w:rPr>
        <w:lastRenderedPageBreak/>
        <w:t>אכן קיימת מורכבות במעבר של חלק מדיירי הדיור הציבורי מהדירה שבה הם מתגוררים לדירה אחרת. עם זאת, ראוי שהמשרד יבחן לעומק את האפשרות לעודד מעבר של דיירים לדירה קטנה יותר בהתאם לגודל משק הבית העדכני. לשם כך על המשרד לבחון את היתכנות המהלך והתועלת שתצמח ממנו למיצוי המשאבים הקיימים, ובכלל זה לבחון דרכים לתמרץ את הדיירים, לרבות תמריצים כלכליים, כפי שתמרץ המשרד קשישים לעבור להתגורר בבתי דיור ציבורי לקשישים. כך, במקרה שבו דייר המתגורר בדירה גדולה יעבור להתגורר בדירה קטנה, יוכל המשרד להחליט אם להציע את הדירה שהתפנתה לזכאי שנדרשת לו דירה גדולה, ולחלופין, למכור את הדירה ולהשתמש בתמורה שתתקבל לרכישת דירות קטנות באותו יישוב או ביישוב אחר.</w:t>
      </w:r>
    </w:p>
    <w:p w14:paraId="47F5BE8B" w14:textId="67FF9A29" w:rsidR="00C218DA" w:rsidRDefault="00C218DA" w:rsidP="0083391A">
      <w:pPr>
        <w:pStyle w:val="414"/>
        <w:rPr>
          <w:rtl/>
        </w:rPr>
      </w:pPr>
      <w:r>
        <w:rPr>
          <w:rFonts w:hint="cs"/>
          <w:rtl/>
        </w:rPr>
        <w:t xml:space="preserve">מכירת דירות ריקות בשוק החופשי </w:t>
      </w:r>
    </w:p>
    <w:p w14:paraId="23319222" w14:textId="08BD0497" w:rsidR="00C218DA" w:rsidRDefault="00C218DA" w:rsidP="0083391A">
      <w:pPr>
        <w:pStyle w:val="100"/>
        <w:rPr>
          <w:rtl/>
        </w:rPr>
      </w:pPr>
      <w:r w:rsidRPr="00561C45">
        <w:rPr>
          <w:rFonts w:hint="cs"/>
          <w:rtl/>
        </w:rPr>
        <w:t xml:space="preserve">על פי נתוני </w:t>
      </w:r>
      <w:r w:rsidRPr="00561C45">
        <w:rPr>
          <w:rtl/>
        </w:rPr>
        <w:t xml:space="preserve">משרד </w:t>
      </w:r>
      <w:r>
        <w:rPr>
          <w:rFonts w:hint="cs"/>
          <w:rtl/>
        </w:rPr>
        <w:t>הבינוי, במועד הביקורת הנוכחית היו</w:t>
      </w:r>
      <w:r w:rsidRPr="00561C45">
        <w:rPr>
          <w:rtl/>
        </w:rPr>
        <w:t xml:space="preserve"> </w:t>
      </w:r>
      <w:r>
        <w:rPr>
          <w:rFonts w:hint="cs"/>
          <w:rtl/>
        </w:rPr>
        <w:t>כ-270</w:t>
      </w:r>
      <w:r w:rsidRPr="00561C45">
        <w:rPr>
          <w:rtl/>
        </w:rPr>
        <w:t xml:space="preserve"> דירות</w:t>
      </w:r>
      <w:r>
        <w:rPr>
          <w:rFonts w:hint="cs"/>
          <w:rtl/>
        </w:rPr>
        <w:t xml:space="preserve"> ציבוריות</w:t>
      </w:r>
      <w:r w:rsidRPr="00CF1B7E">
        <w:rPr>
          <w:rFonts w:hint="cs"/>
          <w:rtl/>
        </w:rPr>
        <w:t xml:space="preserve"> </w:t>
      </w:r>
      <w:r>
        <w:rPr>
          <w:rFonts w:hint="cs"/>
          <w:rtl/>
        </w:rPr>
        <w:t>ש</w:t>
      </w:r>
      <w:r w:rsidRPr="00561C45">
        <w:rPr>
          <w:rFonts w:hint="cs"/>
          <w:rtl/>
        </w:rPr>
        <w:t>אינן מאוכלסות</w:t>
      </w:r>
      <w:r>
        <w:rPr>
          <w:rFonts w:hint="cs"/>
          <w:rtl/>
        </w:rPr>
        <w:t xml:space="preserve"> בפועל ועומדות ריקות יותר משנה</w:t>
      </w:r>
      <w:r>
        <w:rPr>
          <w:rStyle w:val="FootnoteReference"/>
          <w:sz w:val="24"/>
          <w:rtl/>
        </w:rPr>
        <w:footnoteReference w:id="55"/>
      </w:r>
      <w:r>
        <w:rPr>
          <w:rFonts w:hint="cs"/>
          <w:rtl/>
        </w:rPr>
        <w:t xml:space="preserve">, בין היתר עקב סירוב דיירים להתגורר בהן בגלל מיקומן או בגלל </w:t>
      </w:r>
      <w:r w:rsidRPr="00561C45">
        <w:rPr>
          <w:rFonts w:hint="cs"/>
          <w:rtl/>
        </w:rPr>
        <w:t xml:space="preserve">היצע </w:t>
      </w:r>
      <w:r>
        <w:rPr>
          <w:rFonts w:hint="cs"/>
          <w:rtl/>
        </w:rPr>
        <w:t xml:space="preserve">גבוה של </w:t>
      </w:r>
      <w:r w:rsidRPr="00561C45">
        <w:rPr>
          <w:rtl/>
        </w:rPr>
        <w:t>דירות</w:t>
      </w:r>
      <w:r>
        <w:rPr>
          <w:rFonts w:hint="cs"/>
          <w:rtl/>
        </w:rPr>
        <w:t xml:space="preserve"> ציבוריות</w:t>
      </w:r>
      <w:r w:rsidRPr="00561C45">
        <w:rPr>
          <w:rFonts w:hint="cs"/>
          <w:rtl/>
        </w:rPr>
        <w:t xml:space="preserve"> </w:t>
      </w:r>
      <w:r w:rsidRPr="00561C45">
        <w:rPr>
          <w:rtl/>
        </w:rPr>
        <w:t>באזור</w:t>
      </w:r>
      <w:r>
        <w:rPr>
          <w:rFonts w:hint="cs"/>
          <w:rtl/>
        </w:rPr>
        <w:t xml:space="preserve"> או בשל היותן מסוכנות מבחינה הנדסית. כל דירה כזו</w:t>
      </w:r>
      <w:r w:rsidRPr="00164994">
        <w:rPr>
          <w:rFonts w:hint="cs"/>
          <w:rtl/>
        </w:rPr>
        <w:t xml:space="preserve"> משית</w:t>
      </w:r>
      <w:r>
        <w:rPr>
          <w:rFonts w:hint="cs"/>
          <w:rtl/>
        </w:rPr>
        <w:t>ה</w:t>
      </w:r>
      <w:r w:rsidRPr="00164994">
        <w:rPr>
          <w:rFonts w:hint="cs"/>
          <w:rtl/>
        </w:rPr>
        <w:t xml:space="preserve"> על המדינה עלויות כספיות</w:t>
      </w:r>
      <w:r>
        <w:rPr>
          <w:rFonts w:hint="cs"/>
          <w:rtl/>
        </w:rPr>
        <w:t>, כגון חיובי ארנונה, ועד בית, משאבי משרד ותקורות</w:t>
      </w:r>
      <w:r w:rsidRPr="00164994">
        <w:rPr>
          <w:rFonts w:hint="cs"/>
          <w:rtl/>
        </w:rPr>
        <w:t>.</w:t>
      </w:r>
    </w:p>
    <w:p w14:paraId="42DBD9BE" w14:textId="178A1029" w:rsidR="00C218DA" w:rsidRPr="0083391A" w:rsidRDefault="00C218DA" w:rsidP="0083391A">
      <w:pPr>
        <w:pStyle w:val="100"/>
        <w:rPr>
          <w:b/>
          <w:rtl/>
        </w:rPr>
      </w:pPr>
      <w:r>
        <w:rPr>
          <w:rFonts w:hint="cs"/>
          <w:b/>
          <w:rtl/>
        </w:rPr>
        <w:t xml:space="preserve">ביולי 2019 (בתקופת הביקורת) קבע משרד הבינוי כללים למכירת דירות ציבוריות שאינן יכולות לשמש מגורים לזכאים לדיור הציבורי במכרז פומבי, ובכלל זה כי התמורה ממכירת הדירות תשמש לרכישת דירות ציבוריות לפי צורכי המשרד. באוגוסט 2019 החליט המשרד לפרסם בשלב ראשון מכרז פומבי למכירת שש דירות ריקות. </w:t>
      </w:r>
    </w:p>
    <w:p w14:paraId="4D8019DE" w14:textId="17B5851E" w:rsidR="00C218DA" w:rsidRPr="0083391A" w:rsidRDefault="00C218DA" w:rsidP="0083391A">
      <w:pPr>
        <w:pStyle w:val="100"/>
        <w:rPr>
          <w:b/>
          <w:rtl/>
        </w:rPr>
      </w:pPr>
      <w:r>
        <w:rPr>
          <w:rFonts w:hint="cs"/>
          <w:rtl/>
        </w:rPr>
        <w:t xml:space="preserve">בתשובתו למשרד מבקר המדינה מסר משרד הבינוי כי </w:t>
      </w:r>
      <w:r w:rsidRPr="00D543E4">
        <w:rPr>
          <w:rtl/>
        </w:rPr>
        <w:t xml:space="preserve">שרת הבינוי הנחתה </w:t>
      </w:r>
      <w:r>
        <w:rPr>
          <w:rFonts w:hint="cs"/>
          <w:rtl/>
        </w:rPr>
        <w:t xml:space="preserve">את המשרד </w:t>
      </w:r>
      <w:r w:rsidRPr="00D543E4">
        <w:rPr>
          <w:rtl/>
        </w:rPr>
        <w:t xml:space="preserve">למכור את הדירות הריקות שאין להם ביקוש בקרב זכאי </w:t>
      </w:r>
      <w:r>
        <w:rPr>
          <w:rFonts w:hint="cs"/>
          <w:rtl/>
        </w:rPr>
        <w:t>ה</w:t>
      </w:r>
      <w:r w:rsidRPr="00D543E4">
        <w:rPr>
          <w:rtl/>
        </w:rPr>
        <w:t xml:space="preserve">דיור </w:t>
      </w:r>
      <w:r>
        <w:rPr>
          <w:rFonts w:hint="cs"/>
          <w:rtl/>
        </w:rPr>
        <w:t>ה</w:t>
      </w:r>
      <w:r w:rsidRPr="00D543E4">
        <w:rPr>
          <w:rtl/>
        </w:rPr>
        <w:t xml:space="preserve">ציבורי ותחתן לרכוש דירות בשכונות </w:t>
      </w:r>
      <w:r>
        <w:rPr>
          <w:rFonts w:hint="cs"/>
          <w:rtl/>
        </w:rPr>
        <w:t>"</w:t>
      </w:r>
      <w:r w:rsidRPr="00D543E4">
        <w:rPr>
          <w:rtl/>
        </w:rPr>
        <w:t>חזקות</w:t>
      </w:r>
      <w:r>
        <w:rPr>
          <w:rFonts w:hint="cs"/>
          <w:rtl/>
        </w:rPr>
        <w:t>"</w:t>
      </w:r>
      <w:r w:rsidRPr="00D543E4">
        <w:rPr>
          <w:rtl/>
        </w:rPr>
        <w:t xml:space="preserve"> יותר</w:t>
      </w:r>
      <w:r>
        <w:rPr>
          <w:rFonts w:hint="cs"/>
          <w:rtl/>
        </w:rPr>
        <w:t>,</w:t>
      </w:r>
      <w:r w:rsidRPr="00D543E4">
        <w:rPr>
          <w:rtl/>
        </w:rPr>
        <w:t xml:space="preserve"> </w:t>
      </w:r>
      <w:r>
        <w:rPr>
          <w:rFonts w:hint="cs"/>
          <w:rtl/>
        </w:rPr>
        <w:t>ו</w:t>
      </w:r>
      <w:r w:rsidRPr="00D543E4">
        <w:rPr>
          <w:rtl/>
        </w:rPr>
        <w:t>כך פועל המשרד וימשיך לעשות זאת.</w:t>
      </w:r>
    </w:p>
    <w:p w14:paraId="466D2686" w14:textId="77777777" w:rsidR="00C218DA" w:rsidRDefault="00C218DA" w:rsidP="0083391A">
      <w:pPr>
        <w:pStyle w:val="af5"/>
        <w:rPr>
          <w:rtl/>
        </w:rPr>
      </w:pPr>
      <w:r w:rsidRPr="0032249C">
        <w:rPr>
          <w:rFonts w:hint="cs"/>
          <w:rtl/>
        </w:rPr>
        <w:t xml:space="preserve">על המשרד להמשיך לקדם מהלכים </w:t>
      </w:r>
      <w:r>
        <w:rPr>
          <w:rFonts w:hint="cs"/>
          <w:rtl/>
        </w:rPr>
        <w:t xml:space="preserve">למימוש הפוטנציאל הכלכלי הטמון בדירות הריקות לטובת הדיור הציבורי, ובכלל זה מכירתן בשוק החופשי. </w:t>
      </w:r>
      <w:r w:rsidRPr="00164994">
        <w:rPr>
          <w:rFonts w:hint="cs"/>
          <w:b/>
          <w:rtl/>
        </w:rPr>
        <w:t>כמו כן, על</w:t>
      </w:r>
      <w:r>
        <w:rPr>
          <w:rFonts w:hint="cs"/>
          <w:b/>
          <w:rtl/>
        </w:rPr>
        <w:t>יו</w:t>
      </w:r>
      <w:r w:rsidRPr="00164994">
        <w:rPr>
          <w:rFonts w:hint="cs"/>
          <w:b/>
          <w:rtl/>
        </w:rPr>
        <w:t xml:space="preserve"> ל</w:t>
      </w:r>
      <w:r>
        <w:rPr>
          <w:rFonts w:hint="cs"/>
          <w:b/>
          <w:rtl/>
        </w:rPr>
        <w:t xml:space="preserve">הקפיד על קיום הערכות מצב תכופות בנוגע לכלל </w:t>
      </w:r>
      <w:r w:rsidRPr="00164994">
        <w:rPr>
          <w:rFonts w:hint="cs"/>
          <w:b/>
          <w:rtl/>
        </w:rPr>
        <w:t>הדירות ו</w:t>
      </w:r>
      <w:r>
        <w:rPr>
          <w:rFonts w:hint="cs"/>
          <w:b/>
          <w:rtl/>
        </w:rPr>
        <w:t xml:space="preserve">להציב יעדים להמשך הטיפול </w:t>
      </w:r>
      <w:r w:rsidRPr="00164994">
        <w:rPr>
          <w:rFonts w:hint="cs"/>
          <w:b/>
          <w:rtl/>
        </w:rPr>
        <w:t>בהתאם ל</w:t>
      </w:r>
      <w:r>
        <w:rPr>
          <w:rFonts w:hint="cs"/>
          <w:b/>
          <w:rtl/>
        </w:rPr>
        <w:t>עולה מהן</w:t>
      </w:r>
      <w:r w:rsidRPr="00164994">
        <w:rPr>
          <w:rFonts w:hint="cs"/>
          <w:b/>
          <w:rtl/>
        </w:rPr>
        <w:t>.</w:t>
      </w:r>
      <w:r>
        <w:rPr>
          <w:rFonts w:hint="cs"/>
          <w:rtl/>
        </w:rPr>
        <w:t xml:space="preserve"> </w:t>
      </w:r>
    </w:p>
    <w:p w14:paraId="646BCA74" w14:textId="77777777" w:rsidR="00C218DA" w:rsidRDefault="00C218DA" w:rsidP="00C218DA">
      <w:pPr>
        <w:spacing w:line="269" w:lineRule="auto"/>
        <w:rPr>
          <w:rtl/>
        </w:rPr>
      </w:pPr>
    </w:p>
    <w:p w14:paraId="1642B3F0" w14:textId="77777777" w:rsidR="00C218DA" w:rsidRDefault="00C218DA" w:rsidP="00C218DA">
      <w:pPr>
        <w:bidi w:val="0"/>
        <w:spacing w:after="200" w:line="276" w:lineRule="auto"/>
        <w:rPr>
          <w:rFonts w:eastAsiaTheme="majorEastAsia"/>
          <w:bCs/>
          <w:szCs w:val="28"/>
          <w:u w:val="single"/>
          <w:rtl/>
        </w:rPr>
      </w:pPr>
      <w:r>
        <w:rPr>
          <w:rtl/>
        </w:rPr>
        <w:br w:type="page"/>
      </w:r>
    </w:p>
    <w:p w14:paraId="17FDB1F7" w14:textId="77777777" w:rsidR="00C218DA" w:rsidRPr="00867437" w:rsidRDefault="00C218DA" w:rsidP="0083391A">
      <w:pPr>
        <w:pStyle w:val="316"/>
        <w:rPr>
          <w:rtl/>
        </w:rPr>
      </w:pPr>
      <w:r>
        <w:rPr>
          <w:rFonts w:hint="cs"/>
          <w:rtl/>
        </w:rPr>
        <w:lastRenderedPageBreak/>
        <w:t>מכירת הדירות הציבוריות לדיירי הדיור הציבורי</w:t>
      </w:r>
    </w:p>
    <w:p w14:paraId="111F34EB" w14:textId="58631838" w:rsidR="00C218DA" w:rsidRDefault="00C218DA" w:rsidP="0083391A">
      <w:pPr>
        <w:pStyle w:val="414"/>
        <w:rPr>
          <w:rtl/>
        </w:rPr>
      </w:pPr>
      <w:r>
        <w:rPr>
          <w:rFonts w:hint="cs"/>
          <w:rtl/>
        </w:rPr>
        <w:t xml:space="preserve">מיצוי זכויות הדיירים לרכישת הדירות הציבוריות </w:t>
      </w:r>
    </w:p>
    <w:p w14:paraId="753DC4CE" w14:textId="77777777" w:rsidR="00C218DA" w:rsidRDefault="00C218DA" w:rsidP="0083391A">
      <w:pPr>
        <w:pStyle w:val="100"/>
        <w:rPr>
          <w:sz w:val="24"/>
          <w:rtl/>
        </w:rPr>
      </w:pPr>
      <w:r w:rsidRPr="003362CA">
        <w:rPr>
          <w:rFonts w:hint="cs"/>
          <w:sz w:val="24"/>
          <w:rtl/>
        </w:rPr>
        <w:t xml:space="preserve">חוק </w:t>
      </w:r>
      <w:r>
        <w:rPr>
          <w:rFonts w:hint="cs"/>
          <w:sz w:val="24"/>
          <w:rtl/>
        </w:rPr>
        <w:t xml:space="preserve">הדיור הציבורי </w:t>
      </w:r>
      <w:r w:rsidRPr="003362CA">
        <w:rPr>
          <w:rFonts w:hint="cs"/>
          <w:sz w:val="24"/>
          <w:rtl/>
        </w:rPr>
        <w:t xml:space="preserve">נחקק </w:t>
      </w:r>
      <w:r>
        <w:rPr>
          <w:rFonts w:hint="cs"/>
          <w:sz w:val="24"/>
          <w:rtl/>
        </w:rPr>
        <w:t>כדי</w:t>
      </w:r>
      <w:r w:rsidRPr="003362CA">
        <w:rPr>
          <w:rFonts w:hint="cs"/>
          <w:sz w:val="24"/>
          <w:rtl/>
        </w:rPr>
        <w:t xml:space="preserve"> לאפשר ל</w:t>
      </w:r>
      <w:r>
        <w:rPr>
          <w:rFonts w:hint="cs"/>
          <w:sz w:val="24"/>
          <w:rtl/>
        </w:rPr>
        <w:t>דיירי הדיור הציבורי</w:t>
      </w:r>
      <w:r w:rsidRPr="003362CA">
        <w:rPr>
          <w:rFonts w:hint="cs"/>
          <w:sz w:val="24"/>
          <w:rtl/>
        </w:rPr>
        <w:t xml:space="preserve"> לרכוש את </w:t>
      </w:r>
      <w:r>
        <w:rPr>
          <w:rFonts w:hint="cs"/>
          <w:sz w:val="24"/>
          <w:rtl/>
        </w:rPr>
        <w:t xml:space="preserve">הדירה שבה הם גרים </w:t>
      </w:r>
      <w:r w:rsidRPr="003362CA">
        <w:rPr>
          <w:rFonts w:hint="cs"/>
          <w:sz w:val="24"/>
          <w:rtl/>
        </w:rPr>
        <w:t xml:space="preserve">במחיר מסובסד </w:t>
      </w:r>
      <w:r>
        <w:rPr>
          <w:rFonts w:hint="cs"/>
          <w:sz w:val="24"/>
          <w:rtl/>
        </w:rPr>
        <w:t>ה</w:t>
      </w:r>
      <w:r w:rsidRPr="003362CA">
        <w:rPr>
          <w:rFonts w:hint="cs"/>
          <w:sz w:val="24"/>
          <w:rtl/>
        </w:rPr>
        <w:t>ניתן כמענק מדינה. בהצעת החוק נכתב כי "מכירת דירות במחיר מסובסד, תוך חידוש מלאי הדירות הציבוריות, הם צעדים חברתיים חשובים ונכונים שיאפשרו לפתור את מצוקת הדיור של משפחות רבות"</w:t>
      </w:r>
      <w:r>
        <w:rPr>
          <w:rStyle w:val="FootnoteReference"/>
          <w:sz w:val="24"/>
          <w:rtl/>
        </w:rPr>
        <w:footnoteReference w:id="56"/>
      </w:r>
      <w:r w:rsidRPr="003362CA">
        <w:rPr>
          <w:rFonts w:hint="cs"/>
          <w:sz w:val="24"/>
          <w:rtl/>
        </w:rPr>
        <w:t xml:space="preserve">. </w:t>
      </w:r>
    </w:p>
    <w:p w14:paraId="58E4D2AB" w14:textId="127C189B" w:rsidR="00C218DA" w:rsidRPr="0083391A" w:rsidRDefault="00C218DA" w:rsidP="0083391A">
      <w:pPr>
        <w:pStyle w:val="100"/>
        <w:rPr>
          <w:sz w:val="24"/>
          <w:rtl/>
        </w:rPr>
      </w:pPr>
      <w:r>
        <w:rPr>
          <w:rFonts w:hint="cs"/>
          <w:sz w:val="24"/>
          <w:rtl/>
        </w:rPr>
        <w:t>כאמור, משנת 2014 ועד סוף 2019 נ</w:t>
      </w:r>
      <w:r w:rsidRPr="003362CA">
        <w:rPr>
          <w:rFonts w:hint="cs"/>
          <w:sz w:val="24"/>
          <w:rtl/>
        </w:rPr>
        <w:t>רכשו</w:t>
      </w:r>
      <w:r>
        <w:rPr>
          <w:rFonts w:hint="cs"/>
          <w:sz w:val="24"/>
          <w:rtl/>
        </w:rPr>
        <w:t xml:space="preserve"> </w:t>
      </w:r>
      <w:r w:rsidRPr="003362CA">
        <w:rPr>
          <w:rFonts w:hint="cs"/>
          <w:sz w:val="24"/>
          <w:rtl/>
        </w:rPr>
        <w:t>כ-</w:t>
      </w:r>
      <w:r>
        <w:rPr>
          <w:rFonts w:hint="cs"/>
          <w:sz w:val="24"/>
          <w:rtl/>
        </w:rPr>
        <w:t xml:space="preserve">10,000 </w:t>
      </w:r>
      <w:r w:rsidRPr="003362CA">
        <w:rPr>
          <w:rFonts w:hint="cs"/>
          <w:sz w:val="24"/>
          <w:rtl/>
        </w:rPr>
        <w:t>דירות</w:t>
      </w:r>
      <w:r>
        <w:rPr>
          <w:rFonts w:hint="cs"/>
          <w:sz w:val="24"/>
          <w:rtl/>
        </w:rPr>
        <w:t xml:space="preserve"> מכוח החוק. להערכת משרד מבקר המדינה, על סמך נתונים שמסרה עמידר, באוקטובר 2019 היו כ-42,000 דיירים הזכאים לרכוש את הדירות הציבוריות שבהן הם מתגוררים מתוך כ-49,000 משקי בית בדיור הציבורי. יצוין כי בשנת 2014 התגוררו כ-60,000 משקי בית בדיור ציבורי. </w:t>
      </w:r>
      <w:r>
        <w:rPr>
          <w:rFonts w:hint="cs"/>
          <w:rtl/>
        </w:rPr>
        <w:t xml:space="preserve">נראה שבמהלך השנים רק חלק קטן מהדיירים שהיו זכאים לרכוש את הדירה שבה הם מתגוררים עשו כן. </w:t>
      </w:r>
    </w:p>
    <w:p w14:paraId="1672CA70" w14:textId="592A780C" w:rsidR="00C218DA" w:rsidRPr="0083391A" w:rsidRDefault="00C218DA" w:rsidP="0083391A">
      <w:pPr>
        <w:pStyle w:val="100"/>
        <w:rPr>
          <w:sz w:val="24"/>
          <w:rtl/>
        </w:rPr>
      </w:pPr>
      <w:r>
        <w:rPr>
          <w:rFonts w:hint="cs"/>
          <w:sz w:val="24"/>
          <w:rtl/>
        </w:rPr>
        <w:t xml:space="preserve">בדוח מבקר המדינה משנת 2015 בנושא "אי-מיצוי של זכויות חברתיות" צוין כי גופים ציבוריים מעניקים זכויות מגוונות מתוקף חוקים או תקנות, וכי מורכבותן של כמה מהזכויות הללו מקשה על האזרח להכיר את כל זכויותיו ואת התנאים לקבלתן. לכן על הרשות הציבורית חלה חובה לממש את הזכות ולתת אותה לזכאים לה, וכנאמן הציבור ראוי שהיא תספק לציבור, לכל הפחות, מידע על עצם קיום הזכות ועל התנאים לקבלתה באופן מלא ושקוף. לשם כך ראוי שהרשות תנקוט פעולות שמטרתן הסרת חסמים העומדים בפני הזכאי, כדי שיוכל לממש את זכויותיו. באופן זה ייושם עקרון היסוד של הצדק החברתי - לא רק </w:t>
      </w:r>
      <w:r w:rsidRPr="002C0D55">
        <w:rPr>
          <w:rFonts w:hint="cs"/>
          <w:sz w:val="24"/>
          <w:rtl/>
        </w:rPr>
        <w:t>לעגן את הזכויות עלי כתב אלא</w:t>
      </w:r>
      <w:r>
        <w:rPr>
          <w:rFonts w:hint="cs"/>
          <w:sz w:val="24"/>
          <w:rtl/>
        </w:rPr>
        <w:t xml:space="preserve"> גם לתת לזכאים את האפשרות לממש אותן בפועל</w:t>
      </w:r>
      <w:r>
        <w:rPr>
          <w:rStyle w:val="FootnoteReference"/>
          <w:sz w:val="24"/>
          <w:rtl/>
        </w:rPr>
        <w:footnoteReference w:id="57"/>
      </w:r>
      <w:r>
        <w:rPr>
          <w:rFonts w:hint="cs"/>
          <w:sz w:val="24"/>
          <w:rtl/>
        </w:rPr>
        <w:t xml:space="preserve">. </w:t>
      </w:r>
      <w:r>
        <w:rPr>
          <w:rFonts w:hint="cs"/>
          <w:rtl/>
        </w:rPr>
        <w:t xml:space="preserve">בדוח מבקר המדינה משנת 2015 בנושא "סיוע בדיור לזכאים" צוין כי </w:t>
      </w:r>
      <w:r w:rsidRPr="00622D16">
        <w:rPr>
          <w:rtl/>
        </w:rPr>
        <w:t xml:space="preserve">הזכאים לדיור ציבורי </w:t>
      </w:r>
      <w:r>
        <w:rPr>
          <w:rFonts w:hint="cs"/>
          <w:rtl/>
        </w:rPr>
        <w:t>מתגוררים ביישובים המדורגים</w:t>
      </w:r>
      <w:r w:rsidRPr="00622D16">
        <w:rPr>
          <w:rtl/>
        </w:rPr>
        <w:t xml:space="preserve"> </w:t>
      </w:r>
      <w:r>
        <w:rPr>
          <w:rFonts w:hint="cs"/>
          <w:rtl/>
        </w:rPr>
        <w:t>ב</w:t>
      </w:r>
      <w:r w:rsidRPr="00622D16">
        <w:rPr>
          <w:rtl/>
        </w:rPr>
        <w:t xml:space="preserve">אשכול </w:t>
      </w:r>
      <w:r>
        <w:rPr>
          <w:rFonts w:hint="cs"/>
          <w:rtl/>
        </w:rPr>
        <w:t>חברתי</w:t>
      </w:r>
      <w:r w:rsidRPr="00622D16">
        <w:rPr>
          <w:rtl/>
        </w:rPr>
        <w:t>-</w:t>
      </w:r>
      <w:r>
        <w:rPr>
          <w:rFonts w:hint="cs"/>
          <w:rtl/>
        </w:rPr>
        <w:t>כלכלי</w:t>
      </w:r>
      <w:r w:rsidRPr="00622D16">
        <w:rPr>
          <w:rtl/>
        </w:rPr>
        <w:t xml:space="preserve"> נמוך; רבים מהם קשישים</w:t>
      </w:r>
      <w:r w:rsidRPr="00622D16">
        <w:rPr>
          <w:rFonts w:hint="cs"/>
          <w:rtl/>
        </w:rPr>
        <w:t>, אנשים עם</w:t>
      </w:r>
      <w:r w:rsidRPr="00622D16">
        <w:rPr>
          <w:rtl/>
        </w:rPr>
        <w:t xml:space="preserve"> מוגבלויות</w:t>
      </w:r>
      <w:r>
        <w:rPr>
          <w:rtl/>
        </w:rPr>
        <w:t xml:space="preserve"> </w:t>
      </w:r>
      <w:r w:rsidRPr="00622D16">
        <w:rPr>
          <w:rFonts w:hint="cs"/>
          <w:rtl/>
        </w:rPr>
        <w:t>ועולים חדשים</w:t>
      </w:r>
      <w:r w:rsidRPr="00622D16">
        <w:rPr>
          <w:rtl/>
        </w:rPr>
        <w:t xml:space="preserve">. קיים חשש סביר </w:t>
      </w:r>
      <w:r w:rsidRPr="00622D16">
        <w:rPr>
          <w:rFonts w:hint="cs"/>
          <w:rtl/>
        </w:rPr>
        <w:t xml:space="preserve">שאין </w:t>
      </w:r>
      <w:r w:rsidRPr="00622D16">
        <w:rPr>
          <w:rtl/>
        </w:rPr>
        <w:t>הם מודעים למלוא זכויותיהם</w:t>
      </w:r>
      <w:r>
        <w:rPr>
          <w:rFonts w:hint="cs"/>
          <w:rtl/>
        </w:rPr>
        <w:t>,</w:t>
      </w:r>
      <w:r w:rsidRPr="00622D16">
        <w:rPr>
          <w:rFonts w:hint="cs"/>
          <w:rtl/>
        </w:rPr>
        <w:t xml:space="preserve"> ו</w:t>
      </w:r>
      <w:r w:rsidRPr="00622D16">
        <w:rPr>
          <w:rtl/>
        </w:rPr>
        <w:t xml:space="preserve">נגישותם למידע </w:t>
      </w:r>
      <w:r>
        <w:rPr>
          <w:rFonts w:hint="cs"/>
          <w:rtl/>
        </w:rPr>
        <w:t>זה</w:t>
      </w:r>
      <w:r w:rsidRPr="00622D16">
        <w:rPr>
          <w:rtl/>
        </w:rPr>
        <w:t xml:space="preserve"> מוגבלת</w:t>
      </w:r>
      <w:r w:rsidRPr="00622D16">
        <w:rPr>
          <w:rFonts w:hint="cs"/>
          <w:rtl/>
        </w:rPr>
        <w:t>. גם אם ירצו לממש את זכויותיהם אין בידיהם הכלים שיסייעו להם בקבלתן</w:t>
      </w:r>
      <w:r>
        <w:rPr>
          <w:rStyle w:val="FootnoteReference"/>
          <w:sz w:val="24"/>
          <w:rtl/>
        </w:rPr>
        <w:footnoteReference w:id="58"/>
      </w:r>
      <w:r w:rsidRPr="00622D16">
        <w:rPr>
          <w:rFonts w:hint="cs"/>
          <w:rtl/>
        </w:rPr>
        <w:t>.</w:t>
      </w:r>
    </w:p>
    <w:p w14:paraId="6E229882" w14:textId="034561D2" w:rsidR="00C218DA" w:rsidRPr="0083391A" w:rsidRDefault="00C218DA" w:rsidP="0083391A">
      <w:pPr>
        <w:pStyle w:val="100"/>
        <w:rPr>
          <w:sz w:val="24"/>
          <w:rtl/>
        </w:rPr>
      </w:pPr>
      <w:r>
        <w:rPr>
          <w:rFonts w:hint="cs"/>
          <w:rtl/>
        </w:rPr>
        <w:t xml:space="preserve">נמצא כי בשנת 2014, </w:t>
      </w:r>
      <w:r w:rsidRPr="003362CA">
        <w:rPr>
          <w:rFonts w:hint="cs"/>
          <w:rtl/>
        </w:rPr>
        <w:t>ופעם נוספת</w:t>
      </w:r>
      <w:r>
        <w:rPr>
          <w:rFonts w:hint="cs"/>
          <w:rtl/>
        </w:rPr>
        <w:t xml:space="preserve"> לאחר הארכת תוקף החוק</w:t>
      </w:r>
      <w:r w:rsidRPr="003362CA">
        <w:rPr>
          <w:rFonts w:hint="cs"/>
          <w:rtl/>
        </w:rPr>
        <w:t xml:space="preserve"> ב</w:t>
      </w:r>
      <w:r>
        <w:rPr>
          <w:rFonts w:hint="cs"/>
          <w:rtl/>
        </w:rPr>
        <w:t>-</w:t>
      </w:r>
      <w:r w:rsidRPr="003362CA">
        <w:rPr>
          <w:rFonts w:hint="cs"/>
          <w:rtl/>
        </w:rPr>
        <w:t>2018</w:t>
      </w:r>
      <w:r>
        <w:rPr>
          <w:rFonts w:hint="cs"/>
          <w:rtl/>
        </w:rPr>
        <w:t>,</w:t>
      </w:r>
      <w:r w:rsidRPr="003362CA">
        <w:rPr>
          <w:rFonts w:hint="cs"/>
          <w:rtl/>
        </w:rPr>
        <w:t xml:space="preserve"> שלח</w:t>
      </w:r>
      <w:r>
        <w:rPr>
          <w:rFonts w:hint="cs"/>
          <w:rtl/>
        </w:rPr>
        <w:t>ו</w:t>
      </w:r>
      <w:r w:rsidRPr="003362CA">
        <w:rPr>
          <w:rFonts w:hint="cs"/>
          <w:rtl/>
        </w:rPr>
        <w:t xml:space="preserve"> </w:t>
      </w:r>
      <w:r>
        <w:rPr>
          <w:rFonts w:hint="cs"/>
          <w:rtl/>
        </w:rPr>
        <w:t xml:space="preserve">החברות המאכלסות </w:t>
      </w:r>
      <w:r w:rsidRPr="003362CA">
        <w:rPr>
          <w:rFonts w:hint="cs"/>
          <w:rtl/>
        </w:rPr>
        <w:t xml:space="preserve">לכל מי שזכאי לרכוש את הדירה שבה הוא מתגורר </w:t>
      </w:r>
      <w:r>
        <w:rPr>
          <w:rFonts w:hint="cs"/>
          <w:rtl/>
        </w:rPr>
        <w:t xml:space="preserve">ולכל מי שצפוי להיות זכאי, </w:t>
      </w:r>
      <w:r w:rsidRPr="003362CA">
        <w:rPr>
          <w:rFonts w:hint="cs"/>
          <w:rtl/>
        </w:rPr>
        <w:t>מכתב המיידע אותו בדבר זכותו בעניין</w:t>
      </w:r>
      <w:r>
        <w:rPr>
          <w:rFonts w:hint="cs"/>
          <w:rtl/>
        </w:rPr>
        <w:t>, על פי הוראת משרד הבינוי ובנוסח שהמשרד קבע</w:t>
      </w:r>
      <w:r w:rsidRPr="003362CA">
        <w:rPr>
          <w:rFonts w:hint="cs"/>
          <w:rtl/>
        </w:rPr>
        <w:t xml:space="preserve">. </w:t>
      </w:r>
    </w:p>
    <w:p w14:paraId="4041A9FD" w14:textId="77777777" w:rsidR="00C218DA" w:rsidRDefault="00C218DA" w:rsidP="0083391A">
      <w:pPr>
        <w:pStyle w:val="af5"/>
        <w:rPr>
          <w:rtl/>
        </w:rPr>
      </w:pPr>
      <w:r>
        <w:rPr>
          <w:rFonts w:hint="cs"/>
          <w:rtl/>
        </w:rPr>
        <w:t xml:space="preserve">בביקורת נמצא </w:t>
      </w:r>
      <w:r w:rsidRPr="00556E89">
        <w:rPr>
          <w:rFonts w:hint="cs"/>
          <w:rtl/>
        </w:rPr>
        <w:t>כי</w:t>
      </w:r>
      <w:r>
        <w:rPr>
          <w:rFonts w:hint="cs"/>
          <w:rtl/>
        </w:rPr>
        <w:t xml:space="preserve"> משרד הבינוי שלח לדיירים, באמצעות החברות המאכלסות, את המכתבים בדבר הזכות לרכוש את הדירה</w:t>
      </w:r>
      <w:r w:rsidRPr="00556E89">
        <w:rPr>
          <w:rFonts w:hint="cs"/>
          <w:rtl/>
        </w:rPr>
        <w:t xml:space="preserve"> בעברית בלבד</w:t>
      </w:r>
      <w:r>
        <w:rPr>
          <w:rFonts w:hint="cs"/>
          <w:rtl/>
        </w:rPr>
        <w:t>,</w:t>
      </w:r>
      <w:r w:rsidRPr="00556E89">
        <w:rPr>
          <w:rFonts w:hint="cs"/>
          <w:rtl/>
        </w:rPr>
        <w:t xml:space="preserve"> </w:t>
      </w:r>
      <w:r>
        <w:rPr>
          <w:rFonts w:hint="cs"/>
          <w:rtl/>
        </w:rPr>
        <w:t xml:space="preserve">זאת </w:t>
      </w:r>
      <w:r w:rsidRPr="00556E89">
        <w:rPr>
          <w:rFonts w:hint="cs"/>
          <w:rtl/>
        </w:rPr>
        <w:t>אף ש</w:t>
      </w:r>
      <w:r>
        <w:rPr>
          <w:rFonts w:hint="cs"/>
          <w:rtl/>
        </w:rPr>
        <w:t>עולים חדשים הם חלק ניכר (כשליש) מהדיירים הנכנסים להתגורר בדירות הציבוריות מדי שנה (כ-600 בממוצע), ו</w:t>
      </w:r>
      <w:r w:rsidRPr="00556E89">
        <w:rPr>
          <w:rFonts w:hint="cs"/>
          <w:rtl/>
        </w:rPr>
        <w:t xml:space="preserve">ניתן להניח שרבים </w:t>
      </w:r>
      <w:r>
        <w:rPr>
          <w:rFonts w:hint="cs"/>
          <w:rtl/>
        </w:rPr>
        <w:t xml:space="preserve">מהדיירים </w:t>
      </w:r>
      <w:r w:rsidRPr="00556E89">
        <w:rPr>
          <w:rFonts w:hint="cs"/>
          <w:rtl/>
        </w:rPr>
        <w:t>אינם שולטים בעברית</w:t>
      </w:r>
      <w:r w:rsidRPr="00B66A7A">
        <w:rPr>
          <w:rFonts w:hint="cs"/>
          <w:rtl/>
        </w:rPr>
        <w:t xml:space="preserve">. </w:t>
      </w:r>
      <w:r>
        <w:rPr>
          <w:rFonts w:hint="cs"/>
          <w:rtl/>
        </w:rPr>
        <w:t>יש לציין כי באתר המשרד במרשתת הופיע מידע בעניין בעברית ובערבית בלבד.</w:t>
      </w:r>
    </w:p>
    <w:p w14:paraId="094F65E4" w14:textId="77777777" w:rsidR="00C218DA" w:rsidRPr="00D508E2" w:rsidRDefault="00C218DA" w:rsidP="0083391A">
      <w:pPr>
        <w:pStyle w:val="100"/>
        <w:rPr>
          <w:sz w:val="24"/>
          <w:rtl/>
        </w:rPr>
      </w:pPr>
      <w:r>
        <w:rPr>
          <w:rFonts w:hint="cs"/>
          <w:rtl/>
        </w:rPr>
        <w:lastRenderedPageBreak/>
        <w:t>עוד יצוין כי כמחצית מ-5,000 הדיירים שפנו לעמידר בשנים 2016 - 2018 בבקשה להתחיל בתהליך הרכישה לא עשו זאת בסופו של דבר</w:t>
      </w:r>
      <w:r w:rsidRPr="00D508E2">
        <w:rPr>
          <w:rFonts w:hint="cs"/>
          <w:sz w:val="24"/>
          <w:rtl/>
        </w:rPr>
        <w:t>.</w:t>
      </w:r>
      <w:r>
        <w:rPr>
          <w:rFonts w:hint="cs"/>
          <w:rtl/>
        </w:rPr>
        <w:t xml:space="preserve"> כלומר דיירים רבים היו מודעים לזכאותם, אולם מסיבות כלשהן לא מימשו אותה</w:t>
      </w:r>
      <w:r w:rsidRPr="00D508E2">
        <w:rPr>
          <w:rFonts w:hint="cs"/>
          <w:sz w:val="24"/>
          <w:rtl/>
        </w:rPr>
        <w:t>.</w:t>
      </w:r>
    </w:p>
    <w:p w14:paraId="3A0B5D36" w14:textId="77777777" w:rsidR="00C218DA" w:rsidRPr="00B369D4" w:rsidRDefault="00C218DA" w:rsidP="0083391A">
      <w:pPr>
        <w:pStyle w:val="af5"/>
        <w:rPr>
          <w:rtl/>
        </w:rPr>
      </w:pPr>
      <w:r>
        <w:rPr>
          <w:rFonts w:hint="cs"/>
          <w:rtl/>
        </w:rPr>
        <w:t xml:space="preserve">אף שחלק ניכר מהדיירים הזכאים לא מימשו את זכותם (כ-42,000 דיירים היו זכאים בשנת 2019 אך רק כ-10,000 דירות נרכשו בשנים 2014 - 2019), המשרד לא בחן עד כה מהן הסיבות לכך ואם יש חסמים שאינם נוגעים ליכולותיו הכספיות של הדייר אשר באפשרות המשרד </w:t>
      </w:r>
      <w:r w:rsidRPr="00B369D4">
        <w:rPr>
          <w:rFonts w:hint="cs"/>
          <w:rtl/>
        </w:rPr>
        <w:t>לפעול להסרתם</w:t>
      </w:r>
      <w:r>
        <w:rPr>
          <w:rFonts w:hint="cs"/>
          <w:rtl/>
        </w:rPr>
        <w:t>.</w:t>
      </w:r>
      <w:r w:rsidRPr="00B369D4">
        <w:rPr>
          <w:rFonts w:hint="cs"/>
          <w:rtl/>
        </w:rPr>
        <w:t xml:space="preserve"> </w:t>
      </w:r>
    </w:p>
    <w:p w14:paraId="18CD4AA8" w14:textId="321B33F7" w:rsidR="00C218DA" w:rsidRDefault="00C218DA" w:rsidP="0083391A">
      <w:pPr>
        <w:pStyle w:val="af5"/>
        <w:rPr>
          <w:rtl/>
        </w:rPr>
      </w:pPr>
      <w:r>
        <w:rPr>
          <w:rFonts w:hint="cs"/>
          <w:rtl/>
        </w:rPr>
        <w:t>ע</w:t>
      </w:r>
      <w:r w:rsidRPr="003362CA">
        <w:rPr>
          <w:rFonts w:hint="cs"/>
          <w:rtl/>
        </w:rPr>
        <w:t>ל</w:t>
      </w:r>
      <w:r>
        <w:rPr>
          <w:rFonts w:hint="cs"/>
          <w:rtl/>
        </w:rPr>
        <w:t xml:space="preserve"> </w:t>
      </w:r>
      <w:r w:rsidRPr="003362CA">
        <w:rPr>
          <w:rFonts w:hint="cs"/>
          <w:rtl/>
        </w:rPr>
        <w:t xml:space="preserve">משרד </w:t>
      </w:r>
      <w:r>
        <w:rPr>
          <w:rFonts w:hint="cs"/>
          <w:rtl/>
        </w:rPr>
        <w:t>הבינוי לפעול</w:t>
      </w:r>
      <w:r w:rsidRPr="003362CA">
        <w:rPr>
          <w:rtl/>
        </w:rPr>
        <w:t xml:space="preserve"> </w:t>
      </w:r>
      <w:r>
        <w:rPr>
          <w:rFonts w:hint="cs"/>
          <w:rtl/>
        </w:rPr>
        <w:t xml:space="preserve">להנגשת המידע לדיירים בדבר זכאותם </w:t>
      </w:r>
      <w:r w:rsidRPr="003362CA">
        <w:rPr>
          <w:rtl/>
        </w:rPr>
        <w:t>לרכ</w:t>
      </w:r>
      <w:r>
        <w:rPr>
          <w:rFonts w:hint="cs"/>
          <w:rtl/>
        </w:rPr>
        <w:t>וש</w:t>
      </w:r>
      <w:r w:rsidRPr="003362CA">
        <w:rPr>
          <w:rtl/>
        </w:rPr>
        <w:t xml:space="preserve"> </w:t>
      </w:r>
      <w:r>
        <w:rPr>
          <w:rFonts w:hint="cs"/>
          <w:rtl/>
        </w:rPr>
        <w:t>את ה</w:t>
      </w:r>
      <w:r w:rsidRPr="003362CA">
        <w:rPr>
          <w:rtl/>
        </w:rPr>
        <w:t>דיר</w:t>
      </w:r>
      <w:r>
        <w:rPr>
          <w:rFonts w:hint="cs"/>
          <w:rtl/>
        </w:rPr>
        <w:t>ה שבה הם מתגוררים; עליו גם לשקול לשלוח מכתבים בעניין בשפות הרווחות בקרב הדיירים ולקיים פעולות הסברה אחרות בנושא.</w:t>
      </w:r>
      <w:r w:rsidRPr="003362CA">
        <w:rPr>
          <w:rtl/>
        </w:rPr>
        <w:t xml:space="preserve"> </w:t>
      </w:r>
      <w:r>
        <w:rPr>
          <w:rFonts w:hint="cs"/>
          <w:rtl/>
        </w:rPr>
        <w:t>עוד ראוי שהמשרד י</w:t>
      </w:r>
      <w:r w:rsidRPr="003362CA">
        <w:rPr>
          <w:rtl/>
        </w:rPr>
        <w:t>בדוק אם קיימים חסמים</w:t>
      </w:r>
      <w:r>
        <w:rPr>
          <w:rFonts w:hint="cs"/>
          <w:rtl/>
        </w:rPr>
        <w:t xml:space="preserve"> </w:t>
      </w:r>
      <w:r w:rsidRPr="00B369D4">
        <w:rPr>
          <w:rFonts w:hint="cs"/>
          <w:rtl/>
        </w:rPr>
        <w:t>בירוקרטיים-</w:t>
      </w:r>
      <w:r>
        <w:rPr>
          <w:rFonts w:hint="cs"/>
          <w:rtl/>
        </w:rPr>
        <w:t>פרוצדורליים</w:t>
      </w:r>
      <w:r w:rsidRPr="00B369D4">
        <w:rPr>
          <w:rFonts w:hint="cs"/>
          <w:rtl/>
        </w:rPr>
        <w:t xml:space="preserve"> </w:t>
      </w:r>
      <w:r>
        <w:rPr>
          <w:rFonts w:hint="cs"/>
          <w:rtl/>
        </w:rPr>
        <w:t>למיצוי הזכאות,</w:t>
      </w:r>
      <w:r w:rsidRPr="003362CA">
        <w:rPr>
          <w:rtl/>
        </w:rPr>
        <w:t xml:space="preserve"> </w:t>
      </w:r>
      <w:r>
        <w:rPr>
          <w:rtl/>
        </w:rPr>
        <w:t>ו</w:t>
      </w:r>
      <w:r>
        <w:rPr>
          <w:rFonts w:hint="cs"/>
          <w:rtl/>
        </w:rPr>
        <w:t>אם אכן קיימים - עליו לפעול</w:t>
      </w:r>
      <w:r>
        <w:rPr>
          <w:rtl/>
        </w:rPr>
        <w:t xml:space="preserve"> להסרתם</w:t>
      </w:r>
      <w:r>
        <w:rPr>
          <w:rFonts w:hint="cs"/>
          <w:rtl/>
        </w:rPr>
        <w:t>.</w:t>
      </w:r>
    </w:p>
    <w:p w14:paraId="16B5DF48" w14:textId="77777777" w:rsidR="00C218DA" w:rsidRDefault="00C218DA" w:rsidP="0083391A">
      <w:pPr>
        <w:pStyle w:val="100"/>
        <w:rPr>
          <w:rtl/>
        </w:rPr>
      </w:pPr>
      <w:r>
        <w:rPr>
          <w:rFonts w:hint="cs"/>
          <w:rtl/>
        </w:rPr>
        <w:t>בתשובתו מסר משרד הבינוי כי הוא</w:t>
      </w:r>
      <w:r w:rsidRPr="00347DFE">
        <w:rPr>
          <w:rtl/>
        </w:rPr>
        <w:t xml:space="preserve"> יפיץ לדיירים את המידע בשפות נוספות</w:t>
      </w:r>
      <w:r>
        <w:rPr>
          <w:rFonts w:hint="cs"/>
          <w:rtl/>
        </w:rPr>
        <w:t>,</w:t>
      </w:r>
      <w:r w:rsidRPr="00347DFE">
        <w:rPr>
          <w:rtl/>
        </w:rPr>
        <w:t xml:space="preserve"> לרבות בשפה הרוסית</w:t>
      </w:r>
      <w:r>
        <w:rPr>
          <w:rFonts w:hint="cs"/>
          <w:rtl/>
        </w:rPr>
        <w:t xml:space="preserve">, כפי שהמליץ המבקר, וכי </w:t>
      </w:r>
      <w:r w:rsidRPr="00347DFE">
        <w:rPr>
          <w:rtl/>
        </w:rPr>
        <w:t>המידע בשפות נוספות יפורסם גם באתר המ</w:t>
      </w:r>
      <w:r>
        <w:rPr>
          <w:rFonts w:hint="cs"/>
          <w:rtl/>
        </w:rPr>
        <w:t>רשתת של המשרד</w:t>
      </w:r>
      <w:r w:rsidRPr="00347DFE">
        <w:rPr>
          <w:rtl/>
        </w:rPr>
        <w:t>.</w:t>
      </w:r>
      <w:r>
        <w:rPr>
          <w:rFonts w:hint="cs"/>
          <w:rtl/>
        </w:rPr>
        <w:t xml:space="preserve"> לעניין מימוש זכות הרכישה מסר כי </w:t>
      </w:r>
      <w:r w:rsidRPr="00347DFE">
        <w:rPr>
          <w:rtl/>
        </w:rPr>
        <w:t>חוק הדיור הציבורי אינו מגדיר יעד ממשלתי</w:t>
      </w:r>
      <w:r>
        <w:rPr>
          <w:rFonts w:hint="cs"/>
          <w:rtl/>
        </w:rPr>
        <w:t xml:space="preserve"> למכר הדירות, וכי "</w:t>
      </w:r>
      <w:r w:rsidRPr="00347DFE">
        <w:rPr>
          <w:rtl/>
        </w:rPr>
        <w:t>המשרד עקב אחר תהליך מכירת הדירות ואף דן בבקשות חריגות שהגיעו אליו והמסקנה שעולה מעיסוק יום יומי בנושא כי זכאים שלא מ</w:t>
      </w:r>
      <w:r>
        <w:rPr>
          <w:rFonts w:hint="cs"/>
          <w:rtl/>
        </w:rPr>
        <w:t>י</w:t>
      </w:r>
      <w:r w:rsidRPr="00347DFE">
        <w:rPr>
          <w:rtl/>
        </w:rPr>
        <w:t xml:space="preserve">משו </w:t>
      </w:r>
      <w:r>
        <w:rPr>
          <w:rFonts w:hint="cs"/>
          <w:rtl/>
        </w:rPr>
        <w:t xml:space="preserve">[את זכותם לרכוש את הדירה] </w:t>
      </w:r>
      <w:r w:rsidRPr="00347DFE">
        <w:rPr>
          <w:rtl/>
        </w:rPr>
        <w:t xml:space="preserve">הם זכאים שלא היה בידם </w:t>
      </w:r>
      <w:r>
        <w:rPr>
          <w:rFonts w:hint="cs"/>
          <w:rtl/>
        </w:rPr>
        <w:t>'</w:t>
      </w:r>
      <w:r w:rsidRPr="00347DFE">
        <w:rPr>
          <w:rtl/>
        </w:rPr>
        <w:t>מלוא</w:t>
      </w:r>
      <w:r>
        <w:rPr>
          <w:rFonts w:hint="cs"/>
          <w:rtl/>
        </w:rPr>
        <w:t>'</w:t>
      </w:r>
      <w:r w:rsidRPr="00347DFE">
        <w:rPr>
          <w:rtl/>
        </w:rPr>
        <w:t xml:space="preserve"> היכולת הכלכלית כדי לממן את העלות</w:t>
      </w:r>
      <w:r>
        <w:rPr>
          <w:rFonts w:hint="cs"/>
          <w:rtl/>
        </w:rPr>
        <w:t>..."</w:t>
      </w:r>
      <w:r w:rsidRPr="00347DFE">
        <w:rPr>
          <w:rtl/>
        </w:rPr>
        <w:t>.</w:t>
      </w:r>
      <w:r>
        <w:rPr>
          <w:rFonts w:hint="cs"/>
          <w:rtl/>
        </w:rPr>
        <w:t xml:space="preserve"> </w:t>
      </w:r>
    </w:p>
    <w:p w14:paraId="234DE601" w14:textId="58A5519D" w:rsidR="00C218DA" w:rsidRDefault="00C218DA" w:rsidP="0083391A">
      <w:pPr>
        <w:pStyle w:val="af5"/>
        <w:rPr>
          <w:rtl/>
        </w:rPr>
      </w:pPr>
      <w:r>
        <w:rPr>
          <w:rFonts w:hint="cs"/>
          <w:rtl/>
        </w:rPr>
        <w:t xml:space="preserve">ראוי כי </w:t>
      </w:r>
      <w:r w:rsidRPr="00307221">
        <w:rPr>
          <w:rFonts w:hint="cs"/>
          <w:rtl/>
        </w:rPr>
        <w:t xml:space="preserve">משרד הבינוי </w:t>
      </w:r>
      <w:r>
        <w:rPr>
          <w:rFonts w:hint="cs"/>
          <w:rtl/>
        </w:rPr>
        <w:t>יבחן</w:t>
      </w:r>
      <w:r w:rsidRPr="00307221">
        <w:rPr>
          <w:rFonts w:hint="cs"/>
          <w:rtl/>
        </w:rPr>
        <w:t xml:space="preserve"> באופן שיטתי ומקיף אם אכן היעדר יכולת כלכלית הוא החסם היחיד למיצוי הזכאות לרכוש את הדירות הציבוריות, ואם הבדיקה תעלה כי קיימים </w:t>
      </w:r>
      <w:r w:rsidRPr="00307221">
        <w:rPr>
          <w:rtl/>
        </w:rPr>
        <w:t>חסמים</w:t>
      </w:r>
      <w:r w:rsidRPr="00307221">
        <w:rPr>
          <w:rFonts w:hint="cs"/>
          <w:rtl/>
        </w:rPr>
        <w:t xml:space="preserve"> </w:t>
      </w:r>
      <w:r w:rsidRPr="00307221">
        <w:rPr>
          <w:rFonts w:hint="cs"/>
          <w:sz w:val="24"/>
          <w:rtl/>
        </w:rPr>
        <w:t xml:space="preserve">בירוקרטיים-פרוצדורליים </w:t>
      </w:r>
      <w:r w:rsidRPr="00307221">
        <w:rPr>
          <w:rFonts w:hint="cs"/>
          <w:rtl/>
        </w:rPr>
        <w:t>למיצוי הזכאות,</w:t>
      </w:r>
      <w:r w:rsidRPr="00307221">
        <w:rPr>
          <w:rtl/>
        </w:rPr>
        <w:t xml:space="preserve"> </w:t>
      </w:r>
      <w:r w:rsidRPr="00307221">
        <w:rPr>
          <w:rFonts w:hint="cs"/>
          <w:rtl/>
        </w:rPr>
        <w:t>עליו לפעול</w:t>
      </w:r>
      <w:r w:rsidRPr="00307221">
        <w:rPr>
          <w:rtl/>
        </w:rPr>
        <w:t xml:space="preserve"> להסרתם</w:t>
      </w:r>
      <w:r w:rsidRPr="00307221">
        <w:rPr>
          <w:rFonts w:hint="cs"/>
          <w:rtl/>
        </w:rPr>
        <w:t>, כאמור.</w:t>
      </w:r>
      <w:r>
        <w:rPr>
          <w:rFonts w:hint="cs"/>
          <w:rtl/>
        </w:rPr>
        <w:t xml:space="preserve"> נוסף על כך, מומלץ לבחון את המודל הכלכלי </w:t>
      </w:r>
      <w:r w:rsidRPr="00307221">
        <w:rPr>
          <w:rFonts w:hint="cs"/>
          <w:rtl/>
        </w:rPr>
        <w:t>למיצוי הזכאות לרכ</w:t>
      </w:r>
      <w:r>
        <w:rPr>
          <w:rFonts w:hint="cs"/>
          <w:rtl/>
        </w:rPr>
        <w:t>י</w:t>
      </w:r>
      <w:r w:rsidRPr="00307221">
        <w:rPr>
          <w:rFonts w:hint="cs"/>
          <w:rtl/>
        </w:rPr>
        <w:t>ש</w:t>
      </w:r>
      <w:r>
        <w:rPr>
          <w:rFonts w:hint="cs"/>
          <w:rtl/>
        </w:rPr>
        <w:t>ה.</w:t>
      </w:r>
    </w:p>
    <w:p w14:paraId="2E38DB6E" w14:textId="7247A72B" w:rsidR="00C218DA" w:rsidRDefault="00C218DA" w:rsidP="0083391A">
      <w:pPr>
        <w:pStyle w:val="414"/>
        <w:rPr>
          <w:rtl/>
        </w:rPr>
      </w:pPr>
      <w:r>
        <w:rPr>
          <w:rFonts w:hint="cs"/>
          <w:rtl/>
        </w:rPr>
        <w:t>היבטים בסדרי מכירת הדירות לדיירים</w:t>
      </w:r>
    </w:p>
    <w:p w14:paraId="5646E267" w14:textId="77777777" w:rsidR="00C218DA" w:rsidRDefault="00C218DA" w:rsidP="0083391A">
      <w:pPr>
        <w:pStyle w:val="100"/>
        <w:rPr>
          <w:rtl/>
        </w:rPr>
      </w:pPr>
      <w:r>
        <w:rPr>
          <w:rFonts w:hint="cs"/>
          <w:rtl/>
        </w:rPr>
        <w:t xml:space="preserve">בתחילת שנת 2014 קבעו משרדי הבינוי והאוצר הנחיות המסדירות את תהליך מכירת הדירות לדיירים הזכאים. בהנחיות נקבע כי תהליך המכירה יתבצע על ידי החברה המאכלסת הרלוונטית. </w:t>
      </w:r>
    </w:p>
    <w:p w14:paraId="578F4E54" w14:textId="77777777" w:rsidR="00C218DA" w:rsidRDefault="00C218DA" w:rsidP="0083391A">
      <w:pPr>
        <w:pStyle w:val="100"/>
        <w:rPr>
          <w:rtl/>
        </w:rPr>
      </w:pPr>
      <w:r>
        <w:rPr>
          <w:rFonts w:hint="cs"/>
          <w:rtl/>
        </w:rPr>
        <w:t xml:space="preserve">משרד מבקר המדינה בדק כמה היבטים בתהליך מכירת הדירות על סמך </w:t>
      </w:r>
      <w:r w:rsidRPr="00662759">
        <w:rPr>
          <w:rFonts w:hint="cs"/>
          <w:rtl/>
        </w:rPr>
        <w:t xml:space="preserve">נתונים שמסרה </w:t>
      </w:r>
      <w:r>
        <w:rPr>
          <w:rFonts w:hint="cs"/>
          <w:rtl/>
        </w:rPr>
        <w:t xml:space="preserve">לו </w:t>
      </w:r>
      <w:r w:rsidRPr="00662759">
        <w:rPr>
          <w:rFonts w:hint="cs"/>
          <w:rtl/>
        </w:rPr>
        <w:t>עמידר</w:t>
      </w:r>
      <w:r>
        <w:rPr>
          <w:rFonts w:hint="cs"/>
          <w:rtl/>
        </w:rPr>
        <w:t xml:space="preserve"> לבקשתו בנוגע</w:t>
      </w:r>
      <w:r w:rsidRPr="00662759">
        <w:rPr>
          <w:rFonts w:hint="cs"/>
          <w:rtl/>
        </w:rPr>
        <w:t xml:space="preserve"> </w:t>
      </w:r>
      <w:r>
        <w:rPr>
          <w:rFonts w:hint="cs"/>
          <w:rtl/>
        </w:rPr>
        <w:t>ל</w:t>
      </w:r>
      <w:r w:rsidRPr="00662759">
        <w:rPr>
          <w:rFonts w:hint="cs"/>
          <w:rtl/>
        </w:rPr>
        <w:t xml:space="preserve">כ-5,900 </w:t>
      </w:r>
      <w:r>
        <w:rPr>
          <w:rFonts w:hint="cs"/>
          <w:rtl/>
        </w:rPr>
        <w:t>ה</w:t>
      </w:r>
      <w:r w:rsidRPr="00662759">
        <w:rPr>
          <w:rFonts w:hint="cs"/>
          <w:rtl/>
        </w:rPr>
        <w:t xml:space="preserve">דירות </w:t>
      </w:r>
      <w:r>
        <w:rPr>
          <w:rFonts w:hint="cs"/>
          <w:rtl/>
        </w:rPr>
        <w:t>שהחברה ניהלה את מכירתן בשנים 2014 - 2018: מהנתונים עלה כי תהליך הערכת השווי של הדירה על ידי שני שמאים מתקיים בהתאם להנחיות, כך שבמקרים שבהם יש פער של 20% או יותר בין הערכות השמאים מבוצעת הערכת שווי על ידי שמאי שלישי. עוד עלה כי גובה ההנחה שניתן בפועל לדייר תואם לזה שהוא זכאי לה, על פי חישוב עמידר.</w:t>
      </w:r>
    </w:p>
    <w:p w14:paraId="3ED85FAD" w14:textId="41E4FF27" w:rsidR="00C218DA" w:rsidRPr="0083391A" w:rsidRDefault="00C218DA" w:rsidP="0083391A">
      <w:pPr>
        <w:pStyle w:val="100"/>
        <w:rPr>
          <w:rtl/>
        </w:rPr>
      </w:pPr>
      <w:r w:rsidRPr="00553F16">
        <w:rPr>
          <w:rFonts w:hint="cs"/>
          <w:rtl/>
        </w:rPr>
        <w:lastRenderedPageBreak/>
        <w:t xml:space="preserve">יש לציין כי המבקר הפנימי של </w:t>
      </w:r>
      <w:r>
        <w:rPr>
          <w:rFonts w:hint="cs"/>
          <w:rtl/>
        </w:rPr>
        <w:t>עמידר</w:t>
      </w:r>
      <w:r w:rsidRPr="00553F16">
        <w:rPr>
          <w:rFonts w:hint="cs"/>
          <w:rtl/>
        </w:rPr>
        <w:t xml:space="preserve"> </w:t>
      </w:r>
      <w:r>
        <w:rPr>
          <w:rFonts w:hint="cs"/>
          <w:rtl/>
        </w:rPr>
        <w:t xml:space="preserve">בדק </w:t>
      </w:r>
      <w:r w:rsidRPr="00553F16">
        <w:rPr>
          <w:rFonts w:hint="cs"/>
          <w:rtl/>
        </w:rPr>
        <w:t xml:space="preserve">ברבעון הראשון של 2019 היבטים </w:t>
      </w:r>
      <w:r>
        <w:rPr>
          <w:rFonts w:hint="cs"/>
          <w:rtl/>
        </w:rPr>
        <w:t xml:space="preserve">שונים של תהליך </w:t>
      </w:r>
      <w:r w:rsidRPr="00553F16">
        <w:rPr>
          <w:rFonts w:hint="cs"/>
          <w:rtl/>
        </w:rPr>
        <w:t>מכ</w:t>
      </w:r>
      <w:r>
        <w:rPr>
          <w:rFonts w:hint="cs"/>
          <w:rtl/>
        </w:rPr>
        <w:t>י</w:t>
      </w:r>
      <w:r w:rsidRPr="00553F16">
        <w:rPr>
          <w:rFonts w:hint="cs"/>
          <w:rtl/>
        </w:rPr>
        <w:t>ר</w:t>
      </w:r>
      <w:r>
        <w:rPr>
          <w:rFonts w:hint="cs"/>
          <w:rtl/>
        </w:rPr>
        <w:t>ת</w:t>
      </w:r>
      <w:r w:rsidRPr="00553F16">
        <w:rPr>
          <w:rFonts w:hint="cs"/>
          <w:rtl/>
        </w:rPr>
        <w:t xml:space="preserve"> הדירות </w:t>
      </w:r>
      <w:r>
        <w:rPr>
          <w:rFonts w:hint="cs"/>
          <w:rtl/>
        </w:rPr>
        <w:t xml:space="preserve">על ידי החברה וכי הליקויים שהעלה נכללו בדוח הביקורת שהוא הכין והציג ביוני 2019 בפני </w:t>
      </w:r>
      <w:r w:rsidRPr="00023A14">
        <w:rPr>
          <w:rFonts w:hint="cs"/>
          <w:rtl/>
        </w:rPr>
        <w:t>ועדת הביקורת של הדירקטוריון.</w:t>
      </w:r>
    </w:p>
    <w:p w14:paraId="2E8A4EED" w14:textId="448408B6" w:rsidR="00C218DA" w:rsidRDefault="00C218DA" w:rsidP="0083391A">
      <w:pPr>
        <w:pStyle w:val="316"/>
        <w:rPr>
          <w:rtl/>
        </w:rPr>
      </w:pPr>
      <w:r>
        <w:rPr>
          <w:rFonts w:hint="cs"/>
          <w:rtl/>
        </w:rPr>
        <w:t>סיכום</w:t>
      </w:r>
    </w:p>
    <w:p w14:paraId="0B02949F" w14:textId="77777777" w:rsidR="00C218DA" w:rsidRPr="00801459" w:rsidRDefault="00C218DA" w:rsidP="0083391A">
      <w:pPr>
        <w:pStyle w:val="af5"/>
        <w:rPr>
          <w:rtl/>
        </w:rPr>
      </w:pPr>
      <w:r>
        <w:rPr>
          <w:rFonts w:hint="cs"/>
          <w:rtl/>
        </w:rPr>
        <w:t>ב</w:t>
      </w:r>
      <w:r w:rsidRPr="00801459">
        <w:rPr>
          <w:rFonts w:hint="cs"/>
          <w:rtl/>
        </w:rPr>
        <w:t>עשורים</w:t>
      </w:r>
      <w:r>
        <w:rPr>
          <w:rFonts w:hint="cs"/>
          <w:rtl/>
        </w:rPr>
        <w:t xml:space="preserve"> האחרונים הצטמצם</w:t>
      </w:r>
      <w:r w:rsidRPr="00801459">
        <w:rPr>
          <w:rFonts w:hint="cs"/>
          <w:rtl/>
        </w:rPr>
        <w:t xml:space="preserve"> מלאי הדירות הציבוריות</w:t>
      </w:r>
      <w:r>
        <w:rPr>
          <w:rFonts w:hint="cs"/>
          <w:rtl/>
        </w:rPr>
        <w:t>,</w:t>
      </w:r>
      <w:r w:rsidRPr="00801459">
        <w:rPr>
          <w:rFonts w:hint="cs"/>
          <w:rtl/>
        </w:rPr>
        <w:t xml:space="preserve"> בעיקר </w:t>
      </w:r>
      <w:r>
        <w:rPr>
          <w:rFonts w:hint="cs"/>
          <w:rtl/>
        </w:rPr>
        <w:t xml:space="preserve">כי המדינה מכרה </w:t>
      </w:r>
      <w:r w:rsidRPr="00801459">
        <w:rPr>
          <w:rFonts w:hint="cs"/>
          <w:rtl/>
        </w:rPr>
        <w:t>לדיירי הדיור הציבורי במחיר מסובסד</w:t>
      </w:r>
      <w:r>
        <w:rPr>
          <w:rFonts w:hint="cs"/>
          <w:rtl/>
        </w:rPr>
        <w:t xml:space="preserve"> יותר דירות מכמות הדירות שהיא רכשה</w:t>
      </w:r>
      <w:r w:rsidRPr="00801459">
        <w:rPr>
          <w:rFonts w:hint="cs"/>
          <w:rtl/>
        </w:rPr>
        <w:t xml:space="preserve">. </w:t>
      </w:r>
      <w:r>
        <w:rPr>
          <w:rFonts w:hint="cs"/>
          <w:rtl/>
        </w:rPr>
        <w:t>בד בבד</w:t>
      </w:r>
      <w:r w:rsidRPr="00801459">
        <w:rPr>
          <w:rFonts w:hint="cs"/>
          <w:rtl/>
        </w:rPr>
        <w:t xml:space="preserve">, מספר הזכאים </w:t>
      </w:r>
      <w:r>
        <w:rPr>
          <w:rFonts w:hint="cs"/>
          <w:rtl/>
        </w:rPr>
        <w:t xml:space="preserve">הממתינים </w:t>
      </w:r>
      <w:r w:rsidRPr="00801459">
        <w:rPr>
          <w:rFonts w:hint="cs"/>
          <w:rtl/>
        </w:rPr>
        <w:t>לדירה ציבורית עלה</w:t>
      </w:r>
      <w:r>
        <w:rPr>
          <w:rFonts w:hint="cs"/>
          <w:rtl/>
        </w:rPr>
        <w:t xml:space="preserve"> משנת 2016 לשנת 2019 בכ-40% - מכ-2,600 לכ-3,700 -</w:t>
      </w:r>
      <w:r w:rsidRPr="00801459">
        <w:rPr>
          <w:rFonts w:hint="cs"/>
          <w:rtl/>
        </w:rPr>
        <w:t xml:space="preserve"> ומשך ההמתנה </w:t>
      </w:r>
      <w:r>
        <w:rPr>
          <w:rFonts w:hint="cs"/>
          <w:rtl/>
        </w:rPr>
        <w:t>הממוצע לדירה התארך בשנים אלה בכ-24% - מכ-25 חודשים לכ-31 חודשים בהתאמה</w:t>
      </w:r>
      <w:r w:rsidRPr="00801459">
        <w:rPr>
          <w:rFonts w:hint="cs"/>
          <w:rtl/>
        </w:rPr>
        <w:t xml:space="preserve">. </w:t>
      </w:r>
    </w:p>
    <w:p w14:paraId="5AE31E03" w14:textId="77777777" w:rsidR="00C218DA" w:rsidRDefault="00C218DA" w:rsidP="0083391A">
      <w:pPr>
        <w:pStyle w:val="af5"/>
        <w:rPr>
          <w:rtl/>
        </w:rPr>
      </w:pPr>
      <w:r>
        <w:rPr>
          <w:rFonts w:hint="cs"/>
          <w:rtl/>
        </w:rPr>
        <w:t xml:space="preserve">הביקורת העלתה כי בכל הנוגע למלאי הדירות, </w:t>
      </w:r>
      <w:r w:rsidRPr="00801459">
        <w:rPr>
          <w:rFonts w:hint="cs"/>
          <w:rtl/>
        </w:rPr>
        <w:t>מאז הופסקה עבודת הצוות הבין</w:t>
      </w:r>
      <w:r>
        <w:rPr>
          <w:rFonts w:hint="cs"/>
          <w:rtl/>
        </w:rPr>
        <w:t>-</w:t>
      </w:r>
      <w:r w:rsidRPr="00801459">
        <w:rPr>
          <w:rFonts w:hint="cs"/>
          <w:rtl/>
        </w:rPr>
        <w:t>משרדי שמינתה הממשלה לצורך גיבוש תוכנית פעולה להגדל</w:t>
      </w:r>
      <w:r>
        <w:rPr>
          <w:rFonts w:hint="cs"/>
          <w:rtl/>
        </w:rPr>
        <w:t>תו</w:t>
      </w:r>
      <w:r w:rsidRPr="00F9772E">
        <w:rPr>
          <w:rFonts w:hint="cs"/>
          <w:rtl/>
        </w:rPr>
        <w:t xml:space="preserve"> </w:t>
      </w:r>
      <w:r>
        <w:rPr>
          <w:rFonts w:hint="cs"/>
          <w:rtl/>
        </w:rPr>
        <w:t>בשנת 2018</w:t>
      </w:r>
      <w:r w:rsidRPr="00801459">
        <w:rPr>
          <w:rFonts w:hint="cs"/>
          <w:rtl/>
        </w:rPr>
        <w:t xml:space="preserve">, לא </w:t>
      </w:r>
      <w:r>
        <w:rPr>
          <w:rFonts w:hint="cs"/>
          <w:rtl/>
        </w:rPr>
        <w:t>התקיימה</w:t>
      </w:r>
      <w:r w:rsidRPr="00801459">
        <w:rPr>
          <w:rFonts w:hint="cs"/>
          <w:rtl/>
        </w:rPr>
        <w:t xml:space="preserve"> עבודת מטה בעניין</w:t>
      </w:r>
      <w:r>
        <w:rPr>
          <w:rFonts w:hint="cs"/>
          <w:rtl/>
        </w:rPr>
        <w:t>, ו</w:t>
      </w:r>
      <w:r w:rsidRPr="00801459">
        <w:rPr>
          <w:rtl/>
        </w:rPr>
        <w:t>על אף פעולות שונות שנקט</w:t>
      </w:r>
      <w:r>
        <w:rPr>
          <w:rFonts w:hint="cs"/>
          <w:rtl/>
        </w:rPr>
        <w:t xml:space="preserve">ה </w:t>
      </w:r>
      <w:r w:rsidRPr="00801459">
        <w:rPr>
          <w:rFonts w:hint="cs"/>
          <w:rtl/>
        </w:rPr>
        <w:t>המ</w:t>
      </w:r>
      <w:r>
        <w:rPr>
          <w:rFonts w:hint="cs"/>
          <w:rtl/>
        </w:rPr>
        <w:t xml:space="preserve">משלה </w:t>
      </w:r>
      <w:r w:rsidRPr="00801459">
        <w:rPr>
          <w:rtl/>
        </w:rPr>
        <w:t>לה</w:t>
      </w:r>
      <w:r>
        <w:rPr>
          <w:rFonts w:hint="cs"/>
          <w:rtl/>
        </w:rPr>
        <w:t xml:space="preserve">גדלת המלאי, </w:t>
      </w:r>
      <w:r w:rsidRPr="00801459">
        <w:rPr>
          <w:rtl/>
        </w:rPr>
        <w:t xml:space="preserve">תוספת הדירות הצפויה בגינן למלאי בשנים הקרובות זעומה. </w:t>
      </w:r>
      <w:r w:rsidRPr="00801459">
        <w:rPr>
          <w:rFonts w:hint="cs"/>
          <w:rtl/>
        </w:rPr>
        <w:t xml:space="preserve">נוסף </w:t>
      </w:r>
      <w:r>
        <w:rPr>
          <w:rFonts w:hint="cs"/>
          <w:rtl/>
        </w:rPr>
        <w:t xml:space="preserve">על כך, </w:t>
      </w:r>
      <w:r w:rsidRPr="00801459">
        <w:rPr>
          <w:rFonts w:hint="cs"/>
          <w:rtl/>
        </w:rPr>
        <w:t xml:space="preserve">משרד </w:t>
      </w:r>
      <w:r>
        <w:rPr>
          <w:rFonts w:hint="cs"/>
          <w:rtl/>
        </w:rPr>
        <w:t xml:space="preserve">הבינוי </w:t>
      </w:r>
      <w:r w:rsidRPr="00801459">
        <w:rPr>
          <w:rFonts w:hint="cs"/>
          <w:rtl/>
        </w:rPr>
        <w:t>רכש דירות ציבוריות רק ביישובים שבהם כבר קיימות דירות כאלה מסיבות היסטוריות שאינן רלוונטיות עוד</w:t>
      </w:r>
      <w:r>
        <w:rPr>
          <w:rFonts w:hint="cs"/>
          <w:rtl/>
        </w:rPr>
        <w:t xml:space="preserve">, </w:t>
      </w:r>
      <w:r>
        <w:rPr>
          <w:rFonts w:hint="cs"/>
          <w:sz w:val="24"/>
          <w:rtl/>
        </w:rPr>
        <w:t>ו</w:t>
      </w:r>
      <w:r w:rsidRPr="00801459">
        <w:rPr>
          <w:rFonts w:hint="cs"/>
          <w:sz w:val="24"/>
          <w:rtl/>
        </w:rPr>
        <w:t xml:space="preserve">על כן התושבים ביישובים </w:t>
      </w:r>
      <w:r>
        <w:rPr>
          <w:rFonts w:hint="cs"/>
          <w:sz w:val="24"/>
          <w:rtl/>
        </w:rPr>
        <w:t>שבהם לא היו קיימות דירות ציבוריות</w:t>
      </w:r>
      <w:r w:rsidRPr="00801459">
        <w:rPr>
          <w:rFonts w:hint="cs"/>
          <w:sz w:val="24"/>
          <w:rtl/>
        </w:rPr>
        <w:t xml:space="preserve"> נאלצ</w:t>
      </w:r>
      <w:r>
        <w:rPr>
          <w:rFonts w:hint="cs"/>
          <w:sz w:val="24"/>
          <w:rtl/>
        </w:rPr>
        <w:t>ו</w:t>
      </w:r>
      <w:r w:rsidRPr="00801459">
        <w:rPr>
          <w:rFonts w:hint="cs"/>
          <w:sz w:val="24"/>
          <w:rtl/>
        </w:rPr>
        <w:t xml:space="preserve"> לוותר על זכותם להתגורר בדירה ציבורית</w:t>
      </w:r>
      <w:r>
        <w:rPr>
          <w:rFonts w:hint="cs"/>
          <w:sz w:val="24"/>
          <w:rtl/>
        </w:rPr>
        <w:t xml:space="preserve"> ביישוב מגוריהם</w:t>
      </w:r>
      <w:r w:rsidRPr="00801459">
        <w:rPr>
          <w:rFonts w:hint="cs"/>
          <w:rtl/>
        </w:rPr>
        <w:t xml:space="preserve">. </w:t>
      </w:r>
      <w:r>
        <w:rPr>
          <w:rFonts w:hint="cs"/>
          <w:rtl/>
        </w:rPr>
        <w:t xml:space="preserve">הדבר רלוונטי בפרט לאוכלוסיות בני המיעוטים והחרדים המתגוררות ביישובים המדורגים באשכולות חברתיים-כלכליים נמוכים. </w:t>
      </w:r>
    </w:p>
    <w:p w14:paraId="128D596F" w14:textId="2A29521B" w:rsidR="00C218DA" w:rsidRDefault="00C218DA" w:rsidP="00A44262">
      <w:pPr>
        <w:pStyle w:val="af5"/>
      </w:pPr>
      <w:r w:rsidRPr="009D53D8">
        <w:rPr>
          <w:rFonts w:hint="cs"/>
          <w:rtl/>
        </w:rPr>
        <w:t>משרד</w:t>
      </w:r>
      <w:r>
        <w:rPr>
          <w:rFonts w:hint="cs"/>
          <w:rtl/>
        </w:rPr>
        <w:t xml:space="preserve"> הבינוי </w:t>
      </w:r>
      <w:r w:rsidRPr="009D53D8">
        <w:rPr>
          <w:rFonts w:hint="cs"/>
          <w:rtl/>
        </w:rPr>
        <w:t>אכן פעל בשנים האחרונות בדרכים שונות למיצוי פוטנציאל מאגר הדירות</w:t>
      </w:r>
      <w:r>
        <w:rPr>
          <w:rFonts w:hint="cs"/>
          <w:rtl/>
        </w:rPr>
        <w:t xml:space="preserve"> הקיים</w:t>
      </w:r>
      <w:r w:rsidRPr="009D53D8">
        <w:rPr>
          <w:rFonts w:hint="cs"/>
          <w:rtl/>
        </w:rPr>
        <w:t>,</w:t>
      </w:r>
      <w:r>
        <w:rPr>
          <w:rFonts w:hint="cs"/>
          <w:rtl/>
        </w:rPr>
        <w:t xml:space="preserve"> אך</w:t>
      </w:r>
      <w:r w:rsidRPr="009D53D8">
        <w:rPr>
          <w:rFonts w:hint="cs"/>
          <w:rtl/>
        </w:rPr>
        <w:t xml:space="preserve"> הוא טרם מיצה אותו במלואו</w:t>
      </w:r>
      <w:r>
        <w:rPr>
          <w:rFonts w:hint="cs"/>
          <w:rtl/>
        </w:rPr>
        <w:t>.</w:t>
      </w:r>
      <w:r w:rsidRPr="00801459">
        <w:rPr>
          <w:rFonts w:hint="cs"/>
          <w:rtl/>
        </w:rPr>
        <w:t xml:space="preserve"> על </w:t>
      </w:r>
      <w:r>
        <w:rPr>
          <w:rFonts w:hint="cs"/>
          <w:rtl/>
        </w:rPr>
        <w:t>ה</w:t>
      </w:r>
      <w:r w:rsidRPr="00801459">
        <w:rPr>
          <w:rFonts w:hint="cs"/>
          <w:rtl/>
        </w:rPr>
        <w:t>משרד ל</w:t>
      </w:r>
      <w:r>
        <w:rPr>
          <w:rFonts w:hint="cs"/>
          <w:rtl/>
        </w:rPr>
        <w:t>פעול ל</w:t>
      </w:r>
      <w:r w:rsidRPr="00801459">
        <w:rPr>
          <w:rFonts w:hint="cs"/>
          <w:rtl/>
        </w:rPr>
        <w:t>ח</w:t>
      </w:r>
      <w:r>
        <w:rPr>
          <w:rFonts w:hint="cs"/>
          <w:rtl/>
        </w:rPr>
        <w:t>י</w:t>
      </w:r>
      <w:r w:rsidRPr="00801459">
        <w:rPr>
          <w:rFonts w:hint="cs"/>
          <w:rtl/>
        </w:rPr>
        <w:t>ד</w:t>
      </w:r>
      <w:r>
        <w:rPr>
          <w:rFonts w:hint="cs"/>
          <w:rtl/>
        </w:rPr>
        <w:t>ו</w:t>
      </w:r>
      <w:r w:rsidRPr="00801459">
        <w:rPr>
          <w:rFonts w:hint="cs"/>
          <w:rtl/>
        </w:rPr>
        <w:t>ש עבודת המטה לשיפור</w:t>
      </w:r>
      <w:r w:rsidRPr="00801459">
        <w:t xml:space="preserve"> </w:t>
      </w:r>
      <w:r w:rsidRPr="00801459">
        <w:rPr>
          <w:rFonts w:hint="cs"/>
          <w:rtl/>
        </w:rPr>
        <w:t>המענ</w:t>
      </w:r>
      <w:r>
        <w:rPr>
          <w:rFonts w:hint="cs"/>
          <w:rtl/>
        </w:rPr>
        <w:t>ה</w:t>
      </w:r>
      <w:r w:rsidRPr="00801459">
        <w:rPr>
          <w:rFonts w:hint="cs"/>
          <w:rtl/>
        </w:rPr>
        <w:t xml:space="preserve"> הנית</w:t>
      </w:r>
      <w:r>
        <w:rPr>
          <w:rFonts w:hint="cs"/>
          <w:rtl/>
        </w:rPr>
        <w:t>ן</w:t>
      </w:r>
      <w:r w:rsidRPr="00801459">
        <w:rPr>
          <w:rFonts w:hint="cs"/>
          <w:rtl/>
        </w:rPr>
        <w:t xml:space="preserve"> לזכאי הדיור</w:t>
      </w:r>
      <w:r w:rsidRPr="00801459">
        <w:t xml:space="preserve"> </w:t>
      </w:r>
      <w:r w:rsidRPr="00801459">
        <w:rPr>
          <w:rFonts w:hint="cs"/>
          <w:rtl/>
        </w:rPr>
        <w:t>הציבורי, בשיתוף הגורמים הממשלתיים הרלוונט</w:t>
      </w:r>
      <w:r>
        <w:rPr>
          <w:rFonts w:hint="cs"/>
          <w:rtl/>
        </w:rPr>
        <w:t>י</w:t>
      </w:r>
      <w:r w:rsidRPr="00801459">
        <w:rPr>
          <w:rFonts w:hint="cs"/>
          <w:rtl/>
        </w:rPr>
        <w:t>ים</w:t>
      </w:r>
      <w:r>
        <w:rPr>
          <w:rFonts w:hint="cs"/>
          <w:rtl/>
        </w:rPr>
        <w:t xml:space="preserve">, ובכלל זה </w:t>
      </w:r>
      <w:r w:rsidRPr="00801459">
        <w:rPr>
          <w:rFonts w:hint="cs"/>
          <w:rtl/>
        </w:rPr>
        <w:t xml:space="preserve">לבחון דרכים </w:t>
      </w:r>
      <w:r>
        <w:rPr>
          <w:rFonts w:hint="cs"/>
          <w:rtl/>
        </w:rPr>
        <w:t>אחר</w:t>
      </w:r>
      <w:r w:rsidRPr="00801459">
        <w:rPr>
          <w:rFonts w:hint="cs"/>
          <w:rtl/>
        </w:rPr>
        <w:t>ות להגדלת מלאי הדירות הציבוריות</w:t>
      </w:r>
      <w:r>
        <w:rPr>
          <w:rFonts w:hint="cs"/>
          <w:rtl/>
        </w:rPr>
        <w:t xml:space="preserve">. מלבד זאת, עליו לגבש </w:t>
      </w:r>
      <w:r w:rsidRPr="00801459">
        <w:rPr>
          <w:rFonts w:hint="cs"/>
          <w:rtl/>
        </w:rPr>
        <w:t>מענ</w:t>
      </w:r>
      <w:r>
        <w:rPr>
          <w:rFonts w:hint="cs"/>
          <w:rtl/>
        </w:rPr>
        <w:t>ה</w:t>
      </w:r>
      <w:r w:rsidRPr="00801459">
        <w:rPr>
          <w:rFonts w:hint="cs"/>
          <w:rtl/>
        </w:rPr>
        <w:t xml:space="preserve"> </w:t>
      </w:r>
      <w:r>
        <w:rPr>
          <w:rFonts w:hint="cs"/>
          <w:rtl/>
        </w:rPr>
        <w:t>אחר</w:t>
      </w:r>
      <w:r w:rsidRPr="00801459">
        <w:rPr>
          <w:rFonts w:hint="cs"/>
          <w:rtl/>
        </w:rPr>
        <w:t xml:space="preserve"> </w:t>
      </w:r>
      <w:r>
        <w:rPr>
          <w:rFonts w:hint="cs"/>
          <w:rtl/>
        </w:rPr>
        <w:t xml:space="preserve">לאוכלוסייה הזקוקה לסיוע בדיור, </w:t>
      </w:r>
      <w:r w:rsidRPr="00801459">
        <w:rPr>
          <w:rFonts w:hint="cs"/>
          <w:rtl/>
        </w:rPr>
        <w:t>כגון שכירות ארוכת טווח והגדלת הסיוע בשכר דירה</w:t>
      </w:r>
      <w:r>
        <w:rPr>
          <w:rFonts w:hint="cs"/>
          <w:rtl/>
        </w:rPr>
        <w:t xml:space="preserve">, וכן לפעול ביתר שאת </w:t>
      </w:r>
      <w:r w:rsidRPr="009621A0">
        <w:rPr>
          <w:rFonts w:hint="cs"/>
          <w:rtl/>
        </w:rPr>
        <w:t xml:space="preserve">למיצוי </w:t>
      </w:r>
      <w:r>
        <w:rPr>
          <w:rFonts w:hint="cs"/>
          <w:rtl/>
        </w:rPr>
        <w:t xml:space="preserve">מלוא </w:t>
      </w:r>
      <w:r w:rsidRPr="009621A0">
        <w:rPr>
          <w:rFonts w:hint="cs"/>
          <w:rtl/>
        </w:rPr>
        <w:t xml:space="preserve">הפוטנציאל של </w:t>
      </w:r>
      <w:r>
        <w:rPr>
          <w:rFonts w:hint="cs"/>
          <w:rtl/>
        </w:rPr>
        <w:t>מאגר הדירות.</w:t>
      </w:r>
    </w:p>
    <w:bookmarkEnd w:id="1"/>
    <w:bookmarkEnd w:id="2"/>
    <w:bookmarkEnd w:id="3"/>
    <w:bookmarkEnd w:id="4"/>
    <w:bookmarkEnd w:id="5"/>
    <w:sectPr w:rsidR="00C218DA" w:rsidSect="00CA4D91">
      <w:footerReference w:type="default" r:id="rId30"/>
      <w:headerReference w:type="first" r:id="rId31"/>
      <w:footerReference w:type="first" r:id="rId32"/>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223BE2" w:rsidRDefault="00223BE2">
      <w:pPr>
        <w:spacing w:line="240" w:lineRule="auto"/>
      </w:pPr>
      <w:r>
        <w:separator/>
      </w:r>
    </w:p>
    <w:p w14:paraId="7FDB7CBE" w14:textId="77777777" w:rsidR="00223BE2" w:rsidRDefault="00223BE2"/>
  </w:endnote>
  <w:endnote w:type="continuationSeparator" w:id="0">
    <w:p w14:paraId="6956BE62" w14:textId="77777777" w:rsidR="00223BE2" w:rsidRDefault="00223BE2">
      <w:pPr>
        <w:spacing w:line="240" w:lineRule="auto"/>
      </w:pPr>
      <w:r>
        <w:continuationSeparator/>
      </w:r>
    </w:p>
    <w:p w14:paraId="2BC251DF" w14:textId="77777777" w:rsidR="00223BE2" w:rsidRDefault="00223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3E79F4A6" w:rsidR="00223BE2" w:rsidRPr="006668CA" w:rsidRDefault="00223BE2"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רכישה ומכירה של דירות הדיור הציבורי</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D49E390" w:rsidR="00223BE2" w:rsidRPr="00C218DA" w:rsidRDefault="00223BE2" w:rsidP="00C218D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רכישה ומכירה של דירות הדיור הציבורי</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223BE2" w:rsidRPr="00D15500" w:rsidRDefault="00223BE2" w:rsidP="00D15500">
    <w:pPr>
      <w:pStyle w:val="Footer"/>
      <w:spacing w:after="120" w:line="312" w:lineRule="auto"/>
      <w:jc w:val="right"/>
      <w:rPr>
        <w:rFonts w:ascii="Tahoma" w:hAnsi="Tahoma" w:cs="Tahoma"/>
        <w:color w:val="002060"/>
        <w:sz w:val="18"/>
        <w:szCs w:val="18"/>
      </w:rPr>
    </w:pPr>
    <w:bookmarkStart w:id="6" w:name="tempMark"/>
    <w:bookmarkEnd w:id="6"/>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223BE2" w:rsidRDefault="00223BE2" w:rsidP="00C23CC9">
      <w:pPr>
        <w:spacing w:line="240" w:lineRule="auto"/>
      </w:pPr>
      <w:r>
        <w:separator/>
      </w:r>
    </w:p>
  </w:footnote>
  <w:footnote w:type="continuationSeparator" w:id="0">
    <w:p w14:paraId="10B5AFA0" w14:textId="77777777" w:rsidR="00223BE2" w:rsidRDefault="00223BE2" w:rsidP="00C23CC9">
      <w:pPr>
        <w:spacing w:line="240" w:lineRule="auto"/>
      </w:pPr>
      <w:r>
        <w:continuationSeparator/>
      </w:r>
    </w:p>
    <w:p w14:paraId="095B6F42" w14:textId="77777777" w:rsidR="00223BE2" w:rsidRDefault="00223BE2"/>
  </w:footnote>
  <w:footnote w:id="1">
    <w:p w14:paraId="2F8EC055" w14:textId="77777777" w:rsidR="00223BE2" w:rsidRPr="00B351A7" w:rsidRDefault="00223BE2" w:rsidP="00B351A7">
      <w:pPr>
        <w:pStyle w:val="a9"/>
      </w:pPr>
      <w:r w:rsidRPr="00B351A7">
        <w:rPr>
          <w:rStyle w:val="FootnoteReference"/>
          <w:vertAlign w:val="baseline"/>
        </w:rPr>
        <w:footnoteRef/>
      </w:r>
      <w:r w:rsidRPr="00B351A7">
        <w:rPr>
          <w:rtl/>
        </w:rPr>
        <w:t xml:space="preserve"> </w:t>
      </w:r>
      <w:r w:rsidRPr="00B351A7">
        <w:rPr>
          <w:rtl/>
        </w:rPr>
        <w:tab/>
      </w:r>
      <w:r w:rsidRPr="00B351A7">
        <w:rPr>
          <w:rFonts w:hint="cs"/>
          <w:rtl/>
        </w:rPr>
        <w:t xml:space="preserve">הדוח אינו עוסק בדיור ציבורי לקשישים עצמאיים חסרי דירה, המתגוררים בבתי דיור ייעודיים לקשישים בניהול משרד הבינוי ומשרד הקליטה. נושא זה נדון בדוח מבקר המדינה, דוח שנתי 69ג (2019), "בתי דיור ציבורי לקשישים", עמ' 601. </w:t>
      </w:r>
    </w:p>
  </w:footnote>
  <w:footnote w:id="2">
    <w:p w14:paraId="12753B5F" w14:textId="77777777" w:rsidR="00223BE2" w:rsidRPr="00AC0D0B" w:rsidRDefault="00223BE2" w:rsidP="00B351A7">
      <w:pPr>
        <w:pStyle w:val="a9"/>
        <w:rPr>
          <w:rtl/>
        </w:rPr>
      </w:pPr>
      <w:r w:rsidRPr="00B351A7">
        <w:rPr>
          <w:rStyle w:val="FootnoteReference"/>
          <w:vertAlign w:val="baseline"/>
        </w:rPr>
        <w:footnoteRef/>
      </w:r>
      <w:r w:rsidRPr="00B351A7">
        <w:rPr>
          <w:rStyle w:val="FootnoteReference"/>
          <w:vertAlign w:val="baseline"/>
          <w:rtl/>
        </w:rPr>
        <w:t xml:space="preserve"> </w:t>
      </w:r>
      <w:r w:rsidRPr="00B351A7">
        <w:rPr>
          <w:rtl/>
        </w:rPr>
        <w:tab/>
      </w:r>
      <w:r w:rsidRPr="00B351A7">
        <w:rPr>
          <w:rFonts w:hint="cs"/>
          <w:rtl/>
        </w:rPr>
        <w:t xml:space="preserve">יובהר כי </w:t>
      </w:r>
      <w:r w:rsidRPr="00B351A7">
        <w:rPr>
          <w:rtl/>
        </w:rPr>
        <w:t xml:space="preserve">מספר הדירות </w:t>
      </w:r>
      <w:r w:rsidRPr="00B351A7">
        <w:rPr>
          <w:rFonts w:hint="cs"/>
          <w:rtl/>
        </w:rPr>
        <w:t xml:space="preserve">גבוה ממספר משקי הבית כמפורט לעיל, </w:t>
      </w:r>
      <w:r w:rsidRPr="00B351A7">
        <w:rPr>
          <w:rtl/>
        </w:rPr>
        <w:t xml:space="preserve">שכן מלבד הדירות שזכאים </w:t>
      </w:r>
      <w:r w:rsidRPr="00B351A7">
        <w:rPr>
          <w:rFonts w:hint="cs"/>
          <w:rtl/>
        </w:rPr>
        <w:t>מאכלסים</w:t>
      </w:r>
      <w:r w:rsidRPr="00B351A7">
        <w:rPr>
          <w:rtl/>
        </w:rPr>
        <w:t xml:space="preserve"> כ</w:t>
      </w:r>
      <w:r w:rsidRPr="00B351A7">
        <w:rPr>
          <w:rFonts w:hint="cs"/>
          <w:rtl/>
        </w:rPr>
        <w:t>ו</w:t>
      </w:r>
      <w:r w:rsidRPr="00B351A7">
        <w:rPr>
          <w:rtl/>
        </w:rPr>
        <w:t>לל הדיור</w:t>
      </w:r>
      <w:r>
        <w:rPr>
          <w:rtl/>
        </w:rPr>
        <w:t xml:space="preserve"> הציבורי </w:t>
      </w:r>
      <w:r w:rsidRPr="000C42AA">
        <w:rPr>
          <w:rFonts w:hint="cs"/>
          <w:rtl/>
        </w:rPr>
        <w:t>דירות ש</w:t>
      </w:r>
      <w:r>
        <w:rPr>
          <w:rFonts w:hint="cs"/>
          <w:rtl/>
        </w:rPr>
        <w:t>מאכלסים</w:t>
      </w:r>
      <w:r w:rsidRPr="000C42AA">
        <w:rPr>
          <w:rFonts w:hint="cs"/>
          <w:rtl/>
        </w:rPr>
        <w:t xml:space="preserve"> גופים </w:t>
      </w:r>
      <w:r>
        <w:rPr>
          <w:rFonts w:hint="cs"/>
          <w:rtl/>
        </w:rPr>
        <w:t xml:space="preserve">ציבוריים </w:t>
      </w:r>
      <w:r w:rsidRPr="000C42AA">
        <w:rPr>
          <w:rFonts w:hint="cs"/>
          <w:rtl/>
        </w:rPr>
        <w:t xml:space="preserve">הפועלים למטרות ציבוריות </w:t>
      </w:r>
      <w:r>
        <w:rPr>
          <w:rFonts w:hint="cs"/>
          <w:rtl/>
        </w:rPr>
        <w:t>ו</w:t>
      </w:r>
      <w:r w:rsidRPr="000C42AA">
        <w:rPr>
          <w:rtl/>
        </w:rPr>
        <w:t>דירות</w:t>
      </w:r>
      <w:r w:rsidRPr="000C42AA">
        <w:rPr>
          <w:rFonts w:hint="cs"/>
          <w:rtl/>
        </w:rPr>
        <w:t xml:space="preserve"> </w:t>
      </w:r>
      <w:r w:rsidRPr="00AC0D0B">
        <w:rPr>
          <w:rtl/>
        </w:rPr>
        <w:t xml:space="preserve">ריקות </w:t>
      </w:r>
      <w:r w:rsidRPr="00AC0D0B">
        <w:rPr>
          <w:rFonts w:hint="cs"/>
          <w:rtl/>
        </w:rPr>
        <w:t>(ראו להלן פרק "</w:t>
      </w:r>
      <w:r w:rsidRPr="00AC0D0B">
        <w:rPr>
          <w:rtl/>
        </w:rPr>
        <w:t>היבטים בניהול מאגר הדירות הציבוריות</w:t>
      </w:r>
      <w:r w:rsidRPr="00AC0D0B">
        <w:rPr>
          <w:rFonts w:hint="cs"/>
          <w:rtl/>
        </w:rPr>
        <w:t>")</w:t>
      </w:r>
      <w:r w:rsidRPr="00AC0D0B">
        <w:rPr>
          <w:rtl/>
        </w:rPr>
        <w:t>.</w:t>
      </w:r>
    </w:p>
  </w:footnote>
  <w:footnote w:id="3">
    <w:p w14:paraId="367371B8" w14:textId="77777777" w:rsidR="00223BE2" w:rsidRDefault="00223BE2" w:rsidP="00B351A7">
      <w:pPr>
        <w:pStyle w:val="a9"/>
        <w:rPr>
          <w:rtl/>
        </w:rPr>
      </w:pPr>
      <w:r w:rsidRPr="00B351A7">
        <w:footnoteRef/>
      </w:r>
      <w:r w:rsidRPr="00B351A7">
        <w:rPr>
          <w:rtl/>
        </w:rPr>
        <w:t xml:space="preserve"> </w:t>
      </w:r>
      <w:r w:rsidRPr="00B351A7">
        <w:rPr>
          <w:rtl/>
        </w:rPr>
        <w:tab/>
      </w:r>
      <w:r w:rsidRPr="00B351A7">
        <w:rPr>
          <w:rFonts w:hint="cs"/>
          <w:rtl/>
        </w:rPr>
        <w:t>הכנסת</w:t>
      </w:r>
      <w:r>
        <w:rPr>
          <w:rFonts w:hint="cs"/>
          <w:rtl/>
        </w:rPr>
        <w:t xml:space="preserve">, מרכז המחקר והמידע, </w:t>
      </w:r>
      <w:r w:rsidRPr="009F1699">
        <w:rPr>
          <w:rFonts w:hint="cs"/>
          <w:b/>
          <w:bCs/>
          <w:rtl/>
        </w:rPr>
        <w:t>התמורות בדיור הציבורי בישראל 1998 - 2011</w:t>
      </w:r>
      <w:r>
        <w:rPr>
          <w:rFonts w:hint="cs"/>
          <w:rtl/>
        </w:rPr>
        <w:t xml:space="preserve"> (דצמבר 2011) (להלן </w:t>
      </w:r>
      <w:r>
        <w:rPr>
          <w:rFonts w:hint="cs"/>
          <w:sz w:val="24"/>
          <w:szCs w:val="24"/>
          <w:rtl/>
        </w:rPr>
        <w:t>-</w:t>
      </w:r>
      <w:r>
        <w:rPr>
          <w:rFonts w:hint="cs"/>
          <w:rtl/>
        </w:rPr>
        <w:t xml:space="preserve"> התמורות בדיור הציבורי בישראל, 2011</w:t>
      </w:r>
      <w:r>
        <w:rPr>
          <w:rFonts w:hint="cs"/>
          <w:sz w:val="24"/>
          <w:szCs w:val="24"/>
          <w:rtl/>
        </w:rPr>
        <w:t>-</w:t>
      </w:r>
      <w:r>
        <w:rPr>
          <w:rFonts w:hint="cs"/>
          <w:rtl/>
        </w:rPr>
        <w:t>1998).</w:t>
      </w:r>
    </w:p>
  </w:footnote>
  <w:footnote w:id="4">
    <w:p w14:paraId="05DE8141" w14:textId="77777777" w:rsidR="00223BE2" w:rsidRDefault="00223BE2" w:rsidP="00B351A7">
      <w:pPr>
        <w:pStyle w:val="a9"/>
        <w:rPr>
          <w:rtl/>
        </w:rPr>
      </w:pPr>
      <w:r w:rsidRPr="00B351A7">
        <w:footnoteRef/>
      </w:r>
      <w:r w:rsidRPr="00B351A7">
        <w:rPr>
          <w:rtl/>
        </w:rPr>
        <w:t xml:space="preserve"> </w:t>
      </w:r>
      <w:r w:rsidRPr="00B351A7">
        <w:rPr>
          <w:rtl/>
        </w:rPr>
        <w:tab/>
      </w:r>
      <w:r w:rsidRPr="00B351A7">
        <w:rPr>
          <w:rFonts w:hint="cs"/>
          <w:rtl/>
        </w:rPr>
        <w:t>בנק</w:t>
      </w:r>
      <w:r>
        <w:rPr>
          <w:rFonts w:hint="cs"/>
          <w:rtl/>
        </w:rPr>
        <w:t xml:space="preserve"> ישראל, </w:t>
      </w:r>
      <w:r w:rsidRPr="00020994">
        <w:rPr>
          <w:rFonts w:hint="eastAsia"/>
          <w:b/>
          <w:bCs/>
          <w:rtl/>
        </w:rPr>
        <w:t>דין</w:t>
      </w:r>
      <w:r w:rsidRPr="00020994">
        <w:rPr>
          <w:b/>
          <w:bCs/>
          <w:rtl/>
        </w:rPr>
        <w:t xml:space="preserve"> </w:t>
      </w:r>
      <w:r w:rsidRPr="00020994">
        <w:rPr>
          <w:rFonts w:hint="eastAsia"/>
          <w:b/>
          <w:bCs/>
          <w:rtl/>
        </w:rPr>
        <w:t>וחשבון</w:t>
      </w:r>
      <w:r w:rsidRPr="00020994">
        <w:rPr>
          <w:b/>
          <w:bCs/>
          <w:rtl/>
        </w:rPr>
        <w:t xml:space="preserve"> 2018</w:t>
      </w:r>
      <w:r>
        <w:rPr>
          <w:rFonts w:hint="cs"/>
          <w:rtl/>
        </w:rPr>
        <w:t xml:space="preserve"> (2019), עמ' 199.</w:t>
      </w:r>
    </w:p>
  </w:footnote>
  <w:footnote w:id="5">
    <w:p w14:paraId="4411532F" w14:textId="77777777" w:rsidR="00223BE2" w:rsidRPr="00D52A45" w:rsidRDefault="00223BE2" w:rsidP="00B351A7">
      <w:pPr>
        <w:pStyle w:val="a9"/>
      </w:pPr>
      <w:r w:rsidRPr="00B351A7">
        <w:footnoteRef/>
      </w:r>
      <w:r w:rsidRPr="00B351A7">
        <w:rPr>
          <w:rtl/>
        </w:rPr>
        <w:t xml:space="preserve"> </w:t>
      </w:r>
      <w:r w:rsidRPr="00B351A7">
        <w:rPr>
          <w:rtl/>
        </w:rPr>
        <w:tab/>
      </w:r>
      <w:r w:rsidRPr="00B351A7">
        <w:rPr>
          <w:rFonts w:hint="cs"/>
          <w:rtl/>
        </w:rPr>
        <w:t>הכנסת</w:t>
      </w:r>
      <w:r w:rsidRPr="00D52A45">
        <w:rPr>
          <w:rFonts w:hint="cs"/>
          <w:rtl/>
        </w:rPr>
        <w:t xml:space="preserve">, מרכז המחקר והמידע, </w:t>
      </w:r>
      <w:r w:rsidRPr="00D52A45">
        <w:rPr>
          <w:rFonts w:hint="cs"/>
          <w:b/>
          <w:bCs/>
          <w:rtl/>
        </w:rPr>
        <w:t xml:space="preserve">התמורות בדיור הציבורי בישראל, 1998 </w:t>
      </w:r>
      <w:r w:rsidRPr="00D52A45">
        <w:rPr>
          <w:rFonts w:hint="cs"/>
          <w:rtl/>
        </w:rPr>
        <w:t>-</w:t>
      </w:r>
      <w:r w:rsidRPr="00D52A45">
        <w:rPr>
          <w:rFonts w:hint="cs"/>
          <w:b/>
          <w:bCs/>
          <w:rtl/>
        </w:rPr>
        <w:t xml:space="preserve"> 2011</w:t>
      </w:r>
      <w:r w:rsidRPr="00D52A45">
        <w:rPr>
          <w:rFonts w:hint="cs"/>
          <w:rtl/>
        </w:rPr>
        <w:t xml:space="preserve"> (דצמבר 2011). </w:t>
      </w:r>
    </w:p>
  </w:footnote>
  <w:footnote w:id="6">
    <w:p w14:paraId="67B1113B" w14:textId="77777777" w:rsidR="00223BE2" w:rsidRDefault="00223BE2" w:rsidP="00B351A7">
      <w:pPr>
        <w:pStyle w:val="a9"/>
        <w:rPr>
          <w:rtl/>
        </w:rPr>
      </w:pPr>
      <w:r w:rsidRPr="00B351A7">
        <w:footnoteRef/>
      </w:r>
      <w:r w:rsidRPr="00B351A7">
        <w:rPr>
          <w:rtl/>
        </w:rPr>
        <w:t xml:space="preserve"> </w:t>
      </w:r>
      <w:r w:rsidRPr="00B351A7">
        <w:rPr>
          <w:rtl/>
        </w:rPr>
        <w:tab/>
      </w:r>
      <w:r w:rsidRPr="00B351A7">
        <w:rPr>
          <w:rFonts w:hint="cs"/>
          <w:rtl/>
        </w:rPr>
        <w:t>בנק</w:t>
      </w:r>
      <w:r w:rsidRPr="00D52A45">
        <w:rPr>
          <w:rFonts w:hint="cs"/>
          <w:rtl/>
        </w:rPr>
        <w:t xml:space="preserve"> ישראל,</w:t>
      </w:r>
      <w:r w:rsidRPr="00D52A45">
        <w:rPr>
          <w:rFonts w:hint="eastAsia"/>
          <w:b/>
          <w:bCs/>
          <w:rtl/>
        </w:rPr>
        <w:t xml:space="preserve"> דין</w:t>
      </w:r>
      <w:r w:rsidRPr="00D52A45">
        <w:rPr>
          <w:b/>
          <w:bCs/>
          <w:rtl/>
        </w:rPr>
        <w:t xml:space="preserve"> וחשבון 2018</w:t>
      </w:r>
      <w:r w:rsidRPr="00D52A45">
        <w:rPr>
          <w:rFonts w:hint="cs"/>
          <w:rtl/>
        </w:rPr>
        <w:t xml:space="preserve"> (2019),</w:t>
      </w:r>
      <w:r w:rsidRPr="00D52A45">
        <w:rPr>
          <w:b/>
          <w:bCs/>
          <w:rtl/>
        </w:rPr>
        <w:t xml:space="preserve"> </w:t>
      </w:r>
      <w:r w:rsidRPr="00D52A45">
        <w:rPr>
          <w:rFonts w:hint="cs"/>
          <w:rtl/>
        </w:rPr>
        <w:t>עמ' 199.</w:t>
      </w:r>
    </w:p>
  </w:footnote>
  <w:footnote w:id="7">
    <w:p w14:paraId="0EEEF880" w14:textId="77777777" w:rsidR="00223BE2" w:rsidRPr="00B351A7" w:rsidRDefault="00223BE2" w:rsidP="00B351A7">
      <w:pPr>
        <w:pStyle w:val="a9"/>
        <w:rPr>
          <w:rtl/>
        </w:rPr>
      </w:pPr>
      <w:r w:rsidRPr="00B351A7">
        <w:rPr>
          <w:rStyle w:val="FootnoteReference"/>
          <w:vertAlign w:val="baseline"/>
        </w:rPr>
        <w:footnoteRef/>
      </w:r>
      <w:r w:rsidRPr="00B351A7">
        <w:rPr>
          <w:rtl/>
        </w:rPr>
        <w:t xml:space="preserve"> </w:t>
      </w:r>
      <w:r w:rsidRPr="00B351A7">
        <w:rPr>
          <w:rtl/>
        </w:rPr>
        <w:tab/>
      </w:r>
      <w:r w:rsidRPr="00B351A7">
        <w:rPr>
          <w:rFonts w:hint="cs"/>
          <w:rtl/>
        </w:rPr>
        <w:t>משרד הבינוי, "</w:t>
      </w:r>
      <w:r w:rsidRPr="00B351A7">
        <w:rPr>
          <w:rtl/>
        </w:rPr>
        <w:t>לגור בכבוד</w:t>
      </w:r>
      <w:r w:rsidRPr="00B351A7">
        <w:rPr>
          <w:rFonts w:hint="cs"/>
          <w:rtl/>
        </w:rPr>
        <w:t>! מצילים את הדיור הציבורי</w:t>
      </w:r>
      <w:r w:rsidRPr="00B351A7">
        <w:rPr>
          <w:rtl/>
        </w:rPr>
        <w:t>"</w:t>
      </w:r>
      <w:r w:rsidRPr="00B351A7">
        <w:rPr>
          <w:rFonts w:hint="cs"/>
          <w:rtl/>
        </w:rPr>
        <w:t xml:space="preserve"> (2018). על התוכנית ראו להלן.</w:t>
      </w:r>
    </w:p>
  </w:footnote>
  <w:footnote w:id="8">
    <w:p w14:paraId="00C007D7" w14:textId="77777777" w:rsidR="00223BE2" w:rsidRPr="00B351A7" w:rsidRDefault="00223BE2" w:rsidP="00B351A7">
      <w:pPr>
        <w:pStyle w:val="a9"/>
      </w:pPr>
      <w:r w:rsidRPr="00B351A7">
        <w:rPr>
          <w:rStyle w:val="FootnoteReference"/>
          <w:vertAlign w:val="baseline"/>
        </w:rPr>
        <w:footnoteRef/>
      </w:r>
      <w:r w:rsidRPr="00B351A7">
        <w:rPr>
          <w:rtl/>
        </w:rPr>
        <w:t xml:space="preserve"> </w:t>
      </w:r>
      <w:r w:rsidRPr="00B351A7">
        <w:rPr>
          <w:rtl/>
        </w:rPr>
        <w:tab/>
      </w:r>
      <w:r w:rsidRPr="00B351A7">
        <w:rPr>
          <w:rFonts w:hint="cs"/>
          <w:rtl/>
        </w:rPr>
        <w:t>ראו שם.</w:t>
      </w:r>
    </w:p>
  </w:footnote>
  <w:footnote w:id="9">
    <w:p w14:paraId="61F98591" w14:textId="77777777" w:rsidR="00223BE2" w:rsidRPr="006E5FF4" w:rsidRDefault="00223BE2" w:rsidP="006E5FF4">
      <w:pPr>
        <w:pStyle w:val="a9"/>
      </w:pPr>
      <w:r w:rsidRPr="006E5FF4">
        <w:rPr>
          <w:rStyle w:val="FootnoteReference"/>
          <w:vertAlign w:val="baseline"/>
        </w:rPr>
        <w:footnoteRef/>
      </w:r>
      <w:r w:rsidRPr="006E5FF4">
        <w:rPr>
          <w:rtl/>
        </w:rPr>
        <w:t xml:space="preserve"> </w:t>
      </w:r>
      <w:r w:rsidRPr="006E5FF4">
        <w:rPr>
          <w:rtl/>
        </w:rPr>
        <w:tab/>
      </w:r>
      <w:r w:rsidRPr="006E5FF4">
        <w:rPr>
          <w:rFonts w:hint="cs"/>
          <w:rtl/>
        </w:rPr>
        <w:t>לפי משרד הבינוי, הנתונים בנוגע לישראל עדכניים עד לשנת 2018. בנוגע ליתר המדינות - הנתונים עדכניים עד לשנת 2015.</w:t>
      </w:r>
    </w:p>
  </w:footnote>
  <w:footnote w:id="10">
    <w:p w14:paraId="3C85E9F0" w14:textId="77777777" w:rsidR="00223BE2" w:rsidRPr="00FE4ACF" w:rsidRDefault="00223BE2" w:rsidP="006E5FF4">
      <w:pPr>
        <w:pStyle w:val="a9"/>
        <w:rPr>
          <w:sz w:val="24"/>
        </w:rPr>
      </w:pPr>
      <w:r w:rsidRPr="006E5FF4">
        <w:rPr>
          <w:rStyle w:val="FootnoteReference"/>
          <w:vertAlign w:val="baseline"/>
        </w:rPr>
        <w:footnoteRef/>
      </w:r>
      <w:r w:rsidRPr="006E5FF4">
        <w:rPr>
          <w:rtl/>
        </w:rPr>
        <w:tab/>
        <w:t xml:space="preserve">בכל שנה הממשלה מביאה לאישור הכנסת את </w:t>
      </w:r>
      <w:r w:rsidRPr="006E5FF4">
        <w:rPr>
          <w:rFonts w:hint="cs"/>
          <w:rtl/>
        </w:rPr>
        <w:t>"</w:t>
      </w:r>
      <w:r w:rsidRPr="006E5FF4">
        <w:rPr>
          <w:rtl/>
        </w:rPr>
        <w:t xml:space="preserve">חוק </w:t>
      </w:r>
      <w:r w:rsidRPr="006E5FF4">
        <w:rPr>
          <w:rFonts w:hint="cs"/>
          <w:rtl/>
        </w:rPr>
        <w:t xml:space="preserve">ההסדרים" </w:t>
      </w:r>
      <w:r w:rsidRPr="006E5FF4">
        <w:rPr>
          <w:rtl/>
        </w:rPr>
        <w:t>לצד חוק התקציב</w:t>
      </w:r>
      <w:r w:rsidRPr="006E5FF4">
        <w:rPr>
          <w:rFonts w:hint="cs"/>
          <w:rtl/>
        </w:rPr>
        <w:t>.</w:t>
      </w:r>
      <w:r w:rsidRPr="006E5FF4">
        <w:rPr>
          <w:rtl/>
        </w:rPr>
        <w:t xml:space="preserve"> </w:t>
      </w:r>
      <w:r w:rsidRPr="006E5FF4">
        <w:rPr>
          <w:rFonts w:hint="cs"/>
          <w:rtl/>
        </w:rPr>
        <w:t xml:space="preserve">החוק </w:t>
      </w:r>
      <w:r w:rsidRPr="006E5FF4">
        <w:rPr>
          <w:rtl/>
        </w:rPr>
        <w:t>מאגד חוקים ותיקוני</w:t>
      </w:r>
      <w:r w:rsidRPr="00A96044">
        <w:rPr>
          <w:sz w:val="24"/>
          <w:rtl/>
        </w:rPr>
        <w:t xml:space="preserve"> חקיקה שהממשלה רואה צורך באישורם כדי ליישם את מדיניותה ואת ת</w:t>
      </w:r>
      <w:r>
        <w:rPr>
          <w:rFonts w:hint="cs"/>
          <w:sz w:val="24"/>
          <w:rtl/>
        </w:rPr>
        <w:t>ו</w:t>
      </w:r>
      <w:r w:rsidRPr="00A96044">
        <w:rPr>
          <w:sz w:val="24"/>
          <w:rtl/>
        </w:rPr>
        <w:t>כניותיה הכלכליות.</w:t>
      </w:r>
    </w:p>
  </w:footnote>
  <w:footnote w:id="11">
    <w:p w14:paraId="786C6E75" w14:textId="77777777" w:rsidR="00223BE2" w:rsidRPr="00E3253B" w:rsidRDefault="00223BE2" w:rsidP="00E3253B">
      <w:pPr>
        <w:pStyle w:val="a9"/>
        <w:rPr>
          <w:rtl/>
        </w:rPr>
      </w:pPr>
      <w:r w:rsidRPr="00E3253B">
        <w:rPr>
          <w:rStyle w:val="FootnoteReference"/>
          <w:vertAlign w:val="baseline"/>
        </w:rPr>
        <w:footnoteRef/>
      </w:r>
      <w:r w:rsidRPr="00E3253B">
        <w:rPr>
          <w:rtl/>
        </w:rPr>
        <w:t xml:space="preserve"> </w:t>
      </w:r>
      <w:r w:rsidRPr="00E3253B">
        <w:rPr>
          <w:rtl/>
        </w:rPr>
        <w:tab/>
      </w:r>
      <w:r w:rsidRPr="00E3253B">
        <w:rPr>
          <w:rFonts w:hint="cs"/>
          <w:rtl/>
        </w:rPr>
        <w:t>בנק ישראל,</w:t>
      </w:r>
      <w:r w:rsidRPr="00E3253B">
        <w:rPr>
          <w:rFonts w:hint="eastAsia"/>
          <w:rtl/>
        </w:rPr>
        <w:t xml:space="preserve"> </w:t>
      </w:r>
      <w:r w:rsidRPr="00E3253B">
        <w:rPr>
          <w:rFonts w:hint="eastAsia"/>
          <w:b/>
          <w:bCs/>
          <w:rtl/>
        </w:rPr>
        <w:t>דין</w:t>
      </w:r>
      <w:r w:rsidRPr="00E3253B">
        <w:rPr>
          <w:b/>
          <w:bCs/>
          <w:rtl/>
        </w:rPr>
        <w:t xml:space="preserve"> </w:t>
      </w:r>
      <w:r w:rsidRPr="00E3253B">
        <w:rPr>
          <w:rFonts w:hint="eastAsia"/>
          <w:b/>
          <w:bCs/>
          <w:rtl/>
        </w:rPr>
        <w:t>וחשבון</w:t>
      </w:r>
      <w:r w:rsidRPr="00E3253B">
        <w:rPr>
          <w:b/>
          <w:bCs/>
          <w:rtl/>
        </w:rPr>
        <w:t xml:space="preserve"> 2018</w:t>
      </w:r>
      <w:r w:rsidRPr="00E3253B">
        <w:rPr>
          <w:rFonts w:hint="cs"/>
          <w:rtl/>
        </w:rPr>
        <w:t xml:space="preserve"> (2019)</w:t>
      </w:r>
      <w:r w:rsidRPr="00E3253B">
        <w:rPr>
          <w:rtl/>
        </w:rPr>
        <w:t xml:space="preserve">, </w:t>
      </w:r>
      <w:r w:rsidRPr="00E3253B">
        <w:rPr>
          <w:rFonts w:hint="cs"/>
          <w:rtl/>
        </w:rPr>
        <w:t>עמ' 202</w:t>
      </w:r>
      <w:r w:rsidRPr="00E3253B">
        <w:rPr>
          <w:rtl/>
        </w:rPr>
        <w:t>.</w:t>
      </w:r>
      <w:r w:rsidRPr="00E3253B">
        <w:rPr>
          <w:rFonts w:hint="cs"/>
          <w:rtl/>
        </w:rPr>
        <w:t xml:space="preserve"> המקור לאזכור הוא: </w:t>
      </w:r>
      <w:r w:rsidRPr="00E3253B">
        <w:rPr>
          <w:rtl/>
        </w:rPr>
        <w:t>וינשטיין, צ' (2014), "הדיור הציבורי בישראל ופרויקט שיקום השכונות", ביטחון סוציאלי, מס' 94</w:t>
      </w:r>
      <w:r w:rsidRPr="00E3253B">
        <w:rPr>
          <w:rFonts w:hint="cs"/>
          <w:rtl/>
        </w:rPr>
        <w:t>, עמ' 45 -</w:t>
      </w:r>
      <w:r w:rsidRPr="00E3253B">
        <w:rPr>
          <w:rtl/>
        </w:rPr>
        <w:t xml:space="preserve"> 80</w:t>
      </w:r>
      <w:r w:rsidRPr="00E3253B">
        <w:rPr>
          <w:rFonts w:hint="cs"/>
          <w:rtl/>
        </w:rPr>
        <w:t>.</w:t>
      </w:r>
    </w:p>
  </w:footnote>
  <w:footnote w:id="12">
    <w:p w14:paraId="72D66946" w14:textId="77777777" w:rsidR="00223BE2" w:rsidRPr="00E3253B" w:rsidRDefault="00223BE2" w:rsidP="00E3253B">
      <w:pPr>
        <w:pStyle w:val="a9"/>
        <w:rPr>
          <w:rtl/>
        </w:rPr>
      </w:pPr>
      <w:r w:rsidRPr="00E3253B">
        <w:rPr>
          <w:rStyle w:val="FootnoteReference"/>
          <w:vertAlign w:val="baseline"/>
        </w:rPr>
        <w:footnoteRef/>
      </w:r>
      <w:r w:rsidRPr="00E3253B">
        <w:rPr>
          <w:rtl/>
        </w:rPr>
        <w:t xml:space="preserve"> </w:t>
      </w:r>
      <w:r w:rsidRPr="00E3253B">
        <w:rPr>
          <w:rtl/>
        </w:rPr>
        <w:tab/>
      </w:r>
      <w:r w:rsidRPr="00E3253B">
        <w:rPr>
          <w:rFonts w:hint="cs"/>
          <w:rtl/>
        </w:rPr>
        <w:t>לעניין זה, תקרת המחיר המרבית לדיירים הרתוקים לכיסא גלגלים הוא 1.2 מיליון ש"ח.</w:t>
      </w:r>
    </w:p>
  </w:footnote>
  <w:footnote w:id="13">
    <w:p w14:paraId="26919C7D" w14:textId="77777777" w:rsidR="00223BE2" w:rsidRDefault="00223BE2" w:rsidP="00E3253B">
      <w:pPr>
        <w:pStyle w:val="a9"/>
      </w:pPr>
      <w:r w:rsidRPr="00E3253B">
        <w:rPr>
          <w:rStyle w:val="FootnoteReference"/>
          <w:vertAlign w:val="baseline"/>
        </w:rPr>
        <w:footnoteRef/>
      </w:r>
      <w:r w:rsidRPr="00E3253B">
        <w:rPr>
          <w:rtl/>
        </w:rPr>
        <w:t xml:space="preserve"> </w:t>
      </w:r>
      <w:r w:rsidRPr="00E3253B">
        <w:rPr>
          <w:rtl/>
        </w:rPr>
        <w:tab/>
      </w:r>
      <w:r w:rsidRPr="00E3253B">
        <w:rPr>
          <w:rFonts w:hint="cs"/>
          <w:rtl/>
        </w:rPr>
        <w:t>כולל</w:t>
      </w:r>
      <w:r>
        <w:rPr>
          <w:rFonts w:hint="cs"/>
          <w:rtl/>
        </w:rPr>
        <w:t xml:space="preserve"> כ-350 דירות לזכאים שהם נכים הרתוקים לכיסאות גלגלים. </w:t>
      </w:r>
    </w:p>
  </w:footnote>
  <w:footnote w:id="14">
    <w:p w14:paraId="3B2D3D34" w14:textId="77777777" w:rsidR="00223BE2" w:rsidRPr="00741781" w:rsidRDefault="00223BE2" w:rsidP="00741781">
      <w:pPr>
        <w:pStyle w:val="a9"/>
      </w:pPr>
      <w:r w:rsidRPr="00741781">
        <w:rPr>
          <w:rStyle w:val="FootnoteReference"/>
          <w:vertAlign w:val="baseline"/>
        </w:rPr>
        <w:footnoteRef/>
      </w:r>
      <w:r w:rsidRPr="00741781">
        <w:rPr>
          <w:rtl/>
        </w:rPr>
        <w:t xml:space="preserve"> </w:t>
      </w:r>
      <w:r w:rsidRPr="00741781">
        <w:rPr>
          <w:rtl/>
        </w:rPr>
        <w:tab/>
      </w:r>
      <w:r w:rsidRPr="00741781">
        <w:rPr>
          <w:rFonts w:hint="cs"/>
          <w:rtl/>
        </w:rPr>
        <w:t>כאמור, כ-300 מיליון ש"ח הוקצו לרכישת דירות שטרם נרכשו.</w:t>
      </w:r>
    </w:p>
  </w:footnote>
  <w:footnote w:id="15">
    <w:p w14:paraId="5191CCE8" w14:textId="77777777" w:rsidR="00223BE2" w:rsidRPr="00741781" w:rsidRDefault="00223BE2" w:rsidP="00741781">
      <w:pPr>
        <w:pStyle w:val="a9"/>
        <w:rPr>
          <w:rtl/>
        </w:rPr>
      </w:pPr>
      <w:r w:rsidRPr="00741781">
        <w:rPr>
          <w:rStyle w:val="FootnoteReference"/>
          <w:vertAlign w:val="baseline"/>
        </w:rPr>
        <w:footnoteRef/>
      </w:r>
      <w:r w:rsidRPr="00741781">
        <w:rPr>
          <w:rtl/>
        </w:rPr>
        <w:t xml:space="preserve"> </w:t>
      </w:r>
      <w:r w:rsidRPr="00741781">
        <w:rPr>
          <w:rtl/>
        </w:rPr>
        <w:tab/>
      </w:r>
      <w:r w:rsidRPr="00741781">
        <w:rPr>
          <w:rFonts w:hint="cs"/>
          <w:rtl/>
        </w:rPr>
        <w:t>חלמיש רכשה את הדירות מכוח הסכם משנת 2015 בינה לבין המדינה להסדרת חובה למדינה. בנוגע לפרזות - בשנת 2016 רכשה עמידר את החזקות המדינה בחברה. בהסכם הרכישה סוכם כי כ-130 מיליון ש"ח של החברה ישמשו לרכישת דירות ציבוריות</w:t>
      </w:r>
    </w:p>
  </w:footnote>
  <w:footnote w:id="16">
    <w:p w14:paraId="616EB207" w14:textId="77777777" w:rsidR="00223BE2" w:rsidRDefault="00223BE2" w:rsidP="00741781">
      <w:pPr>
        <w:pStyle w:val="a9"/>
        <w:rPr>
          <w:rtl/>
        </w:rPr>
      </w:pPr>
      <w:r w:rsidRPr="00741781">
        <w:footnoteRef/>
      </w:r>
      <w:r w:rsidRPr="00741781">
        <w:rPr>
          <w:rtl/>
        </w:rPr>
        <w:t xml:space="preserve"> </w:t>
      </w:r>
      <w:r w:rsidRPr="00741781">
        <w:rPr>
          <w:rtl/>
        </w:rPr>
        <w:tab/>
      </w:r>
      <w:r w:rsidRPr="00741781">
        <w:rPr>
          <w:rFonts w:hint="cs"/>
          <w:rtl/>
        </w:rPr>
        <w:t xml:space="preserve">הונפקו אג"ח בשווי מיליארד ש"ח (ברוטו) בערבות ממשלתית </w:t>
      </w:r>
      <w:r w:rsidRPr="00741781">
        <w:rPr>
          <w:rtl/>
        </w:rPr>
        <w:t xml:space="preserve">כנגד התחייבות להחזר ההלוואה </w:t>
      </w:r>
      <w:r w:rsidRPr="00741781">
        <w:rPr>
          <w:rFonts w:hint="cs"/>
          <w:rtl/>
        </w:rPr>
        <w:t>ב</w:t>
      </w:r>
      <w:r w:rsidRPr="00741781">
        <w:rPr>
          <w:rtl/>
        </w:rPr>
        <w:t xml:space="preserve">תוך </w:t>
      </w:r>
      <w:r w:rsidRPr="00741781">
        <w:rPr>
          <w:rFonts w:hint="cs"/>
          <w:rtl/>
        </w:rPr>
        <w:t>עשר</w:t>
      </w:r>
      <w:r w:rsidRPr="00741781">
        <w:rPr>
          <w:rtl/>
        </w:rPr>
        <w:t xml:space="preserve"> שנים</w:t>
      </w:r>
      <w:r w:rsidRPr="00741781">
        <w:rPr>
          <w:rFonts w:hint="cs"/>
          <w:rtl/>
        </w:rPr>
        <w:t xml:space="preserve"> בריבית</w:t>
      </w:r>
      <w:r>
        <w:rPr>
          <w:rFonts w:hint="cs"/>
          <w:rtl/>
        </w:rPr>
        <w:t xml:space="preserve"> של 1.5%. </w:t>
      </w:r>
    </w:p>
  </w:footnote>
  <w:footnote w:id="17">
    <w:p w14:paraId="6EB096E6" w14:textId="77777777" w:rsidR="00223BE2" w:rsidRDefault="00223BE2" w:rsidP="00741781">
      <w:pPr>
        <w:pStyle w:val="a9"/>
        <w:rPr>
          <w:rtl/>
        </w:rPr>
      </w:pPr>
      <w:r w:rsidRPr="00741781">
        <w:footnoteRef/>
      </w:r>
      <w:r w:rsidRPr="00741781">
        <w:rPr>
          <w:rtl/>
        </w:rPr>
        <w:t xml:space="preserve"> </w:t>
      </w:r>
      <w:r w:rsidRPr="00741781">
        <w:rPr>
          <w:rtl/>
        </w:rPr>
        <w:tab/>
      </w:r>
      <w:r w:rsidRPr="00741781">
        <w:rPr>
          <w:rFonts w:hint="cs"/>
          <w:rtl/>
        </w:rPr>
        <w:t>על פי תנאי הזכאות של משרד הבינוי בלבד. הנתון אינו כולל את רשימת הממתינים של משרד הקליטה. כאמור, שליש מהדירות שמתפנות מוקצות לזכאי משרד הקליטה, כך שבפועל רק שני שלישים מהדירות המיועדות</w:t>
      </w:r>
      <w:r>
        <w:rPr>
          <w:rFonts w:hint="cs"/>
          <w:rtl/>
        </w:rPr>
        <w:t xml:space="preserve"> לאכלוס משמשות את זכאי משרד הבינוי. </w:t>
      </w:r>
    </w:p>
  </w:footnote>
  <w:footnote w:id="18">
    <w:p w14:paraId="0799E607" w14:textId="77777777" w:rsidR="00223BE2" w:rsidRDefault="00223BE2" w:rsidP="00741781">
      <w:pPr>
        <w:pStyle w:val="a9"/>
        <w:rPr>
          <w:rtl/>
        </w:rPr>
      </w:pPr>
      <w:r w:rsidRPr="00741781">
        <w:footnoteRef/>
      </w:r>
      <w:r w:rsidRPr="00741781">
        <w:rPr>
          <w:rtl/>
        </w:rPr>
        <w:t xml:space="preserve"> </w:t>
      </w:r>
      <w:r w:rsidRPr="00741781">
        <w:rPr>
          <w:rtl/>
        </w:rPr>
        <w:tab/>
      </w:r>
      <w:r w:rsidRPr="00741781">
        <w:rPr>
          <w:rFonts w:hint="cs"/>
          <w:rtl/>
        </w:rPr>
        <w:t>משך ההמתנה של מי שאינו מתגורר בדיור הציבורי ממועד אישור הזכאות לדיור ציבורי ועד מועד האכלוס</w:t>
      </w:r>
      <w:r>
        <w:rPr>
          <w:rFonts w:hint="cs"/>
          <w:rtl/>
        </w:rPr>
        <w:t>.</w:t>
      </w:r>
    </w:p>
  </w:footnote>
  <w:footnote w:id="19">
    <w:p w14:paraId="361A4062" w14:textId="77777777" w:rsidR="00223BE2" w:rsidRPr="00741781" w:rsidRDefault="00223BE2" w:rsidP="00741781">
      <w:pPr>
        <w:pStyle w:val="a9"/>
        <w:rPr>
          <w:rtl/>
        </w:rPr>
      </w:pPr>
      <w:r w:rsidRPr="00741781">
        <w:rPr>
          <w:rStyle w:val="FootnoteReference"/>
          <w:vertAlign w:val="baseline"/>
        </w:rPr>
        <w:footnoteRef/>
      </w:r>
      <w:r w:rsidRPr="00741781">
        <w:rPr>
          <w:rtl/>
        </w:rPr>
        <w:t xml:space="preserve"> </w:t>
      </w:r>
      <w:r w:rsidRPr="00741781">
        <w:rPr>
          <w:rtl/>
        </w:rPr>
        <w:tab/>
      </w:r>
      <w:r w:rsidRPr="00741781">
        <w:rPr>
          <w:rFonts w:hint="cs"/>
          <w:b/>
          <w:bCs/>
          <w:rtl/>
        </w:rPr>
        <w:t>דוח הוועדה לשינוי כלכלי חברתי</w:t>
      </w:r>
      <w:r w:rsidRPr="00741781">
        <w:rPr>
          <w:rFonts w:hint="cs"/>
          <w:rtl/>
        </w:rPr>
        <w:t xml:space="preserve"> (2011), עמ' 220.</w:t>
      </w:r>
    </w:p>
  </w:footnote>
  <w:footnote w:id="20">
    <w:p w14:paraId="2824BF07" w14:textId="77777777" w:rsidR="00223BE2" w:rsidRDefault="00223BE2" w:rsidP="00741781">
      <w:pPr>
        <w:pStyle w:val="a9"/>
        <w:rPr>
          <w:rtl/>
        </w:rPr>
      </w:pPr>
      <w:r w:rsidRPr="00741781">
        <w:rPr>
          <w:rStyle w:val="FootnoteReference"/>
          <w:vertAlign w:val="baseline"/>
        </w:rPr>
        <w:footnoteRef/>
      </w:r>
      <w:r w:rsidRPr="00741781">
        <w:rPr>
          <w:rtl/>
        </w:rPr>
        <w:t xml:space="preserve"> </w:t>
      </w:r>
      <w:r w:rsidRPr="00741781">
        <w:rPr>
          <w:rtl/>
        </w:rPr>
        <w:tab/>
        <w:t>החלט</w:t>
      </w:r>
      <w:r w:rsidRPr="00741781">
        <w:rPr>
          <w:rFonts w:hint="cs"/>
          <w:rtl/>
        </w:rPr>
        <w:t>ת</w:t>
      </w:r>
      <w:r>
        <w:rPr>
          <w:rFonts w:hint="cs"/>
          <w:rtl/>
        </w:rPr>
        <w:t xml:space="preserve"> הממשלה</w:t>
      </w:r>
      <w:r w:rsidRPr="006C2B1F">
        <w:rPr>
          <w:rtl/>
        </w:rPr>
        <w:t xml:space="preserve"> 4433</w:t>
      </w:r>
      <w:r>
        <w:rPr>
          <w:rFonts w:hint="cs"/>
          <w:rtl/>
        </w:rPr>
        <w:t>,</w:t>
      </w:r>
      <w:r w:rsidRPr="006C2B1F">
        <w:rPr>
          <w:rtl/>
        </w:rPr>
        <w:t xml:space="preserve"> "הגדלת הסיוע הממשלתי בתחום הדיור ושמירת מלאי פתרונות דיור ציבורי לזכאים (במסגרת יישום המלצות דוח הוועדה לשינוי כלכלי-חברתי - דוח "ועדת טרכטנברג")"</w:t>
      </w:r>
      <w:r>
        <w:rPr>
          <w:rFonts w:hint="cs"/>
          <w:rtl/>
        </w:rPr>
        <w:t xml:space="preserve"> (</w:t>
      </w:r>
      <w:r w:rsidRPr="006C2B1F">
        <w:rPr>
          <w:rtl/>
        </w:rPr>
        <w:t>18.3.12</w:t>
      </w:r>
      <w:r>
        <w:rPr>
          <w:rFonts w:hint="cs"/>
          <w:rtl/>
        </w:rPr>
        <w:t>)</w:t>
      </w:r>
      <w:r w:rsidRPr="006C2B1F">
        <w:rPr>
          <w:rtl/>
        </w:rPr>
        <w:t>.</w:t>
      </w:r>
    </w:p>
  </w:footnote>
  <w:footnote w:id="21">
    <w:p w14:paraId="24C137B3" w14:textId="77777777" w:rsidR="00223BE2" w:rsidRPr="00576B92" w:rsidRDefault="00223BE2" w:rsidP="00576B92">
      <w:pPr>
        <w:pStyle w:val="a9"/>
        <w:rPr>
          <w:rtl/>
        </w:rPr>
      </w:pPr>
      <w:r w:rsidRPr="00576B92">
        <w:rPr>
          <w:rStyle w:val="FootnoteReference"/>
          <w:vertAlign w:val="baseline"/>
        </w:rPr>
        <w:footnoteRef/>
      </w:r>
      <w:r w:rsidRPr="00576B92">
        <w:rPr>
          <w:rtl/>
        </w:rPr>
        <w:t xml:space="preserve"> </w:t>
      </w:r>
      <w:r w:rsidRPr="00576B92">
        <w:rPr>
          <w:rtl/>
        </w:rPr>
        <w:tab/>
      </w:r>
      <w:r w:rsidRPr="00576B92">
        <w:rPr>
          <w:rFonts w:hint="cs"/>
          <w:rtl/>
        </w:rPr>
        <w:t>החלטת ממשלה 4078, "תוכנית חירום לאומית בתחום הדיור הציבורי" (29.7.18).</w:t>
      </w:r>
    </w:p>
  </w:footnote>
  <w:footnote w:id="22">
    <w:p w14:paraId="2382A4CC" w14:textId="77777777" w:rsidR="00223BE2" w:rsidRPr="00576B92" w:rsidRDefault="00223BE2" w:rsidP="00576B92">
      <w:pPr>
        <w:pStyle w:val="a9"/>
      </w:pPr>
      <w:r w:rsidRPr="00576B92">
        <w:rPr>
          <w:rStyle w:val="FootnoteReference"/>
          <w:vertAlign w:val="baseline"/>
        </w:rPr>
        <w:footnoteRef/>
      </w:r>
      <w:r w:rsidRPr="00576B92">
        <w:rPr>
          <w:rtl/>
        </w:rPr>
        <w:t xml:space="preserve"> </w:t>
      </w:r>
      <w:r w:rsidRPr="00576B92">
        <w:rPr>
          <w:rtl/>
        </w:rPr>
        <w:tab/>
      </w:r>
      <w:r w:rsidRPr="00576B92">
        <w:rPr>
          <w:rFonts w:hint="cs"/>
          <w:rtl/>
        </w:rPr>
        <w:t xml:space="preserve">החלטת הממשלה קבעה כי </w:t>
      </w:r>
      <w:r w:rsidRPr="00576B92">
        <w:rPr>
          <w:rtl/>
        </w:rPr>
        <w:t>הצוות ימנה את החברים הבאים:</w:t>
      </w:r>
      <w:r w:rsidRPr="00576B92">
        <w:rPr>
          <w:rFonts w:hint="cs"/>
          <w:rtl/>
        </w:rPr>
        <w:t xml:space="preserve"> </w:t>
      </w:r>
      <w:r w:rsidRPr="00576B92">
        <w:rPr>
          <w:rtl/>
        </w:rPr>
        <w:t>מנ</w:t>
      </w:r>
      <w:r w:rsidRPr="00576B92">
        <w:rPr>
          <w:rFonts w:hint="cs"/>
          <w:rtl/>
        </w:rPr>
        <w:t>כ"</w:t>
      </w:r>
      <w:r w:rsidRPr="00576B92">
        <w:rPr>
          <w:rtl/>
        </w:rPr>
        <w:t>ל משרד הבינוי</w:t>
      </w:r>
      <w:r w:rsidRPr="00576B92">
        <w:rPr>
          <w:rFonts w:hint="cs"/>
          <w:rtl/>
        </w:rPr>
        <w:t>,</w:t>
      </w:r>
      <w:r w:rsidRPr="00576B92">
        <w:rPr>
          <w:rtl/>
        </w:rPr>
        <w:t xml:space="preserve"> אשר ישמש יו"ר הצוות</w:t>
      </w:r>
      <w:r w:rsidRPr="00576B92">
        <w:rPr>
          <w:rFonts w:hint="cs"/>
          <w:rtl/>
        </w:rPr>
        <w:t xml:space="preserve">; </w:t>
      </w:r>
      <w:r w:rsidRPr="00576B92">
        <w:rPr>
          <w:rtl/>
        </w:rPr>
        <w:t>ראש אגף תקציבים או סגנו</w:t>
      </w:r>
      <w:r w:rsidRPr="00576B92">
        <w:rPr>
          <w:rFonts w:hint="cs"/>
          <w:rtl/>
        </w:rPr>
        <w:t xml:space="preserve">; </w:t>
      </w:r>
      <w:r w:rsidRPr="00576B92">
        <w:rPr>
          <w:rtl/>
        </w:rPr>
        <w:t>החש</w:t>
      </w:r>
      <w:r w:rsidRPr="00576B92">
        <w:rPr>
          <w:rFonts w:hint="cs"/>
          <w:rtl/>
        </w:rPr>
        <w:t>כ"ל</w:t>
      </w:r>
      <w:r w:rsidRPr="00576B92">
        <w:rPr>
          <w:rtl/>
        </w:rPr>
        <w:t xml:space="preserve"> או סגנו</w:t>
      </w:r>
      <w:r w:rsidRPr="00576B92">
        <w:rPr>
          <w:rFonts w:hint="cs"/>
          <w:rtl/>
        </w:rPr>
        <w:t xml:space="preserve">; </w:t>
      </w:r>
      <w:r w:rsidRPr="00576B92">
        <w:rPr>
          <w:rtl/>
        </w:rPr>
        <w:t xml:space="preserve">מנהל </w:t>
      </w:r>
      <w:r w:rsidRPr="00576B92">
        <w:rPr>
          <w:rFonts w:hint="cs"/>
          <w:rtl/>
        </w:rPr>
        <w:t>רמ"י</w:t>
      </w:r>
      <w:r w:rsidRPr="00576B92">
        <w:rPr>
          <w:rtl/>
        </w:rPr>
        <w:t xml:space="preserve"> או נציג מטעמו</w:t>
      </w:r>
      <w:r w:rsidRPr="00576B92">
        <w:rPr>
          <w:rFonts w:hint="cs"/>
          <w:rtl/>
        </w:rPr>
        <w:t xml:space="preserve">; </w:t>
      </w:r>
      <w:r w:rsidRPr="00576B92">
        <w:rPr>
          <w:rtl/>
        </w:rPr>
        <w:t>מנהלת מינהל התכנון או נציג מטעמה</w:t>
      </w:r>
      <w:r w:rsidRPr="00576B92">
        <w:rPr>
          <w:rFonts w:hint="cs"/>
          <w:rtl/>
        </w:rPr>
        <w:t xml:space="preserve">; </w:t>
      </w:r>
      <w:r w:rsidRPr="00576B92">
        <w:rPr>
          <w:rtl/>
        </w:rPr>
        <w:t>מנהל רשות המיסים או סגנו</w:t>
      </w:r>
      <w:r w:rsidRPr="00576B92">
        <w:rPr>
          <w:rFonts w:hint="cs"/>
          <w:rtl/>
        </w:rPr>
        <w:t>; מ</w:t>
      </w:r>
      <w:r w:rsidRPr="00576B92">
        <w:rPr>
          <w:rtl/>
        </w:rPr>
        <w:t>נהל הרשות להתחדשות עירונית</w:t>
      </w:r>
      <w:r w:rsidRPr="00576B92">
        <w:rPr>
          <w:rFonts w:hint="cs"/>
          <w:rtl/>
        </w:rPr>
        <w:t xml:space="preserve">; </w:t>
      </w:r>
      <w:r w:rsidRPr="00576B92">
        <w:rPr>
          <w:rtl/>
        </w:rPr>
        <w:t>מנ</w:t>
      </w:r>
      <w:r w:rsidRPr="00576B92">
        <w:rPr>
          <w:rFonts w:hint="cs"/>
          <w:rtl/>
        </w:rPr>
        <w:t>כ"</w:t>
      </w:r>
      <w:r w:rsidRPr="00576B92">
        <w:rPr>
          <w:rtl/>
        </w:rPr>
        <w:t>ל משרד הקליטה או נציג מטעמו</w:t>
      </w:r>
      <w:r w:rsidRPr="00576B92">
        <w:rPr>
          <w:rFonts w:hint="cs"/>
          <w:rtl/>
        </w:rPr>
        <w:t xml:space="preserve">; </w:t>
      </w:r>
      <w:r w:rsidRPr="00576B92">
        <w:rPr>
          <w:rtl/>
        </w:rPr>
        <w:t>מנ</w:t>
      </w:r>
      <w:r w:rsidRPr="00576B92">
        <w:rPr>
          <w:rFonts w:hint="cs"/>
          <w:rtl/>
        </w:rPr>
        <w:t xml:space="preserve">כ"ל </w:t>
      </w:r>
      <w:r w:rsidRPr="00576B92">
        <w:rPr>
          <w:rtl/>
        </w:rPr>
        <w:t>משרד העבודה, הרווחה והשירותים החברתיים או נציג מטעמו</w:t>
      </w:r>
      <w:r w:rsidRPr="00576B92">
        <w:rPr>
          <w:rFonts w:hint="cs"/>
          <w:rtl/>
        </w:rPr>
        <w:t>; ו</w:t>
      </w:r>
      <w:r w:rsidRPr="00576B92">
        <w:rPr>
          <w:rtl/>
        </w:rPr>
        <w:t>ראש המועצה הלאומית לכלכלה במשרד ראש הממשלה.</w:t>
      </w:r>
    </w:p>
  </w:footnote>
  <w:footnote w:id="23">
    <w:p w14:paraId="65F8E69F" w14:textId="77777777" w:rsidR="00223BE2" w:rsidRPr="00576B92" w:rsidRDefault="00223BE2" w:rsidP="00576B92">
      <w:pPr>
        <w:pStyle w:val="a9"/>
        <w:rPr>
          <w:rtl/>
        </w:rPr>
      </w:pPr>
      <w:r w:rsidRPr="00576B92">
        <w:rPr>
          <w:rStyle w:val="FootnoteReference"/>
          <w:vertAlign w:val="baseline"/>
        </w:rPr>
        <w:footnoteRef/>
      </w:r>
      <w:r w:rsidRPr="00576B92">
        <w:rPr>
          <w:rtl/>
        </w:rPr>
        <w:t xml:space="preserve"> </w:t>
      </w:r>
      <w:r w:rsidRPr="00576B92">
        <w:rPr>
          <w:rtl/>
        </w:rPr>
        <w:tab/>
        <w:t>התחדשות עירונית הי</w:t>
      </w:r>
      <w:r w:rsidRPr="00576B92">
        <w:rPr>
          <w:rFonts w:hint="cs"/>
          <w:rtl/>
        </w:rPr>
        <w:t>א</w:t>
      </w:r>
      <w:r w:rsidRPr="00576B92">
        <w:rPr>
          <w:rtl/>
        </w:rPr>
        <w:t xml:space="preserve"> שם כולל לתהליך שמטרתו פיתוח, חידוש, החייאת המרקם העירוני הוותיק ויצירת סביבת מגורים נעימה ובטיחותית יותר</w:t>
      </w:r>
      <w:r w:rsidRPr="00576B92">
        <w:rPr>
          <w:rFonts w:hint="cs"/>
          <w:rtl/>
        </w:rPr>
        <w:t xml:space="preserve">. </w:t>
      </w:r>
      <w:r w:rsidRPr="00576B92">
        <w:rPr>
          <w:rtl/>
        </w:rPr>
        <w:t>במסגרת תהליך הפיתוח</w:t>
      </w:r>
      <w:r w:rsidRPr="00576B92">
        <w:rPr>
          <w:rFonts w:hint="cs"/>
          <w:rtl/>
        </w:rPr>
        <w:t>,</w:t>
      </w:r>
      <w:r w:rsidRPr="00576B92">
        <w:rPr>
          <w:rtl/>
        </w:rPr>
        <w:t xml:space="preserve"> שמתבצע לרוב </w:t>
      </w:r>
      <w:r w:rsidRPr="00576B92">
        <w:rPr>
          <w:rFonts w:hint="cs"/>
          <w:rtl/>
        </w:rPr>
        <w:t>על פי</w:t>
      </w:r>
      <w:r w:rsidRPr="00576B92">
        <w:rPr>
          <w:rtl/>
        </w:rPr>
        <w:t xml:space="preserve"> הוראות תמ"א 38, בניינים מחוזקים ומעובים או נהרסים ונבנים מחדש </w:t>
      </w:r>
      <w:r w:rsidRPr="00576B92">
        <w:rPr>
          <w:rFonts w:hint="cs"/>
          <w:rtl/>
        </w:rPr>
        <w:t xml:space="preserve">תוך </w:t>
      </w:r>
      <w:r w:rsidRPr="00576B92">
        <w:rPr>
          <w:rtl/>
        </w:rPr>
        <w:t>הוספת דירות, הרחבת דירות קיימות, חיזוק תשתיות ועוד.</w:t>
      </w:r>
    </w:p>
  </w:footnote>
  <w:footnote w:id="24">
    <w:p w14:paraId="18B44AAA" w14:textId="77777777" w:rsidR="00223BE2" w:rsidRPr="00576B92" w:rsidRDefault="00223BE2" w:rsidP="00576B92">
      <w:pPr>
        <w:pStyle w:val="a9"/>
        <w:rPr>
          <w:rtl/>
        </w:rPr>
      </w:pPr>
      <w:r w:rsidRPr="00576B92">
        <w:rPr>
          <w:rStyle w:val="FootnoteReference"/>
          <w:vertAlign w:val="baseline"/>
        </w:rPr>
        <w:footnoteRef/>
      </w:r>
      <w:r w:rsidRPr="00576B92">
        <w:rPr>
          <w:rtl/>
        </w:rPr>
        <w:t xml:space="preserve"> </w:t>
      </w:r>
      <w:r w:rsidRPr="00576B92">
        <w:rPr>
          <w:rtl/>
        </w:rPr>
        <w:tab/>
        <w:t>במסגרת</w:t>
      </w:r>
      <w:r w:rsidRPr="00576B92">
        <w:rPr>
          <w:rFonts w:hint="cs"/>
          <w:rtl/>
        </w:rPr>
        <w:t xml:space="preserve"> פתרון זה יכולה</w:t>
      </w:r>
      <w:r w:rsidRPr="00576B92">
        <w:rPr>
          <w:rtl/>
        </w:rPr>
        <w:t xml:space="preserve"> </w:t>
      </w:r>
      <w:r w:rsidRPr="00576B92">
        <w:rPr>
          <w:rFonts w:hint="cs"/>
          <w:rtl/>
        </w:rPr>
        <w:t xml:space="preserve">המדינה להתקשר עם גופים פרטיים לצורך השכרת דירות לזכאים </w:t>
      </w:r>
      <w:r w:rsidRPr="00576B92">
        <w:rPr>
          <w:rtl/>
        </w:rPr>
        <w:t>לתקופות</w:t>
      </w:r>
      <w:r w:rsidRPr="00576B92">
        <w:rPr>
          <w:rFonts w:hint="cs"/>
          <w:rtl/>
        </w:rPr>
        <w:t xml:space="preserve"> ארוכות בשכר דירה נמוך.</w:t>
      </w:r>
    </w:p>
  </w:footnote>
  <w:footnote w:id="25">
    <w:p w14:paraId="57A11A9F" w14:textId="77777777" w:rsidR="00223BE2" w:rsidRPr="00576B92" w:rsidRDefault="00223BE2" w:rsidP="00576B92">
      <w:pPr>
        <w:pStyle w:val="a9"/>
        <w:rPr>
          <w:rtl/>
        </w:rPr>
      </w:pPr>
      <w:r w:rsidRPr="00576B92">
        <w:rPr>
          <w:rStyle w:val="FootnoteReference"/>
          <w:vertAlign w:val="baseline"/>
        </w:rPr>
        <w:footnoteRef/>
      </w:r>
      <w:r w:rsidRPr="00576B92">
        <w:rPr>
          <w:rtl/>
        </w:rPr>
        <w:t xml:space="preserve"> </w:t>
      </w:r>
      <w:r w:rsidRPr="00576B92">
        <w:rPr>
          <w:rtl/>
        </w:rPr>
        <w:tab/>
      </w:r>
      <w:r w:rsidRPr="00576B92">
        <w:rPr>
          <w:rFonts w:hint="cs"/>
          <w:rtl/>
        </w:rPr>
        <w:t xml:space="preserve">בנק ישראל, </w:t>
      </w:r>
      <w:r w:rsidRPr="00576B92">
        <w:rPr>
          <w:rFonts w:hint="eastAsia"/>
          <w:b/>
          <w:bCs/>
          <w:rtl/>
        </w:rPr>
        <w:t>ד</w:t>
      </w:r>
      <w:r w:rsidRPr="00576B92">
        <w:rPr>
          <w:rFonts w:hint="cs"/>
          <w:b/>
          <w:bCs/>
          <w:rtl/>
        </w:rPr>
        <w:t>ין וחשבון</w:t>
      </w:r>
      <w:r w:rsidRPr="00576B92">
        <w:rPr>
          <w:b/>
          <w:bCs/>
          <w:rtl/>
        </w:rPr>
        <w:t xml:space="preserve"> 2018</w:t>
      </w:r>
      <w:r w:rsidRPr="00576B92">
        <w:rPr>
          <w:rFonts w:hint="cs"/>
          <w:rtl/>
        </w:rPr>
        <w:t xml:space="preserve"> (2019), עמ' 204. בדוח נכתב כי "יש</w:t>
      </w:r>
      <w:r w:rsidRPr="00576B92">
        <w:t xml:space="preserve"> </w:t>
      </w:r>
      <w:r w:rsidRPr="00576B92">
        <w:rPr>
          <w:rFonts w:hint="cs"/>
          <w:rtl/>
        </w:rPr>
        <w:t xml:space="preserve">לבחון את </w:t>
      </w:r>
      <w:r w:rsidRPr="00576B92">
        <w:rPr>
          <w:rFonts w:hint="eastAsia"/>
          <w:rtl/>
        </w:rPr>
        <w:t>המחיר</w:t>
      </w:r>
      <w:r w:rsidRPr="00576B92">
        <w:rPr>
          <w:rtl/>
        </w:rPr>
        <w:t xml:space="preserve"> </w:t>
      </w:r>
      <w:r w:rsidRPr="00576B92">
        <w:rPr>
          <w:rFonts w:hint="eastAsia"/>
          <w:rtl/>
        </w:rPr>
        <w:t>הכלכלי</w:t>
      </w:r>
      <w:r w:rsidRPr="00576B92">
        <w:rPr>
          <w:rtl/>
        </w:rPr>
        <w:t xml:space="preserve"> </w:t>
      </w:r>
      <w:r w:rsidRPr="00576B92">
        <w:rPr>
          <w:rFonts w:hint="eastAsia"/>
          <w:rtl/>
        </w:rPr>
        <w:t>והחברתי</w:t>
      </w:r>
      <w:r w:rsidRPr="00576B92">
        <w:rPr>
          <w:rFonts w:hint="cs"/>
          <w:rtl/>
        </w:rPr>
        <w:t xml:space="preserve"> הכרוך בכך שהמדינה ממשיכה למכור את דירות השיכון הציבורי לדיירים, ולשקול להפסיק את המכר במתכונתו הנוכחי</w:t>
      </w:r>
      <w:r w:rsidRPr="00576B92">
        <w:rPr>
          <w:rtl/>
        </w:rPr>
        <w:t>ת</w:t>
      </w:r>
      <w:r w:rsidRPr="00576B92">
        <w:rPr>
          <w:rFonts w:hint="cs"/>
          <w:rtl/>
        </w:rPr>
        <w:t>".</w:t>
      </w:r>
    </w:p>
  </w:footnote>
  <w:footnote w:id="26">
    <w:p w14:paraId="5A872ECF" w14:textId="77777777" w:rsidR="00223BE2" w:rsidRPr="002240BA" w:rsidRDefault="00223BE2" w:rsidP="002240BA">
      <w:pPr>
        <w:pStyle w:val="a9"/>
      </w:pPr>
      <w:r w:rsidRPr="002240BA">
        <w:rPr>
          <w:rStyle w:val="FootnoteReference"/>
          <w:vertAlign w:val="baseline"/>
        </w:rPr>
        <w:footnoteRef/>
      </w:r>
      <w:r w:rsidRPr="002240BA">
        <w:rPr>
          <w:rtl/>
        </w:rPr>
        <w:t xml:space="preserve"> </w:t>
      </w:r>
      <w:r w:rsidRPr="002240BA">
        <w:rPr>
          <w:rtl/>
        </w:rPr>
        <w:tab/>
      </w:r>
      <w:r w:rsidRPr="002240BA">
        <w:rPr>
          <w:rFonts w:hint="cs"/>
          <w:rtl/>
        </w:rPr>
        <w:t>בתנאים מסוימים ניתן להיענות לבקשת זכאי שכבר מתגורר בדירה ציבורית ורוצה לעבור להתגורר בדירה ביישוב אחר.</w:t>
      </w:r>
    </w:p>
  </w:footnote>
  <w:footnote w:id="27">
    <w:p w14:paraId="0F1BAE5E" w14:textId="77777777" w:rsidR="00223BE2" w:rsidRPr="002240BA" w:rsidRDefault="00223BE2" w:rsidP="002240BA">
      <w:pPr>
        <w:pStyle w:val="a9"/>
      </w:pPr>
      <w:r w:rsidRPr="002240BA">
        <w:rPr>
          <w:rStyle w:val="FootnoteReference"/>
          <w:vertAlign w:val="baseline"/>
        </w:rPr>
        <w:footnoteRef/>
      </w:r>
      <w:r w:rsidRPr="002240BA">
        <w:rPr>
          <w:rtl/>
        </w:rPr>
        <w:t xml:space="preserve"> </w:t>
      </w:r>
      <w:r w:rsidRPr="002240BA">
        <w:rPr>
          <w:rtl/>
        </w:rPr>
        <w:tab/>
      </w:r>
      <w:r w:rsidRPr="002240BA">
        <w:rPr>
          <w:rFonts w:hint="cs"/>
          <w:rtl/>
        </w:rPr>
        <w:t>הלשכה המרכזית לסטטיסטיקה מדרגת את הרשויות המקומיות בסולם של 10 דרגות (אשכולות) לפי המצב החברתי-כלכלי של אוכלוסיותיהן. אשכול 1 מציין את המצב החברתי-כלכלי הנמוך ביותר.</w:t>
      </w:r>
    </w:p>
  </w:footnote>
  <w:footnote w:id="28">
    <w:p w14:paraId="33FD0698" w14:textId="77777777" w:rsidR="00223BE2" w:rsidRPr="002240BA" w:rsidRDefault="00223BE2" w:rsidP="002240BA">
      <w:pPr>
        <w:pStyle w:val="a9"/>
      </w:pPr>
      <w:r w:rsidRPr="002240BA">
        <w:rPr>
          <w:rStyle w:val="FootnoteReference"/>
          <w:vertAlign w:val="baseline"/>
        </w:rPr>
        <w:footnoteRef/>
      </w:r>
      <w:r w:rsidRPr="002240BA">
        <w:rPr>
          <w:rtl/>
        </w:rPr>
        <w:t xml:space="preserve"> </w:t>
      </w:r>
      <w:r w:rsidRPr="002240BA">
        <w:rPr>
          <w:rtl/>
        </w:rPr>
        <w:tab/>
      </w:r>
      <w:r w:rsidRPr="002240BA">
        <w:rPr>
          <w:rFonts w:hint="cs"/>
          <w:rtl/>
        </w:rPr>
        <w:t>הלשכה המרכזית לסטטיסטיקה, נתוני 2017.</w:t>
      </w:r>
    </w:p>
  </w:footnote>
  <w:footnote w:id="29">
    <w:p w14:paraId="0CF2C2C6" w14:textId="77777777" w:rsidR="00223BE2" w:rsidRPr="004E073D" w:rsidRDefault="00223BE2" w:rsidP="004E073D">
      <w:pPr>
        <w:pStyle w:val="a9"/>
        <w:rPr>
          <w:rtl/>
        </w:rPr>
      </w:pPr>
      <w:r w:rsidRPr="004E073D">
        <w:rPr>
          <w:rStyle w:val="FootnoteReference"/>
          <w:vertAlign w:val="baseline"/>
        </w:rPr>
        <w:footnoteRef/>
      </w:r>
      <w:r w:rsidRPr="004E073D">
        <w:rPr>
          <w:rtl/>
        </w:rPr>
        <w:t xml:space="preserve"> </w:t>
      </w:r>
      <w:r w:rsidRPr="004E073D">
        <w:rPr>
          <w:rtl/>
        </w:rPr>
        <w:tab/>
      </w:r>
      <w:r w:rsidRPr="004E073D">
        <w:rPr>
          <w:rFonts w:hint="cs"/>
          <w:rtl/>
        </w:rPr>
        <w:t>קבוצות אחרות שלפי המודל המוצע יהיו זכאיות להשתתפות בשכר דירה בשכירות ארוכת טווח הן: משפחות שלהן שלושה ילדים המקבלות הבטחת הכנסה, קשישים הזכאים לדיור בבתי דיור לקשישים אך אינם מתאימים למגורים אלה ומשפחות חד</w:t>
      </w:r>
      <w:r w:rsidRPr="004E073D">
        <w:rPr>
          <w:rtl/>
        </w:rPr>
        <w:t>-</w:t>
      </w:r>
      <w:r w:rsidRPr="004E073D">
        <w:rPr>
          <w:rFonts w:hint="cs"/>
          <w:rtl/>
        </w:rPr>
        <w:t xml:space="preserve">הוריות, שלהן שלושה ילדים המתקיימות מדמי מזונות של המוסד לביטוח לאומי. </w:t>
      </w:r>
    </w:p>
  </w:footnote>
  <w:footnote w:id="30">
    <w:p w14:paraId="5826D954" w14:textId="77777777" w:rsidR="00223BE2" w:rsidRPr="004E073D" w:rsidRDefault="00223BE2" w:rsidP="004E073D">
      <w:pPr>
        <w:pStyle w:val="a9"/>
        <w:rPr>
          <w:rtl/>
        </w:rPr>
      </w:pPr>
      <w:r w:rsidRPr="004E073D">
        <w:rPr>
          <w:rStyle w:val="FootnoteReference"/>
          <w:vertAlign w:val="baseline"/>
        </w:rPr>
        <w:footnoteRef/>
      </w:r>
      <w:r w:rsidRPr="004E073D">
        <w:rPr>
          <w:rtl/>
        </w:rPr>
        <w:t xml:space="preserve"> </w:t>
      </w:r>
      <w:r w:rsidRPr="004E073D">
        <w:rPr>
          <w:rtl/>
        </w:rPr>
        <w:tab/>
      </w:r>
      <w:r w:rsidRPr="004E073D">
        <w:rPr>
          <w:rFonts w:hint="cs"/>
          <w:rtl/>
        </w:rPr>
        <w:t>החלטה 203 (דר/13) מיוני 2015 והחלטה 315 (דר/23) מיולי 2015.</w:t>
      </w:r>
    </w:p>
  </w:footnote>
  <w:footnote w:id="31">
    <w:p w14:paraId="656C5C95" w14:textId="77777777" w:rsidR="00223BE2" w:rsidRPr="004E073D" w:rsidRDefault="00223BE2" w:rsidP="004E073D">
      <w:pPr>
        <w:pStyle w:val="a9"/>
        <w:rPr>
          <w:rtl/>
        </w:rPr>
      </w:pPr>
      <w:r w:rsidRPr="004E073D">
        <w:rPr>
          <w:rStyle w:val="FootnoteReference"/>
          <w:vertAlign w:val="baseline"/>
        </w:rPr>
        <w:footnoteRef/>
      </w:r>
      <w:r w:rsidRPr="004E073D">
        <w:rPr>
          <w:rtl/>
        </w:rPr>
        <w:t xml:space="preserve"> </w:t>
      </w:r>
      <w:r w:rsidRPr="004E073D">
        <w:rPr>
          <w:rtl/>
        </w:rPr>
        <w:tab/>
      </w:r>
      <w:r w:rsidRPr="004E073D">
        <w:rPr>
          <w:rFonts w:hint="cs"/>
          <w:rtl/>
        </w:rPr>
        <w:t xml:space="preserve">ראו מבקר המדינה, </w:t>
      </w:r>
      <w:r w:rsidRPr="004E073D">
        <w:rPr>
          <w:rFonts w:hint="cs"/>
          <w:b/>
          <w:bCs/>
          <w:rtl/>
        </w:rPr>
        <w:t>דוח שנתי 70א</w:t>
      </w:r>
      <w:r w:rsidRPr="004E073D">
        <w:rPr>
          <w:rFonts w:hint="cs"/>
          <w:rtl/>
        </w:rPr>
        <w:t xml:space="preserve"> (2020), בפרק "</w:t>
      </w:r>
      <w:r w:rsidRPr="004E073D">
        <w:rPr>
          <w:rtl/>
        </w:rPr>
        <w:t xml:space="preserve">היבטים בתוכנית הממשלתית לדיור </w:t>
      </w:r>
      <w:r w:rsidRPr="004E073D">
        <w:rPr>
          <w:rFonts w:hint="cs"/>
          <w:rtl/>
        </w:rPr>
        <w:t>'</w:t>
      </w:r>
      <w:r w:rsidRPr="004E073D">
        <w:rPr>
          <w:rtl/>
        </w:rPr>
        <w:t>מחיר למשתכן</w:t>
      </w:r>
      <w:r w:rsidRPr="004E073D">
        <w:rPr>
          <w:rFonts w:hint="cs"/>
          <w:rtl/>
        </w:rPr>
        <w:t>'".</w:t>
      </w:r>
    </w:p>
  </w:footnote>
  <w:footnote w:id="32">
    <w:p w14:paraId="09289DA5" w14:textId="77777777" w:rsidR="00223BE2" w:rsidRPr="004E073D" w:rsidRDefault="00223BE2" w:rsidP="004E073D">
      <w:pPr>
        <w:pStyle w:val="a9"/>
        <w:rPr>
          <w:rtl/>
        </w:rPr>
      </w:pPr>
      <w:r w:rsidRPr="004E073D">
        <w:rPr>
          <w:rStyle w:val="FootnoteReference"/>
          <w:vertAlign w:val="baseline"/>
        </w:rPr>
        <w:footnoteRef/>
      </w:r>
      <w:r w:rsidRPr="004E073D">
        <w:rPr>
          <w:rtl/>
        </w:rPr>
        <w:t xml:space="preserve"> </w:t>
      </w:r>
      <w:r w:rsidRPr="004E073D">
        <w:rPr>
          <w:rtl/>
        </w:rPr>
        <w:tab/>
      </w:r>
      <w:r w:rsidRPr="004E073D">
        <w:rPr>
          <w:rFonts w:hint="cs"/>
          <w:rtl/>
        </w:rPr>
        <w:t>זוגות או יחידים מעל גיל 35 שאין בבעלותם דירה.</w:t>
      </w:r>
    </w:p>
  </w:footnote>
  <w:footnote w:id="33">
    <w:p w14:paraId="76346A6D" w14:textId="0EF63267" w:rsidR="00223BE2" w:rsidRPr="004E073D" w:rsidRDefault="00223BE2" w:rsidP="004E073D">
      <w:pPr>
        <w:pStyle w:val="a9"/>
      </w:pPr>
      <w:r w:rsidRPr="004E073D">
        <w:rPr>
          <w:rStyle w:val="FootnoteReference"/>
          <w:vertAlign w:val="baseline"/>
        </w:rPr>
        <w:footnoteRef/>
      </w:r>
      <w:r w:rsidRPr="004E073D">
        <w:rPr>
          <w:rtl/>
        </w:rPr>
        <w:t xml:space="preserve"> </w:t>
      </w:r>
      <w:r w:rsidRPr="004E073D">
        <w:rPr>
          <w:rtl/>
        </w:rPr>
        <w:tab/>
      </w:r>
      <w:r w:rsidRPr="004E073D">
        <w:rPr>
          <w:rFonts w:hint="cs"/>
          <w:rtl/>
        </w:rPr>
        <w:t>במכרזים על הקרקעות שמשווקת רמ"י מתחרים</w:t>
      </w:r>
      <w:r w:rsidRPr="004E073D">
        <w:rPr>
          <w:rtl/>
        </w:rPr>
        <w:t xml:space="preserve"> </w:t>
      </w:r>
      <w:r w:rsidRPr="004E073D">
        <w:rPr>
          <w:rFonts w:hint="cs"/>
          <w:rtl/>
        </w:rPr>
        <w:t>המציעים</w:t>
      </w:r>
      <w:r w:rsidRPr="004E073D">
        <w:rPr>
          <w:rtl/>
        </w:rPr>
        <w:t xml:space="preserve"> </w:t>
      </w:r>
      <w:r w:rsidRPr="004E073D">
        <w:rPr>
          <w:rFonts w:hint="cs"/>
          <w:rtl/>
        </w:rPr>
        <w:t>על</w:t>
      </w:r>
      <w:r w:rsidRPr="004E073D">
        <w:rPr>
          <w:rtl/>
        </w:rPr>
        <w:t xml:space="preserve"> </w:t>
      </w:r>
      <w:r w:rsidRPr="004E073D">
        <w:rPr>
          <w:rFonts w:hint="cs"/>
          <w:rtl/>
        </w:rPr>
        <w:t>המחיר</w:t>
      </w:r>
      <w:r w:rsidRPr="004E073D">
        <w:rPr>
          <w:rtl/>
        </w:rPr>
        <w:t xml:space="preserve"> </w:t>
      </w:r>
      <w:r w:rsidRPr="004E073D">
        <w:rPr>
          <w:rFonts w:hint="cs"/>
          <w:rtl/>
        </w:rPr>
        <w:t>הסופי</w:t>
      </w:r>
      <w:r w:rsidRPr="004E073D">
        <w:rPr>
          <w:rtl/>
        </w:rPr>
        <w:t xml:space="preserve"> </w:t>
      </w:r>
      <w:r w:rsidRPr="004E073D">
        <w:rPr>
          <w:rFonts w:hint="cs"/>
          <w:rtl/>
        </w:rPr>
        <w:t>הנמוך</w:t>
      </w:r>
      <w:r w:rsidRPr="004E073D">
        <w:rPr>
          <w:rtl/>
        </w:rPr>
        <w:t xml:space="preserve"> </w:t>
      </w:r>
      <w:r w:rsidRPr="004E073D">
        <w:rPr>
          <w:rFonts w:hint="cs"/>
          <w:rtl/>
        </w:rPr>
        <w:t>ביותר</w:t>
      </w:r>
      <w:r w:rsidRPr="004E073D">
        <w:rPr>
          <w:rtl/>
        </w:rPr>
        <w:t xml:space="preserve"> </w:t>
      </w:r>
      <w:r w:rsidRPr="004E073D">
        <w:rPr>
          <w:rFonts w:hint="cs"/>
          <w:rtl/>
        </w:rPr>
        <w:t>למ</w:t>
      </w:r>
      <w:r w:rsidRPr="004E073D">
        <w:rPr>
          <w:rtl/>
        </w:rPr>
        <w:t>"</w:t>
      </w:r>
      <w:r w:rsidRPr="004E073D">
        <w:rPr>
          <w:rFonts w:hint="cs"/>
          <w:rtl/>
        </w:rPr>
        <w:t>ר</w:t>
      </w:r>
      <w:r w:rsidRPr="004E073D">
        <w:rPr>
          <w:rtl/>
        </w:rPr>
        <w:t xml:space="preserve"> </w:t>
      </w:r>
      <w:r w:rsidRPr="004E073D">
        <w:rPr>
          <w:rFonts w:hint="cs"/>
          <w:rtl/>
        </w:rPr>
        <w:t>של</w:t>
      </w:r>
      <w:r w:rsidRPr="004E073D">
        <w:rPr>
          <w:rtl/>
        </w:rPr>
        <w:t xml:space="preserve"> </w:t>
      </w:r>
      <w:r w:rsidRPr="004E073D">
        <w:rPr>
          <w:rFonts w:hint="cs"/>
          <w:rtl/>
        </w:rPr>
        <w:t>דירת</w:t>
      </w:r>
      <w:r w:rsidRPr="004E073D">
        <w:rPr>
          <w:rtl/>
        </w:rPr>
        <w:t xml:space="preserve"> </w:t>
      </w:r>
      <w:r w:rsidRPr="004E073D">
        <w:rPr>
          <w:rFonts w:hint="cs"/>
          <w:rtl/>
        </w:rPr>
        <w:t xml:space="preserve">מגורים.  </w:t>
      </w:r>
    </w:p>
  </w:footnote>
  <w:footnote w:id="34">
    <w:p w14:paraId="53E3CD3C" w14:textId="15F843E8" w:rsidR="00223BE2" w:rsidRPr="004E073D" w:rsidRDefault="00223BE2" w:rsidP="004E073D">
      <w:pPr>
        <w:pStyle w:val="a9"/>
        <w:rPr>
          <w:rtl/>
        </w:rPr>
      </w:pPr>
      <w:r w:rsidRPr="004E073D">
        <w:rPr>
          <w:rStyle w:val="FootnoteReference"/>
          <w:vertAlign w:val="baseline"/>
        </w:rPr>
        <w:footnoteRef/>
      </w:r>
      <w:r w:rsidRPr="004E073D">
        <w:rPr>
          <w:rtl/>
        </w:rPr>
        <w:t xml:space="preserve"> </w:t>
      </w:r>
      <w:r w:rsidRPr="004E073D">
        <w:rPr>
          <w:rtl/>
        </w:rPr>
        <w:tab/>
      </w:r>
      <w:r w:rsidR="0003781B">
        <w:rPr>
          <w:rFonts w:hint="cs"/>
          <w:rtl/>
        </w:rPr>
        <w:t xml:space="preserve">הוועדה לתכנון ופיתוח הוקמה מכוח החלטת הממשלה 125 (25.6.15) והחלטת מועצת מקרקעי ישראל 1429 (29.6.15). </w:t>
      </w:r>
      <w:r w:rsidRPr="004E073D">
        <w:rPr>
          <w:rFonts w:hint="cs"/>
          <w:rtl/>
        </w:rPr>
        <w:t xml:space="preserve">הוועדה הוקמה </w:t>
      </w:r>
      <w:r w:rsidRPr="004E073D">
        <w:rPr>
          <w:rtl/>
        </w:rPr>
        <w:t>לטובת קידום מדיניות הממשלה בהתמודדות</w:t>
      </w:r>
      <w:r w:rsidRPr="004E073D">
        <w:rPr>
          <w:rFonts w:hint="cs"/>
          <w:rtl/>
        </w:rPr>
        <w:t>ה</w:t>
      </w:r>
      <w:r w:rsidRPr="004E073D">
        <w:rPr>
          <w:rtl/>
        </w:rPr>
        <w:t xml:space="preserve"> עם משבר הדיור, ו</w:t>
      </w:r>
      <w:r w:rsidRPr="004E073D">
        <w:rPr>
          <w:rFonts w:hint="cs"/>
          <w:rtl/>
        </w:rPr>
        <w:t>בראשה עומד ראש מטה הדיור הלאומי וחבריה הם מנהל רמ"י או נציג מטעמו, מנכ"ל משרד הבינוי או נציג מטעמו ונציגי מינהל התכנון, אגף תקציבים ואגף החשכ"ל במשרד האוצר.</w:t>
      </w:r>
    </w:p>
  </w:footnote>
  <w:footnote w:id="35">
    <w:p w14:paraId="65455787" w14:textId="77777777" w:rsidR="00223BE2" w:rsidRPr="004E073D" w:rsidRDefault="00223BE2" w:rsidP="004E073D">
      <w:pPr>
        <w:pStyle w:val="a9"/>
        <w:rPr>
          <w:rtl/>
        </w:rPr>
      </w:pPr>
      <w:r w:rsidRPr="004E073D">
        <w:rPr>
          <w:rStyle w:val="FootnoteReference"/>
          <w:vertAlign w:val="baseline"/>
        </w:rPr>
        <w:footnoteRef/>
      </w:r>
      <w:r w:rsidRPr="004E073D">
        <w:rPr>
          <w:rtl/>
        </w:rPr>
        <w:tab/>
      </w:r>
      <w:r w:rsidRPr="004E073D">
        <w:rPr>
          <w:rFonts w:hint="cs"/>
          <w:rtl/>
        </w:rPr>
        <w:t>החלטת מועצת מקרקעי ישראל 1508 (10.5.17).</w:t>
      </w:r>
    </w:p>
  </w:footnote>
  <w:footnote w:id="36">
    <w:p w14:paraId="303BC2FD" w14:textId="77777777" w:rsidR="00223BE2" w:rsidRPr="004E073D" w:rsidRDefault="00223BE2" w:rsidP="004E073D">
      <w:pPr>
        <w:pStyle w:val="a9"/>
        <w:rPr>
          <w:rtl/>
        </w:rPr>
      </w:pPr>
      <w:r w:rsidRPr="004E073D">
        <w:rPr>
          <w:rStyle w:val="FootnoteReference"/>
          <w:vertAlign w:val="baseline"/>
        </w:rPr>
        <w:footnoteRef/>
      </w:r>
      <w:r w:rsidRPr="004E073D">
        <w:rPr>
          <w:rFonts w:hint="cs"/>
          <w:rtl/>
        </w:rPr>
        <w:t xml:space="preserve"> </w:t>
      </w:r>
      <w:r w:rsidRPr="004E073D">
        <w:rPr>
          <w:rtl/>
        </w:rPr>
        <w:tab/>
      </w:r>
      <w:r w:rsidRPr="004E073D">
        <w:rPr>
          <w:rFonts w:hint="cs"/>
          <w:rtl/>
        </w:rPr>
        <w:t>החלטת מועצת מקרקעי ישראל 1579 (4.12.18).</w:t>
      </w:r>
    </w:p>
  </w:footnote>
  <w:footnote w:id="37">
    <w:p w14:paraId="7FB441CB" w14:textId="77777777" w:rsidR="00223BE2" w:rsidRDefault="00223BE2" w:rsidP="004E073D">
      <w:pPr>
        <w:pStyle w:val="a9"/>
        <w:rPr>
          <w:rtl/>
        </w:rPr>
      </w:pPr>
      <w:r w:rsidRPr="004E073D">
        <w:rPr>
          <w:rStyle w:val="FootnoteReference"/>
          <w:vertAlign w:val="baseline"/>
        </w:rPr>
        <w:footnoteRef/>
      </w:r>
      <w:r w:rsidRPr="004E073D">
        <w:rPr>
          <w:rtl/>
        </w:rPr>
        <w:t xml:space="preserve"> </w:t>
      </w:r>
      <w:r w:rsidRPr="004E073D">
        <w:rPr>
          <w:rtl/>
        </w:rPr>
        <w:tab/>
      </w:r>
      <w:r w:rsidRPr="004E073D">
        <w:rPr>
          <w:rFonts w:hint="cs"/>
          <w:rtl/>
        </w:rPr>
        <w:t>שיעור הדירות</w:t>
      </w:r>
      <w:r>
        <w:rPr>
          <w:rFonts w:hint="cs"/>
          <w:rtl/>
        </w:rPr>
        <w:t xml:space="preserve"> הציבוריות בכל אחד מהפרויקטים הוא בין 5% ל-7% מכלל דירות "מחיר למשתכן".</w:t>
      </w:r>
    </w:p>
  </w:footnote>
  <w:footnote w:id="38">
    <w:p w14:paraId="414CF970" w14:textId="77777777" w:rsidR="00223BE2" w:rsidRPr="004E073D" w:rsidRDefault="00223BE2" w:rsidP="004E073D">
      <w:pPr>
        <w:pStyle w:val="a9"/>
        <w:rPr>
          <w:rtl/>
        </w:rPr>
      </w:pPr>
      <w:r w:rsidRPr="004E073D">
        <w:rPr>
          <w:rStyle w:val="FootnoteReference"/>
          <w:vertAlign w:val="baseline"/>
        </w:rPr>
        <w:footnoteRef/>
      </w:r>
      <w:r w:rsidRPr="004E073D">
        <w:rPr>
          <w:rtl/>
        </w:rPr>
        <w:t xml:space="preserve"> </w:t>
      </w:r>
      <w:r w:rsidRPr="004E073D">
        <w:rPr>
          <w:rtl/>
        </w:rPr>
        <w:tab/>
      </w:r>
      <w:r w:rsidRPr="004E073D">
        <w:rPr>
          <w:rFonts w:hint="cs"/>
          <w:rtl/>
        </w:rPr>
        <w:t>נציגי אגף תקציבים ואגף החשכ"ל.</w:t>
      </w:r>
    </w:p>
  </w:footnote>
  <w:footnote w:id="39">
    <w:p w14:paraId="410A1EB8" w14:textId="77777777" w:rsidR="00223BE2" w:rsidRPr="004E073D" w:rsidRDefault="00223BE2" w:rsidP="004E073D">
      <w:pPr>
        <w:pStyle w:val="a9"/>
      </w:pPr>
      <w:r w:rsidRPr="004E073D">
        <w:rPr>
          <w:rStyle w:val="FootnoteReference"/>
          <w:vertAlign w:val="baseline"/>
        </w:rPr>
        <w:footnoteRef/>
      </w:r>
      <w:r w:rsidRPr="004E073D">
        <w:rPr>
          <w:rtl/>
        </w:rPr>
        <w:t xml:space="preserve"> </w:t>
      </w:r>
      <w:r w:rsidRPr="004E073D">
        <w:rPr>
          <w:rtl/>
        </w:rPr>
        <w:tab/>
      </w:r>
      <w:r w:rsidRPr="004E073D">
        <w:rPr>
          <w:rFonts w:hint="cs"/>
          <w:rtl/>
        </w:rPr>
        <w:t>בבאר יעקב ובירושלים.</w:t>
      </w:r>
    </w:p>
  </w:footnote>
  <w:footnote w:id="40">
    <w:p w14:paraId="3C495B4D" w14:textId="77777777" w:rsidR="00223BE2" w:rsidRPr="004E073D" w:rsidRDefault="00223BE2" w:rsidP="004E073D">
      <w:pPr>
        <w:pStyle w:val="a9"/>
      </w:pPr>
      <w:r w:rsidRPr="004E073D">
        <w:rPr>
          <w:rStyle w:val="FootnoteReference"/>
          <w:vertAlign w:val="baseline"/>
        </w:rPr>
        <w:footnoteRef/>
      </w:r>
      <w:r w:rsidRPr="004E073D">
        <w:rPr>
          <w:rtl/>
        </w:rPr>
        <w:t xml:space="preserve"> </w:t>
      </w:r>
      <w:r w:rsidRPr="004E073D">
        <w:rPr>
          <w:rtl/>
        </w:rPr>
        <w:tab/>
      </w:r>
      <w:r w:rsidRPr="004E073D">
        <w:rPr>
          <w:rFonts w:hint="cs"/>
          <w:rtl/>
        </w:rPr>
        <w:t>מכרזים שבהם פרסמה רמ"י את מסמכי המכרז. לא כולל מקרים שבהם פרסמה רמ"י הודעה לציבור על מכרז עתידי ללא מסמכי המכרז.</w:t>
      </w:r>
    </w:p>
  </w:footnote>
  <w:footnote w:id="41">
    <w:p w14:paraId="6540665F" w14:textId="77777777" w:rsidR="00223BE2" w:rsidRDefault="00223BE2" w:rsidP="004E073D">
      <w:pPr>
        <w:pStyle w:val="a9"/>
      </w:pPr>
      <w:r w:rsidRPr="004E073D">
        <w:rPr>
          <w:rStyle w:val="FootnoteReference"/>
          <w:vertAlign w:val="baseline"/>
        </w:rPr>
        <w:footnoteRef/>
      </w:r>
      <w:r w:rsidRPr="004E073D">
        <w:rPr>
          <w:rtl/>
        </w:rPr>
        <w:t xml:space="preserve"> </w:t>
      </w:r>
      <w:r w:rsidRPr="004E073D">
        <w:rPr>
          <w:rtl/>
        </w:rPr>
        <w:tab/>
      </w:r>
      <w:r w:rsidRPr="004E073D">
        <w:rPr>
          <w:rFonts w:hint="cs"/>
          <w:rtl/>
        </w:rPr>
        <w:t>ביישובים אריאל, אבן יהודה, באר יעקב, ירושלים וראש העין. כולל עשר דירות בפרויקט "מחיר למשתכן" בתל אביב-יפו במתחם שהיו בו שלוש דירות ציבוריות, ולכן לא הוגשה בקשה לוות"פ לאישור בניית הדירות</w:t>
      </w:r>
      <w:r>
        <w:rPr>
          <w:rFonts w:hint="cs"/>
          <w:rtl/>
        </w:rPr>
        <w:t xml:space="preserve"> הציבוריות הנוספות.</w:t>
      </w:r>
    </w:p>
  </w:footnote>
  <w:footnote w:id="42">
    <w:p w14:paraId="72A43CB3" w14:textId="77777777" w:rsidR="00223BE2" w:rsidRDefault="00223BE2" w:rsidP="004E073D">
      <w:pPr>
        <w:pStyle w:val="a9"/>
        <w:rPr>
          <w:rtl/>
        </w:rPr>
      </w:pPr>
      <w:r w:rsidRPr="004E073D">
        <w:footnoteRef/>
      </w:r>
      <w:r w:rsidRPr="004E073D">
        <w:rPr>
          <w:rtl/>
        </w:rPr>
        <w:t xml:space="preserve"> </w:t>
      </w:r>
      <w:r w:rsidRPr="004E073D">
        <w:rPr>
          <w:rtl/>
        </w:rPr>
        <w:tab/>
      </w:r>
      <w:r w:rsidRPr="004E073D">
        <w:rPr>
          <w:rFonts w:hint="cs"/>
          <w:rtl/>
        </w:rPr>
        <w:t>לפי בדיקת</w:t>
      </w:r>
      <w:r>
        <w:rPr>
          <w:rFonts w:hint="cs"/>
          <w:rtl/>
        </w:rPr>
        <w:t xml:space="preserve"> בנק ישראל, בהתייחס לשלבי התכנון והבנייה של דירה ומשך הזמן הממוצע שהם אורכים. ראו בנק ישראל, </w:t>
      </w:r>
      <w:r w:rsidRPr="009F7F52">
        <w:rPr>
          <w:rFonts w:hint="cs"/>
          <w:b/>
          <w:bCs/>
          <w:rtl/>
        </w:rPr>
        <w:t>דין וחשבון 2014</w:t>
      </w:r>
      <w:r>
        <w:rPr>
          <w:rFonts w:hint="cs"/>
          <w:b/>
          <w:bCs/>
          <w:rtl/>
        </w:rPr>
        <w:t xml:space="preserve"> </w:t>
      </w:r>
      <w:r w:rsidRPr="009F7F52">
        <w:rPr>
          <w:rFonts w:hint="cs"/>
          <w:rtl/>
        </w:rPr>
        <w:t>(2015)</w:t>
      </w:r>
      <w:r>
        <w:rPr>
          <w:rFonts w:hint="cs"/>
          <w:rtl/>
        </w:rPr>
        <w:t>,</w:t>
      </w:r>
      <w:r w:rsidRPr="002C12FC">
        <w:rPr>
          <w:rFonts w:hint="cs"/>
          <w:rtl/>
        </w:rPr>
        <w:t xml:space="preserve"> עמ' 178</w:t>
      </w:r>
      <w:r>
        <w:rPr>
          <w:rFonts w:hint="cs"/>
          <w:rtl/>
        </w:rPr>
        <w:t>.</w:t>
      </w:r>
    </w:p>
  </w:footnote>
  <w:footnote w:id="43">
    <w:p w14:paraId="21B99857" w14:textId="77777777" w:rsidR="00223BE2" w:rsidRDefault="00223BE2" w:rsidP="004E073D">
      <w:pPr>
        <w:pStyle w:val="a9"/>
        <w:rPr>
          <w:rtl/>
        </w:rPr>
      </w:pPr>
      <w:r w:rsidRPr="004E073D">
        <w:footnoteRef/>
      </w:r>
      <w:r w:rsidRPr="004E073D">
        <w:rPr>
          <w:rtl/>
        </w:rPr>
        <w:t xml:space="preserve"> </w:t>
      </w:r>
      <w:r w:rsidRPr="004E073D">
        <w:rPr>
          <w:rtl/>
        </w:rPr>
        <w:tab/>
      </w:r>
      <w:r w:rsidRPr="004E073D">
        <w:rPr>
          <w:rFonts w:hint="cs"/>
          <w:rtl/>
        </w:rPr>
        <w:t>ההסכם נחתם בהמשך להחלטת הממשלה 2127 (27.10.14), שבה נקבע כי עמידר היא זרוע ביצוע של משרד הבינוי בתחום ההתחדשות העירונית</w:t>
      </w:r>
      <w:r>
        <w:rPr>
          <w:rFonts w:hint="cs"/>
          <w:rtl/>
        </w:rPr>
        <w:t>.</w:t>
      </w:r>
    </w:p>
  </w:footnote>
  <w:footnote w:id="44">
    <w:p w14:paraId="6815F814" w14:textId="77777777" w:rsidR="00223BE2" w:rsidRPr="004E073D" w:rsidRDefault="00223BE2" w:rsidP="004E073D">
      <w:pPr>
        <w:pStyle w:val="a9"/>
        <w:rPr>
          <w:rtl/>
        </w:rPr>
      </w:pPr>
      <w:r w:rsidRPr="004E073D">
        <w:rPr>
          <w:rStyle w:val="FootnoteReference"/>
          <w:vertAlign w:val="baseline"/>
        </w:rPr>
        <w:footnoteRef/>
      </w:r>
      <w:r w:rsidRPr="004E073D">
        <w:rPr>
          <w:rtl/>
        </w:rPr>
        <w:t xml:space="preserve"> </w:t>
      </w:r>
      <w:r w:rsidRPr="004E073D">
        <w:rPr>
          <w:rtl/>
        </w:rPr>
        <w:tab/>
      </w:r>
      <w:r w:rsidRPr="004E073D">
        <w:rPr>
          <w:rFonts w:hint="cs"/>
          <w:rtl/>
        </w:rPr>
        <w:t>הפרויקטים ביישובים הוד השרון, הרצלייה, חדרה, חולון, ירושלים, כפר סבא, רמת גן, רעננה ותל אביב-יפו. נוסף על כך, קיימים שלושה פרויקטים שנדונו במשרד הבינוי, אך טרם אושרו: בלוד - 120 יח"ד (צפי ל-589 יח"ד), בבת ים - 108 יח"ד (צפי ל-381 יח"ד) וברחובות - 18 יח"ד (צפי ל-149 יח"ד).</w:t>
      </w:r>
    </w:p>
  </w:footnote>
  <w:footnote w:id="45">
    <w:p w14:paraId="2DDAF321" w14:textId="77777777" w:rsidR="00223BE2" w:rsidRPr="004E073D" w:rsidRDefault="00223BE2" w:rsidP="004E073D">
      <w:pPr>
        <w:pStyle w:val="a9"/>
      </w:pPr>
      <w:r w:rsidRPr="004E073D">
        <w:rPr>
          <w:rStyle w:val="FootnoteReference"/>
          <w:vertAlign w:val="baseline"/>
        </w:rPr>
        <w:footnoteRef/>
      </w:r>
      <w:r w:rsidRPr="004E073D">
        <w:rPr>
          <w:rtl/>
        </w:rPr>
        <w:t xml:space="preserve"> </w:t>
      </w:r>
      <w:r w:rsidRPr="004E073D">
        <w:rPr>
          <w:rtl/>
        </w:rPr>
        <w:tab/>
        <w:t xml:space="preserve">"נכס עזוב" מוגדר </w:t>
      </w:r>
      <w:r w:rsidRPr="004E073D">
        <w:rPr>
          <w:rFonts w:hint="cs"/>
          <w:rtl/>
        </w:rPr>
        <w:t xml:space="preserve">בחוק האפוטרופוס הכללי, התשל"ח-1978 </w:t>
      </w:r>
      <w:r w:rsidRPr="004E073D">
        <w:rPr>
          <w:rtl/>
        </w:rPr>
        <w:t>כנכס שלא נמצא מי שרשאי ומסוגל לנהוג בו מנהג בעלים או לנהלו, או שבעל</w:t>
      </w:r>
      <w:r w:rsidRPr="004E073D">
        <w:rPr>
          <w:rFonts w:hint="cs"/>
          <w:rtl/>
        </w:rPr>
        <w:t>י</w:t>
      </w:r>
      <w:r w:rsidRPr="004E073D">
        <w:rPr>
          <w:rtl/>
        </w:rPr>
        <w:t>ו אינ</w:t>
      </w:r>
      <w:r w:rsidRPr="004E073D">
        <w:rPr>
          <w:rFonts w:hint="cs"/>
          <w:rtl/>
        </w:rPr>
        <w:t>ם</w:t>
      </w:r>
      <w:r w:rsidRPr="004E073D">
        <w:rPr>
          <w:rtl/>
        </w:rPr>
        <w:t xml:space="preserve"> ידוע</w:t>
      </w:r>
      <w:r w:rsidRPr="004E073D">
        <w:rPr>
          <w:rFonts w:hint="cs"/>
          <w:rtl/>
        </w:rPr>
        <w:t>ים</w:t>
      </w:r>
      <w:r w:rsidRPr="004E073D">
        <w:rPr>
          <w:rtl/>
        </w:rPr>
        <w:t>.</w:t>
      </w:r>
      <w:r w:rsidRPr="004E073D">
        <w:rPr>
          <w:rFonts w:hint="cs"/>
          <w:rtl/>
        </w:rPr>
        <w:t xml:space="preserve"> נכס עזוב יכול להיות נדל"ן, כספים, מיטלטלין וזכויות. בתקופת ניהול הנכס על האפוטרופוס הכללי לבצע פעולות לאיתור הבעלים שלו.</w:t>
      </w:r>
    </w:p>
  </w:footnote>
  <w:footnote w:id="46">
    <w:p w14:paraId="43AE06FD" w14:textId="77777777" w:rsidR="00223BE2" w:rsidRPr="004E073D" w:rsidRDefault="00223BE2" w:rsidP="004E073D">
      <w:pPr>
        <w:pStyle w:val="a9"/>
      </w:pPr>
      <w:r w:rsidRPr="004E073D">
        <w:rPr>
          <w:rStyle w:val="FootnoteReference"/>
          <w:vertAlign w:val="baseline"/>
        </w:rPr>
        <w:footnoteRef/>
      </w:r>
      <w:r w:rsidRPr="004E073D">
        <w:rPr>
          <w:rtl/>
        </w:rPr>
        <w:t xml:space="preserve"> </w:t>
      </w:r>
      <w:r w:rsidRPr="004E073D">
        <w:rPr>
          <w:rtl/>
        </w:rPr>
        <w:tab/>
      </w:r>
      <w:r w:rsidRPr="004E073D">
        <w:rPr>
          <w:rFonts w:hint="cs"/>
          <w:rtl/>
        </w:rPr>
        <w:t>לאחר קבלת אישור בית משפט.</w:t>
      </w:r>
    </w:p>
  </w:footnote>
  <w:footnote w:id="47">
    <w:p w14:paraId="064EF520" w14:textId="77777777" w:rsidR="00223BE2" w:rsidRDefault="00223BE2" w:rsidP="004E073D">
      <w:pPr>
        <w:pStyle w:val="a9"/>
        <w:rPr>
          <w:rtl/>
        </w:rPr>
      </w:pPr>
      <w:r w:rsidRPr="004E073D">
        <w:rPr>
          <w:rStyle w:val="FootnoteReference"/>
          <w:vertAlign w:val="baseline"/>
        </w:rPr>
        <w:footnoteRef/>
      </w:r>
      <w:r w:rsidRPr="004E073D">
        <w:rPr>
          <w:rtl/>
        </w:rPr>
        <w:t xml:space="preserve"> </w:t>
      </w:r>
      <w:r w:rsidRPr="004E073D">
        <w:rPr>
          <w:rtl/>
        </w:rPr>
        <w:tab/>
        <w:t>החלטה מס</w:t>
      </w:r>
      <w:r w:rsidRPr="004E073D">
        <w:rPr>
          <w:rFonts w:hint="cs"/>
          <w:rtl/>
        </w:rPr>
        <w:t>'</w:t>
      </w:r>
      <w:r w:rsidRPr="004E073D">
        <w:rPr>
          <w:rtl/>
        </w:rPr>
        <w:t xml:space="preserve"> 3794</w:t>
      </w:r>
      <w:r w:rsidRPr="00AD681E">
        <w:rPr>
          <w:rtl/>
        </w:rPr>
        <w:t xml:space="preserve"> </w:t>
      </w:r>
      <w:r>
        <w:rPr>
          <w:rFonts w:hint="cs"/>
          <w:rtl/>
        </w:rPr>
        <w:t>(</w:t>
      </w:r>
      <w:r w:rsidRPr="00AD681E">
        <w:rPr>
          <w:rtl/>
        </w:rPr>
        <w:t>13.05.2018</w:t>
      </w:r>
      <w:r>
        <w:rPr>
          <w:rFonts w:hint="cs"/>
          <w:rtl/>
        </w:rPr>
        <w:t>).</w:t>
      </w:r>
    </w:p>
  </w:footnote>
  <w:footnote w:id="48">
    <w:p w14:paraId="1E1E7E9B" w14:textId="77777777" w:rsidR="00223BE2" w:rsidRPr="00AB7539" w:rsidRDefault="00223BE2" w:rsidP="00AB7539">
      <w:pPr>
        <w:pStyle w:val="a9"/>
        <w:rPr>
          <w:rtl/>
        </w:rPr>
      </w:pPr>
      <w:r w:rsidRPr="00AB7539">
        <w:rPr>
          <w:rStyle w:val="FootnoteReference"/>
          <w:vertAlign w:val="baseline"/>
        </w:rPr>
        <w:footnoteRef/>
      </w:r>
      <w:r w:rsidRPr="00AB7539">
        <w:rPr>
          <w:rtl/>
        </w:rPr>
        <w:t xml:space="preserve"> </w:t>
      </w:r>
      <w:r w:rsidRPr="00AB7539">
        <w:rPr>
          <w:rtl/>
        </w:rPr>
        <w:tab/>
      </w:r>
      <w:r w:rsidRPr="00AB7539">
        <w:rPr>
          <w:rFonts w:hint="cs"/>
          <w:rtl/>
        </w:rPr>
        <w:t>על פי החלטת הממשלה 3799 (נג/28), "</w:t>
      </w:r>
      <w:r w:rsidRPr="00AB7539">
        <w:rPr>
          <w:rtl/>
        </w:rPr>
        <w:t>הקצאת דירות בשיכון הציבורי בנגב ובגליל לצורך אכלוס סטודנטים התורמים לקהילה</w:t>
      </w:r>
      <w:r w:rsidRPr="00AB7539">
        <w:rPr>
          <w:rFonts w:hint="cs"/>
          <w:rtl/>
        </w:rPr>
        <w:t>" (17.7.08).</w:t>
      </w:r>
    </w:p>
  </w:footnote>
  <w:footnote w:id="49">
    <w:p w14:paraId="12EBB9B5" w14:textId="77777777" w:rsidR="00223BE2" w:rsidRPr="00AB7539" w:rsidRDefault="00223BE2" w:rsidP="00AB7539">
      <w:pPr>
        <w:pStyle w:val="a9"/>
        <w:rPr>
          <w:rtl/>
        </w:rPr>
      </w:pPr>
      <w:r w:rsidRPr="00AB7539">
        <w:rPr>
          <w:rStyle w:val="FootnoteReference"/>
          <w:vertAlign w:val="baseline"/>
        </w:rPr>
        <w:footnoteRef/>
      </w:r>
      <w:r w:rsidRPr="00AB7539">
        <w:rPr>
          <w:rtl/>
        </w:rPr>
        <w:t xml:space="preserve"> </w:t>
      </w:r>
      <w:r w:rsidRPr="00AB7539">
        <w:rPr>
          <w:rtl/>
        </w:rPr>
        <w:tab/>
      </w:r>
      <w:r w:rsidRPr="00AB7539">
        <w:rPr>
          <w:rFonts w:hint="cs"/>
          <w:rtl/>
        </w:rPr>
        <w:t>על פי החלטת הממשלה 2208 (נג/12), "</w:t>
      </w:r>
      <w:r w:rsidRPr="00AB7539">
        <w:rPr>
          <w:rtl/>
        </w:rPr>
        <w:t>הקצאת דירות המנוהלות על ידי החברות המאכלסות בנגב ובגליל לצורך אכלוס גרעיני התיישבות התורמים לקהילה</w:t>
      </w:r>
      <w:r w:rsidRPr="00AB7539">
        <w:rPr>
          <w:rFonts w:hint="cs"/>
          <w:rtl/>
        </w:rPr>
        <w:t>" (12.8.2010).</w:t>
      </w:r>
    </w:p>
  </w:footnote>
  <w:footnote w:id="50">
    <w:p w14:paraId="78400D79" w14:textId="77777777" w:rsidR="00223BE2" w:rsidRPr="00AB7539" w:rsidRDefault="00223BE2" w:rsidP="00AB7539">
      <w:pPr>
        <w:pStyle w:val="a9"/>
        <w:rPr>
          <w:rtl/>
        </w:rPr>
      </w:pPr>
      <w:r w:rsidRPr="00AB7539">
        <w:rPr>
          <w:rStyle w:val="FootnoteReference"/>
          <w:vertAlign w:val="baseline"/>
        </w:rPr>
        <w:footnoteRef/>
      </w:r>
      <w:r w:rsidRPr="00AB7539">
        <w:rPr>
          <w:rtl/>
        </w:rPr>
        <w:tab/>
      </w:r>
      <w:r w:rsidRPr="00AB7539">
        <w:rPr>
          <w:rFonts w:hint="cs"/>
          <w:rtl/>
        </w:rPr>
        <w:t xml:space="preserve">מבקר המדינה, </w:t>
      </w:r>
      <w:r w:rsidRPr="00AB7539">
        <w:rPr>
          <w:rFonts w:hint="cs"/>
          <w:b/>
          <w:bCs/>
          <w:rtl/>
        </w:rPr>
        <w:t>דוח שנתי 64א</w:t>
      </w:r>
      <w:r w:rsidRPr="00AB7539">
        <w:rPr>
          <w:rFonts w:hint="cs"/>
          <w:rtl/>
        </w:rPr>
        <w:t xml:space="preserve"> (2013) בפרק </w:t>
      </w:r>
      <w:r w:rsidRPr="00AB7539">
        <w:rPr>
          <w:rtl/>
        </w:rPr>
        <w:t>"דירות דיור ציבורי שהושכרו שלא לזכאי דיור ציבורי"</w:t>
      </w:r>
      <w:r w:rsidRPr="00AB7539">
        <w:rPr>
          <w:rFonts w:hint="cs"/>
          <w:rtl/>
        </w:rPr>
        <w:t>, עמ' 314.</w:t>
      </w:r>
    </w:p>
  </w:footnote>
  <w:footnote w:id="51">
    <w:p w14:paraId="4C51C80D" w14:textId="77777777" w:rsidR="00223BE2" w:rsidRPr="00E5154C" w:rsidRDefault="00223BE2" w:rsidP="00AB7539">
      <w:pPr>
        <w:pStyle w:val="a9"/>
        <w:rPr>
          <w:rtl/>
        </w:rPr>
      </w:pPr>
      <w:r w:rsidRPr="00AB7539">
        <w:footnoteRef/>
      </w:r>
      <w:r w:rsidRPr="00AB7539">
        <w:rPr>
          <w:rtl/>
        </w:rPr>
        <w:t xml:space="preserve"> </w:t>
      </w:r>
      <w:r w:rsidRPr="00AB7539">
        <w:rPr>
          <w:rtl/>
        </w:rPr>
        <w:tab/>
      </w:r>
      <w:r>
        <w:rPr>
          <w:rFonts w:hint="cs"/>
          <w:rtl/>
        </w:rPr>
        <w:t>בנק ישראל,</w:t>
      </w:r>
      <w:r w:rsidRPr="00AD391C">
        <w:rPr>
          <w:rFonts w:hint="eastAsia"/>
          <w:b/>
          <w:bCs/>
          <w:rtl/>
        </w:rPr>
        <w:t xml:space="preserve"> </w:t>
      </w:r>
      <w:r w:rsidRPr="00BD5DFF">
        <w:rPr>
          <w:rFonts w:hint="eastAsia"/>
          <w:b/>
          <w:bCs/>
          <w:rtl/>
        </w:rPr>
        <w:t>דין</w:t>
      </w:r>
      <w:r w:rsidRPr="00BD5DFF">
        <w:rPr>
          <w:b/>
          <w:bCs/>
          <w:rtl/>
        </w:rPr>
        <w:t xml:space="preserve"> </w:t>
      </w:r>
      <w:r w:rsidRPr="00BD5DFF">
        <w:rPr>
          <w:rFonts w:hint="eastAsia"/>
          <w:b/>
          <w:bCs/>
          <w:rtl/>
        </w:rPr>
        <w:t>וחשבון</w:t>
      </w:r>
      <w:r w:rsidRPr="00BD5DFF">
        <w:rPr>
          <w:b/>
          <w:bCs/>
          <w:rtl/>
        </w:rPr>
        <w:t xml:space="preserve"> </w:t>
      </w:r>
      <w:r w:rsidRPr="00BD5DFF">
        <w:rPr>
          <w:rFonts w:hint="eastAsia"/>
          <w:b/>
          <w:bCs/>
          <w:rtl/>
        </w:rPr>
        <w:t>לשנת</w:t>
      </w:r>
      <w:r w:rsidRPr="00BD5DFF">
        <w:rPr>
          <w:b/>
          <w:bCs/>
          <w:rtl/>
        </w:rPr>
        <w:t xml:space="preserve"> 2018</w:t>
      </w:r>
      <w:r>
        <w:rPr>
          <w:rFonts w:hint="cs"/>
          <w:rtl/>
        </w:rPr>
        <w:t xml:space="preserve"> (2019)</w:t>
      </w:r>
      <w:r w:rsidRPr="00E5154C">
        <w:rPr>
          <w:rFonts w:hint="cs"/>
          <w:rtl/>
        </w:rPr>
        <w:t>, עמ' 199.</w:t>
      </w:r>
    </w:p>
  </w:footnote>
  <w:footnote w:id="52">
    <w:p w14:paraId="7874868B" w14:textId="77777777" w:rsidR="00223BE2" w:rsidRDefault="00223BE2" w:rsidP="00AB7539">
      <w:pPr>
        <w:pStyle w:val="a9"/>
        <w:rPr>
          <w:rtl/>
        </w:rPr>
      </w:pPr>
      <w:r w:rsidRPr="00AB7539">
        <w:footnoteRef/>
      </w:r>
      <w:r w:rsidRPr="00AB7539">
        <w:rPr>
          <w:rtl/>
        </w:rPr>
        <w:t xml:space="preserve"> </w:t>
      </w:r>
      <w:r w:rsidRPr="00AB7539">
        <w:rPr>
          <w:rtl/>
        </w:rPr>
        <w:tab/>
        <w:t>מבקר</w:t>
      </w:r>
      <w:r w:rsidRPr="00F269E0">
        <w:rPr>
          <w:rtl/>
        </w:rPr>
        <w:t xml:space="preserve"> המדינה, </w:t>
      </w:r>
      <w:r w:rsidRPr="00F269E0">
        <w:rPr>
          <w:b/>
          <w:bCs/>
          <w:rtl/>
        </w:rPr>
        <w:t>דוח שנתי 65</w:t>
      </w:r>
      <w:r>
        <w:rPr>
          <w:rFonts w:hint="cs"/>
          <w:b/>
          <w:bCs/>
          <w:rtl/>
        </w:rPr>
        <w:t>ג</w:t>
      </w:r>
      <w:r w:rsidRPr="00F269E0">
        <w:rPr>
          <w:b/>
          <w:bCs/>
          <w:rtl/>
        </w:rPr>
        <w:t xml:space="preserve"> (</w:t>
      </w:r>
      <w:r w:rsidRPr="00F269E0">
        <w:rPr>
          <w:rtl/>
        </w:rPr>
        <w:t>2015)</w:t>
      </w:r>
      <w:r>
        <w:rPr>
          <w:rFonts w:hint="cs"/>
          <w:rtl/>
        </w:rPr>
        <w:t>,</w:t>
      </w:r>
      <w:r w:rsidRPr="00F269E0">
        <w:rPr>
          <w:rtl/>
        </w:rPr>
        <w:t xml:space="preserve"> בפרק "סיוע בדיור לזכאים"</w:t>
      </w:r>
      <w:r>
        <w:rPr>
          <w:rFonts w:hint="cs"/>
          <w:rtl/>
        </w:rPr>
        <w:t>, עמ' 431.</w:t>
      </w:r>
      <w:r>
        <w:rPr>
          <w:rtl/>
        </w:rPr>
        <w:tab/>
      </w:r>
    </w:p>
  </w:footnote>
  <w:footnote w:id="53">
    <w:p w14:paraId="295A6AF3" w14:textId="77777777" w:rsidR="00223BE2" w:rsidRDefault="00223BE2" w:rsidP="00AB7539">
      <w:pPr>
        <w:pStyle w:val="a9"/>
      </w:pPr>
      <w:r w:rsidRPr="00AB7539">
        <w:footnoteRef/>
      </w:r>
      <w:r w:rsidRPr="00AB7539">
        <w:rPr>
          <w:rtl/>
        </w:rPr>
        <w:t xml:space="preserve"> </w:t>
      </w:r>
      <w:r w:rsidRPr="00AB7539">
        <w:rPr>
          <w:rtl/>
        </w:rPr>
        <w:tab/>
      </w:r>
      <w:r w:rsidRPr="00AB7539">
        <w:rPr>
          <w:rFonts w:hint="cs"/>
          <w:rtl/>
        </w:rPr>
        <w:t>מחדרה</w:t>
      </w:r>
      <w:r>
        <w:rPr>
          <w:rFonts w:hint="cs"/>
          <w:rtl/>
        </w:rPr>
        <w:t xml:space="preserve"> בצפון עד גדרה בדרום.</w:t>
      </w:r>
    </w:p>
  </w:footnote>
  <w:footnote w:id="54">
    <w:p w14:paraId="0CC5A7D9" w14:textId="77777777" w:rsidR="00223BE2" w:rsidRPr="0083391A" w:rsidRDefault="00223BE2" w:rsidP="0083391A">
      <w:pPr>
        <w:pStyle w:val="a9"/>
        <w:rPr>
          <w:rtl/>
        </w:rPr>
      </w:pPr>
      <w:r w:rsidRPr="0083391A">
        <w:rPr>
          <w:rStyle w:val="FootnoteReference"/>
          <w:vertAlign w:val="baseline"/>
        </w:rPr>
        <w:footnoteRef/>
      </w:r>
      <w:r w:rsidRPr="0083391A">
        <w:rPr>
          <w:rtl/>
        </w:rPr>
        <w:t xml:space="preserve"> </w:t>
      </w:r>
      <w:r w:rsidRPr="0083391A">
        <w:rPr>
          <w:rtl/>
        </w:rPr>
        <w:tab/>
      </w:r>
      <w:r w:rsidRPr="0083391A">
        <w:rPr>
          <w:rFonts w:hint="cs"/>
          <w:rtl/>
        </w:rPr>
        <w:t>בהתאם ליישוב המגורים, מספר החדרים בדירה והתאמתה לנכים רתוקים לכיסאות גלגלים.</w:t>
      </w:r>
    </w:p>
  </w:footnote>
  <w:footnote w:id="55">
    <w:p w14:paraId="15C4F2D2" w14:textId="77777777" w:rsidR="00223BE2" w:rsidRDefault="00223BE2" w:rsidP="0083391A">
      <w:pPr>
        <w:pStyle w:val="a9"/>
      </w:pPr>
      <w:r w:rsidRPr="0083391A">
        <w:footnoteRef/>
      </w:r>
      <w:r w:rsidRPr="0083391A">
        <w:rPr>
          <w:rtl/>
        </w:rPr>
        <w:t xml:space="preserve"> </w:t>
      </w:r>
      <w:r w:rsidRPr="0083391A">
        <w:rPr>
          <w:rtl/>
        </w:rPr>
        <w:tab/>
      </w:r>
      <w:r w:rsidRPr="0083391A">
        <w:rPr>
          <w:rFonts w:hint="cs"/>
          <w:rtl/>
        </w:rPr>
        <w:t>לפי ההגדרות של משרד הבינוי, דירה שאינה מאוכלסת נחשבת לדירה פנויה אם נותרה ריקה במשך שלושה חודשים</w:t>
      </w:r>
      <w:r>
        <w:rPr>
          <w:rFonts w:hint="cs"/>
          <w:rtl/>
        </w:rPr>
        <w:t xml:space="preserve"> ויותר. </w:t>
      </w:r>
    </w:p>
  </w:footnote>
  <w:footnote w:id="56">
    <w:p w14:paraId="3FA4249A" w14:textId="77777777" w:rsidR="00223BE2" w:rsidRPr="0083391A" w:rsidRDefault="00223BE2" w:rsidP="0083391A">
      <w:pPr>
        <w:pStyle w:val="a9"/>
        <w:rPr>
          <w:rtl/>
        </w:rPr>
      </w:pPr>
      <w:r w:rsidRPr="0083391A">
        <w:rPr>
          <w:rStyle w:val="FootnoteReference"/>
          <w:vertAlign w:val="baseline"/>
        </w:rPr>
        <w:footnoteRef/>
      </w:r>
      <w:r w:rsidRPr="0083391A">
        <w:rPr>
          <w:rtl/>
        </w:rPr>
        <w:t xml:space="preserve"> </w:t>
      </w:r>
      <w:r w:rsidRPr="0083391A">
        <w:rPr>
          <w:rtl/>
        </w:rPr>
        <w:tab/>
      </w:r>
      <w:r w:rsidRPr="0083391A">
        <w:rPr>
          <w:rFonts w:hint="cs"/>
          <w:rtl/>
        </w:rPr>
        <w:t xml:space="preserve">הצעת חוק הדיור הציבורי, התשנ"ח-1998, ה"ח הממשלה התשנ"ח מס' </w:t>
      </w:r>
      <w:r w:rsidRPr="0083391A">
        <w:rPr>
          <w:rtl/>
        </w:rPr>
        <w:t>2702</w:t>
      </w:r>
      <w:r w:rsidRPr="0083391A">
        <w:rPr>
          <w:rFonts w:hint="cs"/>
          <w:rtl/>
        </w:rPr>
        <w:t>, עמ' 306.</w:t>
      </w:r>
    </w:p>
  </w:footnote>
  <w:footnote w:id="57">
    <w:p w14:paraId="171CF845" w14:textId="77777777" w:rsidR="00223BE2" w:rsidRDefault="00223BE2" w:rsidP="0083391A">
      <w:pPr>
        <w:pStyle w:val="a9"/>
        <w:rPr>
          <w:rtl/>
        </w:rPr>
      </w:pPr>
      <w:r w:rsidRPr="0083391A">
        <w:rPr>
          <w:rStyle w:val="FootnoteReference"/>
          <w:vertAlign w:val="baseline"/>
        </w:rPr>
        <w:footnoteRef/>
      </w:r>
      <w:r w:rsidRPr="0083391A">
        <w:rPr>
          <w:rtl/>
        </w:rPr>
        <w:t xml:space="preserve"> </w:t>
      </w:r>
      <w:r w:rsidRPr="0083391A">
        <w:rPr>
          <w:rtl/>
        </w:rPr>
        <w:tab/>
      </w:r>
      <w:r w:rsidRPr="0083391A">
        <w:rPr>
          <w:rFonts w:hint="cs"/>
          <w:rtl/>
        </w:rPr>
        <w:t>מבקר</w:t>
      </w:r>
      <w:r>
        <w:rPr>
          <w:rFonts w:hint="cs"/>
          <w:rtl/>
        </w:rPr>
        <w:t xml:space="preserve"> המדינה, </w:t>
      </w:r>
      <w:r w:rsidRPr="00501014">
        <w:rPr>
          <w:rFonts w:hint="cs"/>
          <w:b/>
          <w:bCs/>
          <w:rtl/>
        </w:rPr>
        <w:t>דוח שנתי 65ג</w:t>
      </w:r>
      <w:r>
        <w:rPr>
          <w:rFonts w:hint="cs"/>
          <w:rtl/>
        </w:rPr>
        <w:t xml:space="preserve"> (2015), בפרק "אי-מיצוי של זכויות חברתיות", עמ' 3.</w:t>
      </w:r>
    </w:p>
  </w:footnote>
  <w:footnote w:id="58">
    <w:p w14:paraId="4D6D3E1E" w14:textId="77777777" w:rsidR="00223BE2" w:rsidRPr="00C07783" w:rsidRDefault="00223BE2" w:rsidP="0083391A">
      <w:pPr>
        <w:pStyle w:val="a9"/>
        <w:rPr>
          <w:rtl/>
        </w:rPr>
      </w:pPr>
      <w:r w:rsidRPr="0083391A">
        <w:footnoteRef/>
      </w:r>
      <w:r w:rsidRPr="0083391A">
        <w:rPr>
          <w:rtl/>
        </w:rPr>
        <w:t xml:space="preserve"> </w:t>
      </w:r>
      <w:r w:rsidRPr="0083391A">
        <w:rPr>
          <w:rtl/>
        </w:rPr>
        <w:tab/>
      </w:r>
      <w:r w:rsidRPr="00C07783">
        <w:rPr>
          <w:rtl/>
        </w:rPr>
        <w:t>מבקר המדינה</w:t>
      </w:r>
      <w:r>
        <w:rPr>
          <w:rFonts w:hint="cs"/>
          <w:rtl/>
        </w:rPr>
        <w:t>,</w:t>
      </w:r>
      <w:r w:rsidRPr="00C07783">
        <w:rPr>
          <w:rtl/>
        </w:rPr>
        <w:t xml:space="preserve"> </w:t>
      </w:r>
      <w:r w:rsidRPr="00F269E0">
        <w:rPr>
          <w:rFonts w:hint="cs"/>
          <w:b/>
          <w:bCs/>
          <w:rtl/>
        </w:rPr>
        <w:t xml:space="preserve">דוח שנתי 65א </w:t>
      </w:r>
      <w:r>
        <w:rPr>
          <w:rFonts w:hint="cs"/>
          <w:rtl/>
        </w:rPr>
        <w:t>(2015), בפרק "</w:t>
      </w:r>
      <w:r w:rsidRPr="00C07783">
        <w:rPr>
          <w:rtl/>
        </w:rPr>
        <w:t>סיוע בדיור לזכאים"</w:t>
      </w:r>
      <w:r>
        <w:rPr>
          <w:rFonts w:hint="cs"/>
          <w:rtl/>
        </w:rPr>
        <w:t>,</w:t>
      </w:r>
      <w:r w:rsidRPr="00C07783">
        <w:rPr>
          <w:rtl/>
        </w:rPr>
        <w:t xml:space="preserve"> </w:t>
      </w:r>
      <w:r>
        <w:rPr>
          <w:rFonts w:hint="cs"/>
          <w:rtl/>
        </w:rPr>
        <w:t>עמ</w:t>
      </w:r>
      <w:r w:rsidRPr="009D799A">
        <w:rPr>
          <w:rFonts w:hint="cs"/>
          <w:rtl/>
        </w:rPr>
        <w:t>' 431.</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267FD00C" w:rsidR="00223BE2" w:rsidRDefault="00223BE2" w:rsidP="005138F5">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58240" behindDoc="1" locked="0" layoutInCell="1" allowOverlap="1" wp14:anchorId="39C805EF" wp14:editId="1DF73C18">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sidR="00FA6860">
      <w:rPr>
        <w:rtl/>
      </w:rPr>
      <w:t xml:space="preserve">- </w:t>
    </w:r>
    <w:r w:rsidR="00FA6860">
      <w:rPr>
        <w:rtl/>
      </w:rPr>
      <w:fldChar w:fldCharType="begin"/>
    </w:r>
    <w:r w:rsidR="00FA6860">
      <w:rPr>
        <w:rtl/>
      </w:rPr>
      <w:instrText xml:space="preserve"> </w:instrText>
    </w:r>
    <w:r w:rsidR="00FA6860">
      <w:instrText xml:space="preserve">PAGE </w:instrText>
    </w:r>
    <w:r w:rsidR="00FA6860">
      <w:rPr>
        <w:rtl/>
      </w:rPr>
      <w:instrText xml:space="preserve"> \* </w:instrText>
    </w:r>
    <w:r w:rsidR="00FA6860">
      <w:instrText>MERGEFORMAT</w:instrText>
    </w:r>
    <w:r w:rsidR="00FA6860">
      <w:rPr>
        <w:rtl/>
      </w:rPr>
      <w:instrText xml:space="preserve"> </w:instrText>
    </w:r>
    <w:r w:rsidR="00FA6860">
      <w:rPr>
        <w:rtl/>
      </w:rPr>
      <w:fldChar w:fldCharType="separate"/>
    </w:r>
    <w:r w:rsidR="00FA6860">
      <w:rPr>
        <w:rtl/>
      </w:rPr>
      <w:t>2</w:t>
    </w:r>
    <w:r w:rsidR="00FA6860">
      <w:rPr>
        <w:rtl/>
      </w:rPr>
      <w:fldChar w:fldCharType="end"/>
    </w:r>
    <w:r w:rsidR="00FA6860">
      <w:t xml:space="preserve"> </w:t>
    </w:r>
    <w:r w:rsidR="00FA6860">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223BE2" w:rsidRPr="001526AC" w:rsidRDefault="00223BE2"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223BE2" w:rsidRPr="00D15500" w:rsidRDefault="00223BE2"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752" behindDoc="0" locked="0" layoutInCell="1" allowOverlap="1" wp14:anchorId="6BA65175" wp14:editId="30C92B61">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728" behindDoc="0" locked="0" layoutInCell="1" allowOverlap="1" wp14:anchorId="3B115B17" wp14:editId="3091E6BB">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223BE2" w:rsidRPr="005B4811" w:rsidRDefault="00223BE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223BE2" w:rsidRPr="005B4811" w:rsidRDefault="00223BE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6704" behindDoc="0" locked="0" layoutInCell="1" allowOverlap="1" wp14:anchorId="7228728C" wp14:editId="684D5A24">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223BE2" w:rsidRPr="005B4811" w:rsidRDefault="00223BE2"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223BE2" w:rsidRPr="005B4811" w:rsidRDefault="00223BE2"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776" behindDoc="0" locked="0" layoutInCell="1" allowOverlap="1" wp14:anchorId="0C55D6D8" wp14:editId="7A87F87B">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3"/>
  </w:num>
  <w:num w:numId="2">
    <w:abstractNumId w:val="6"/>
  </w:num>
  <w:num w:numId="3">
    <w:abstractNumId w:val="10"/>
  </w:num>
  <w:num w:numId="4">
    <w:abstractNumId w:val="8"/>
  </w:num>
  <w:num w:numId="5">
    <w:abstractNumId w:val="4"/>
  </w:num>
  <w:num w:numId="6">
    <w:abstractNumId w:val="5"/>
  </w:num>
  <w:num w:numId="7">
    <w:abstractNumId w:val="11"/>
  </w:num>
  <w:num w:numId="8">
    <w:abstractNumId w:val="0"/>
  </w:num>
  <w:num w:numId="9">
    <w:abstractNumId w:val="7"/>
  </w:num>
  <w:num w:numId="10">
    <w:abstractNumId w:val="2"/>
  </w:num>
  <w:num w:numId="11">
    <w:abstractNumId w:val="9"/>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1FFB"/>
    <w:rsid w:val="00023E81"/>
    <w:rsid w:val="00024E0C"/>
    <w:rsid w:val="000251E2"/>
    <w:rsid w:val="0002582E"/>
    <w:rsid w:val="00026367"/>
    <w:rsid w:val="000264D7"/>
    <w:rsid w:val="00026ACC"/>
    <w:rsid w:val="0002705C"/>
    <w:rsid w:val="000303C9"/>
    <w:rsid w:val="00031C68"/>
    <w:rsid w:val="00031C69"/>
    <w:rsid w:val="00031CEB"/>
    <w:rsid w:val="00032932"/>
    <w:rsid w:val="0003410F"/>
    <w:rsid w:val="0003494D"/>
    <w:rsid w:val="00035B80"/>
    <w:rsid w:val="00036B0F"/>
    <w:rsid w:val="0003781B"/>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3297"/>
    <w:rsid w:val="00063A11"/>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7CC"/>
    <w:rsid w:val="000E4DF7"/>
    <w:rsid w:val="000E50E1"/>
    <w:rsid w:val="000E5149"/>
    <w:rsid w:val="000E5834"/>
    <w:rsid w:val="000E6198"/>
    <w:rsid w:val="000E6F44"/>
    <w:rsid w:val="000E73AF"/>
    <w:rsid w:val="000E7622"/>
    <w:rsid w:val="000F158C"/>
    <w:rsid w:val="000F1DEA"/>
    <w:rsid w:val="000F2408"/>
    <w:rsid w:val="000F3700"/>
    <w:rsid w:val="000F4578"/>
    <w:rsid w:val="000F4B6E"/>
    <w:rsid w:val="000F60AB"/>
    <w:rsid w:val="000F6F38"/>
    <w:rsid w:val="000F76A8"/>
    <w:rsid w:val="000F7725"/>
    <w:rsid w:val="000F78AE"/>
    <w:rsid w:val="00101157"/>
    <w:rsid w:val="00101681"/>
    <w:rsid w:val="00101BB0"/>
    <w:rsid w:val="00101D0F"/>
    <w:rsid w:val="0010231B"/>
    <w:rsid w:val="001026B0"/>
    <w:rsid w:val="00102EF3"/>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1C9"/>
    <w:rsid w:val="001A72F6"/>
    <w:rsid w:val="001A7D06"/>
    <w:rsid w:val="001B1655"/>
    <w:rsid w:val="001B17FB"/>
    <w:rsid w:val="001B2821"/>
    <w:rsid w:val="001B285C"/>
    <w:rsid w:val="001B2ACB"/>
    <w:rsid w:val="001B2D16"/>
    <w:rsid w:val="001B2DBB"/>
    <w:rsid w:val="001B3BE6"/>
    <w:rsid w:val="001B3EFA"/>
    <w:rsid w:val="001B41A2"/>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6714"/>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135F"/>
    <w:rsid w:val="0021150C"/>
    <w:rsid w:val="002127FD"/>
    <w:rsid w:val="00212B04"/>
    <w:rsid w:val="00212EEA"/>
    <w:rsid w:val="002130B4"/>
    <w:rsid w:val="00214BC0"/>
    <w:rsid w:val="00214CAA"/>
    <w:rsid w:val="002154D1"/>
    <w:rsid w:val="00215BEE"/>
    <w:rsid w:val="0021654E"/>
    <w:rsid w:val="0022072A"/>
    <w:rsid w:val="0022100A"/>
    <w:rsid w:val="00221160"/>
    <w:rsid w:val="002213EE"/>
    <w:rsid w:val="00221922"/>
    <w:rsid w:val="00221B94"/>
    <w:rsid w:val="00222AAD"/>
    <w:rsid w:val="00223BE2"/>
    <w:rsid w:val="002240BA"/>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0C02"/>
    <w:rsid w:val="002419F2"/>
    <w:rsid w:val="00243E20"/>
    <w:rsid w:val="00244096"/>
    <w:rsid w:val="0024417D"/>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25F5"/>
    <w:rsid w:val="00343B0B"/>
    <w:rsid w:val="00344346"/>
    <w:rsid w:val="00345868"/>
    <w:rsid w:val="0034637E"/>
    <w:rsid w:val="003466B0"/>
    <w:rsid w:val="00346930"/>
    <w:rsid w:val="00347612"/>
    <w:rsid w:val="00347A15"/>
    <w:rsid w:val="003513C7"/>
    <w:rsid w:val="0035145F"/>
    <w:rsid w:val="00351F4E"/>
    <w:rsid w:val="0035448A"/>
    <w:rsid w:val="00355453"/>
    <w:rsid w:val="003559A1"/>
    <w:rsid w:val="00355B59"/>
    <w:rsid w:val="00356540"/>
    <w:rsid w:val="00356926"/>
    <w:rsid w:val="00356C79"/>
    <w:rsid w:val="00356CD5"/>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862"/>
    <w:rsid w:val="00426CE7"/>
    <w:rsid w:val="00426D50"/>
    <w:rsid w:val="004276E0"/>
    <w:rsid w:val="00427A72"/>
    <w:rsid w:val="00427D9F"/>
    <w:rsid w:val="0043027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5BC0"/>
    <w:rsid w:val="00455C7E"/>
    <w:rsid w:val="00456A60"/>
    <w:rsid w:val="00456AD9"/>
    <w:rsid w:val="00456F88"/>
    <w:rsid w:val="00460179"/>
    <w:rsid w:val="00460B1C"/>
    <w:rsid w:val="00462348"/>
    <w:rsid w:val="00463683"/>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E073D"/>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05AEC"/>
    <w:rsid w:val="00510184"/>
    <w:rsid w:val="00510973"/>
    <w:rsid w:val="00510D89"/>
    <w:rsid w:val="00511F6D"/>
    <w:rsid w:val="005130A4"/>
    <w:rsid w:val="0051326F"/>
    <w:rsid w:val="005138F5"/>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757"/>
    <w:rsid w:val="0057527E"/>
    <w:rsid w:val="00575A1D"/>
    <w:rsid w:val="00575A7F"/>
    <w:rsid w:val="005764A9"/>
    <w:rsid w:val="00576529"/>
    <w:rsid w:val="00576867"/>
    <w:rsid w:val="00576B92"/>
    <w:rsid w:val="00576D2C"/>
    <w:rsid w:val="00576EFD"/>
    <w:rsid w:val="00577BC4"/>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5FF4"/>
    <w:rsid w:val="006E6297"/>
    <w:rsid w:val="006E6560"/>
    <w:rsid w:val="006E663F"/>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1781"/>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BF1"/>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82C"/>
    <w:rsid w:val="007A711B"/>
    <w:rsid w:val="007A75A0"/>
    <w:rsid w:val="007A7E74"/>
    <w:rsid w:val="007A7F2A"/>
    <w:rsid w:val="007B0184"/>
    <w:rsid w:val="007B06A5"/>
    <w:rsid w:val="007B0A01"/>
    <w:rsid w:val="007B0C46"/>
    <w:rsid w:val="007B112B"/>
    <w:rsid w:val="007B566B"/>
    <w:rsid w:val="007B5B26"/>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91A"/>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33D"/>
    <w:rsid w:val="00845894"/>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72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3B97"/>
    <w:rsid w:val="00954408"/>
    <w:rsid w:val="00954FE1"/>
    <w:rsid w:val="0095542B"/>
    <w:rsid w:val="009556AE"/>
    <w:rsid w:val="00955DD9"/>
    <w:rsid w:val="009565BD"/>
    <w:rsid w:val="00956939"/>
    <w:rsid w:val="00956AAC"/>
    <w:rsid w:val="00956AB0"/>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3218"/>
    <w:rsid w:val="009F394C"/>
    <w:rsid w:val="009F3A44"/>
    <w:rsid w:val="009F556C"/>
    <w:rsid w:val="009F711E"/>
    <w:rsid w:val="009F7F2B"/>
    <w:rsid w:val="00A0001D"/>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AF7"/>
    <w:rsid w:val="00A2405B"/>
    <w:rsid w:val="00A2551C"/>
    <w:rsid w:val="00A25C16"/>
    <w:rsid w:val="00A2617B"/>
    <w:rsid w:val="00A27672"/>
    <w:rsid w:val="00A30028"/>
    <w:rsid w:val="00A301EF"/>
    <w:rsid w:val="00A3040F"/>
    <w:rsid w:val="00A3123A"/>
    <w:rsid w:val="00A3168A"/>
    <w:rsid w:val="00A31CD2"/>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26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3B6"/>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4D52"/>
    <w:rsid w:val="00AA6669"/>
    <w:rsid w:val="00AA690A"/>
    <w:rsid w:val="00AA6AB3"/>
    <w:rsid w:val="00AA6D26"/>
    <w:rsid w:val="00AA74C0"/>
    <w:rsid w:val="00AB0541"/>
    <w:rsid w:val="00AB09EE"/>
    <w:rsid w:val="00AB19B4"/>
    <w:rsid w:val="00AB2400"/>
    <w:rsid w:val="00AB25DF"/>
    <w:rsid w:val="00AB5377"/>
    <w:rsid w:val="00AB5B77"/>
    <w:rsid w:val="00AB7539"/>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13"/>
    <w:rsid w:val="00B242E1"/>
    <w:rsid w:val="00B24980"/>
    <w:rsid w:val="00B25B42"/>
    <w:rsid w:val="00B2635D"/>
    <w:rsid w:val="00B267F1"/>
    <w:rsid w:val="00B2725F"/>
    <w:rsid w:val="00B27998"/>
    <w:rsid w:val="00B308E1"/>
    <w:rsid w:val="00B31D3D"/>
    <w:rsid w:val="00B331DC"/>
    <w:rsid w:val="00B33BCF"/>
    <w:rsid w:val="00B351A7"/>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7C72"/>
    <w:rsid w:val="00B507E9"/>
    <w:rsid w:val="00B50878"/>
    <w:rsid w:val="00B50D0F"/>
    <w:rsid w:val="00B51EF7"/>
    <w:rsid w:val="00B524C0"/>
    <w:rsid w:val="00B52CF9"/>
    <w:rsid w:val="00B52D9E"/>
    <w:rsid w:val="00B53C31"/>
    <w:rsid w:val="00B5445A"/>
    <w:rsid w:val="00B555A9"/>
    <w:rsid w:val="00B55E82"/>
    <w:rsid w:val="00B563AF"/>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0B7"/>
    <w:rsid w:val="00B805C4"/>
    <w:rsid w:val="00B81548"/>
    <w:rsid w:val="00B81633"/>
    <w:rsid w:val="00B8176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163D"/>
    <w:rsid w:val="00C017CA"/>
    <w:rsid w:val="00C02152"/>
    <w:rsid w:val="00C0264E"/>
    <w:rsid w:val="00C03CE8"/>
    <w:rsid w:val="00C0494D"/>
    <w:rsid w:val="00C05806"/>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18DA"/>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D52"/>
    <w:rsid w:val="00C43FBA"/>
    <w:rsid w:val="00C441CC"/>
    <w:rsid w:val="00C44475"/>
    <w:rsid w:val="00C44F87"/>
    <w:rsid w:val="00C45757"/>
    <w:rsid w:val="00C46807"/>
    <w:rsid w:val="00C50B1E"/>
    <w:rsid w:val="00C51C72"/>
    <w:rsid w:val="00C521B4"/>
    <w:rsid w:val="00C52914"/>
    <w:rsid w:val="00C544CC"/>
    <w:rsid w:val="00C546E7"/>
    <w:rsid w:val="00C55114"/>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7DB"/>
    <w:rsid w:val="00CC0A26"/>
    <w:rsid w:val="00CC0AB1"/>
    <w:rsid w:val="00CC341C"/>
    <w:rsid w:val="00CC3645"/>
    <w:rsid w:val="00CC3F55"/>
    <w:rsid w:val="00CC54B1"/>
    <w:rsid w:val="00CC5CE1"/>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8F6"/>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53B"/>
    <w:rsid w:val="00E327E4"/>
    <w:rsid w:val="00E32E77"/>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C93"/>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35"/>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860"/>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0A2A98B"/>
  <w15:docId w15:val="{DBA9E1E3-E389-4F6C-A2BB-9ACAA8963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2240BA"/>
    <w:pPr>
      <w:spacing w:before="120"/>
    </w:pPr>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aff8">
    <w:name w:val="נבנצאל"/>
    <w:basedOn w:val="Normal"/>
    <w:next w:val="Normal"/>
    <w:link w:val="aff9"/>
    <w:uiPriority w:val="99"/>
    <w:rsid w:val="00C218DA"/>
    <w:pPr>
      <w:ind w:left="-567"/>
    </w:pPr>
    <w:rPr>
      <w:szCs w:val="20"/>
    </w:rPr>
  </w:style>
  <w:style w:type="character" w:customStyle="1" w:styleId="aff9">
    <w:name w:val="נבנצאל תו"/>
    <w:basedOn w:val="DefaultParagraphFont"/>
    <w:link w:val="aff8"/>
    <w:uiPriority w:val="99"/>
    <w:rsid w:val="00C218DA"/>
    <w:rPr>
      <w:szCs w:val="20"/>
    </w:rPr>
  </w:style>
  <w:style w:type="character" w:customStyle="1" w:styleId="Bodytext2Italic">
    <w:name w:val="Body text (2) + Italic"/>
    <w:aliases w:val="Spacing 0 pt"/>
    <w:basedOn w:val="Bodytext2"/>
    <w:rsid w:val="00C218DA"/>
    <w:rPr>
      <w:rFonts w:ascii="David" w:eastAsia="David" w:hAnsi="David" w:cs="Times New Roman"/>
      <w:i/>
      <w:iCs/>
      <w:color w:val="000000"/>
      <w:spacing w:val="-10"/>
      <w:w w:val="100"/>
      <w:position w:val="0"/>
      <w:sz w:val="24"/>
      <w:szCs w:val="24"/>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chart" Target="charts/chart7.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3.jpeg"/><Relationship Id="rId30" Type="http://schemas.openxmlformats.org/officeDocument/2006/relationships/footer" Target="footer2.xm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mvtanas\MVTANAS\Social%20Dev\Agaf_17\70&#1490;\&#1502;&#1499;&#1497;&#1512;&#1492;%20&#1493;&#1512;&#1499;&#1497;&#1513;&#1492;%20&#1513;&#1500;%20&#1491;&#1497;&#1512;&#1493;&#1514;%20&#1492;&#1491;&#1497;&#1493;&#1512;%20&#1492;&#1510;&#1497;&#1489;&#1493;&#1512;&#1497;\&#1502;&#1488;&#1490;&#1512;&#1497;%20&#1502;&#1497;&#1491;&#1506;\25.9.19%20&#1492;&#1514;&#1508;&#1500;&#1490;&#1493;&#1514;%20&#1504;&#1499;&#1505;&#1497;%20&#1491;&#1497;&#1493;&#1512;%20&#1510;&#1497;&#1489;&#1493;&#1512;&#1497;%20&#1500;&#1508;&#1497;%20&#1495;&#1489;&#1512;&#1493;&#1514;%20&#1502;&#1488;&#1499;&#1500;&#1505;&#1493;&#1514;%20&#1502;&#1495;&#1493;&#1494;%20&#1493;&#1497;&#1497;&#1513;&#1493;&#1489;.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mvtanas\MVTANAS\Social%20Dev\Agaf_17\70&#1490;\&#1502;&#1499;&#1497;&#1512;&#1492;%20&#1493;&#1512;&#1499;&#1497;&#1513;&#1492;%20&#1513;&#1500;%20&#1491;&#1497;&#1512;&#1493;&#1514;%20&#1492;&#1491;&#1497;&#1493;&#1512;%20&#1492;&#1510;&#1497;&#1489;&#1493;&#1512;&#1497;\&#1508;&#1504;&#1497;&#1497;&#1492;\&#1496;&#1497;&#1493;&#1496;&#1493;&#1514;%20&#1508;&#1504;&#1497;&#1497;&#1492;\&#1504;&#1514;&#1493;&#1504;&#1497;&#1501;%20&#1513;&#1502;&#1493;&#1496;&#1497;%20&#1506;&#1497;&#1489;&#1491;%20&#1493;&#1502;&#1513;&#1502;&#1513;&#1497;&#1501;%20&#1500;&#1508;&#1504;&#1497;&#1497;&#1492;-&#1502;&#1499;&#1512;%20&#1493;&#1512;&#1499;&#151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mvtanas\MVTANAS\Social%20Dev\Agaf_17\70&#1490;\&#1502;&#1499;&#1497;&#1512;&#1492;%20&#1493;&#1512;&#1499;&#1497;&#1513;&#1492;%20&#1513;&#1500;%20&#1491;&#1497;&#1512;&#1493;&#1514;%20&#1492;&#1491;&#1497;&#1493;&#1512;%20&#1492;&#1510;&#1497;&#1489;&#1493;&#1512;&#1497;\&#1502;&#1488;&#1490;&#1512;&#1497;%20&#1502;&#1497;&#1491;&#1506;\&#1488;&#1511;&#1505;&#1500;%20&#1500;&#1514;&#1512;&#1513;&#1497;&#1501;%205.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mvtanas\MVTANAS\Social%20Dev\Agaf_17\70&#1490;\&#1502;&#1499;&#1497;&#1512;&#1492;%20&#1493;&#1512;&#1499;&#1497;&#1513;&#1492;%20&#1513;&#1500;%20&#1491;&#1497;&#1512;&#1493;&#1514;%20&#1492;&#1491;&#1497;&#1493;&#1512;%20&#1492;&#1510;&#1497;&#1489;&#1493;&#1512;&#1497;\&#1508;&#1504;&#1497;&#1497;&#1492;\&#1496;&#1497;&#1493;&#1496;&#1493;&#1514;%20&#1508;&#1504;&#1497;&#1497;&#1492;\&#1504;&#1514;&#1493;&#1504;&#1497;&#1501;%20&#1513;&#1502;&#1493;&#1496;&#1497;%20&#1506;&#1497;&#1489;&#1491;%20&#1493;&#1502;&#1513;&#1502;&#1513;&#1497;&#1501;%20&#1500;&#1508;&#1504;&#1497;&#1497;&#1492;-&#1502;&#1499;&#1512;%20&#1493;&#1512;&#1499;&#151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mvtanas\MVTANAS\Social%20Dev\Agaf_17\70&#1490;\&#1502;&#1499;&#1497;&#1512;&#1492;%20&#1493;&#1512;&#1499;&#1497;&#1513;&#1492;%20&#1513;&#1500;%20&#1491;&#1497;&#1512;&#1493;&#1514;%20&#1492;&#1491;&#1497;&#1493;&#1512;%20&#1492;&#1510;&#1497;&#1489;&#1493;&#1512;&#1497;\&#1508;&#1504;&#1497;&#1497;&#1492;\&#1496;&#1497;&#1493;&#1496;&#1493;&#1514;%20&#1508;&#1504;&#1497;&#1497;&#1492;\&#1504;&#1514;&#1493;&#1504;&#1497;&#1501;%20&#1513;&#1502;&#1493;&#1496;&#1497;%20&#1506;&#1497;&#1489;&#1491;%20&#1493;&#1502;&#1513;&#1502;&#1513;&#1497;&#1501;%20&#1500;&#1508;&#1504;&#1497;&#1497;&#1492;-&#1502;&#1499;&#1512;%20&#1493;&#1512;&#1499;&#151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mvtanas\MVTANAS\Social%20Dev\Agaf_17\70&#1490;\&#1502;&#1499;&#1497;&#1512;&#1492;%20&#1493;&#1512;&#1499;&#1497;&#1513;&#1492;%20&#1513;&#1500;%20&#1491;&#1497;&#1512;&#1493;&#1514;%20&#1492;&#1491;&#1497;&#1493;&#1512;%20&#1492;&#1510;&#1497;&#1489;&#1493;&#1512;&#1497;\&#1508;&#1504;&#1497;&#1497;&#1492;\&#1496;&#1497;&#1493;&#1496;&#1493;&#1514;%20&#1508;&#1504;&#1497;&#1497;&#1492;\&#1504;&#1514;&#1493;&#1504;&#1497;&#1501;%20&#1513;&#1502;&#1493;&#1496;&#1497;%20&#1506;&#1497;&#1489;&#1491;%20&#1493;&#1502;&#1513;&#1502;&#1513;&#1497;&#1501;%20&#1500;&#1508;&#1504;&#1497;&#1497;&#1492;-&#1502;&#1499;&#1512;%20&#1493;&#1512;&#1499;&#151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mvtanas\MVTANAS\Social%20Dev\Agaf_17\70&#1490;\&#1502;&#1499;&#1497;&#1512;&#1492;%20&#1493;&#1512;&#1499;&#1497;&#1513;&#1492;%20&#1513;&#1500;%20&#1491;&#1497;&#1512;&#1493;&#1514;%20&#1492;&#1491;&#1497;&#1493;&#1512;%20&#1492;&#1510;&#1497;&#1489;&#1493;&#1512;&#1497;\&#1508;&#1504;&#1497;&#1497;&#1492;\&#1496;&#1497;&#1493;&#1496;&#1493;&#1514;%20&#1508;&#1504;&#1497;&#1497;&#1492;\&#1504;&#1514;&#1493;&#1504;&#1497;&#1501;%20&#1513;&#1502;&#1493;&#1496;&#1497;%20&#1506;&#1497;&#1489;&#1491;%20&#1493;&#1502;&#1513;&#1502;&#1513;&#1497;&#1501;%20&#1500;&#1508;&#1504;&#1497;&#1497;&#1492;-&#1502;&#1499;&#1512;%20&#1493;&#1512;&#1499;&#151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'ריכוז דירות ודיירים לפי מחוזות'!$B$62</c:f>
              <c:strCache>
                <c:ptCount val="1"/>
                <c:pt idx="0">
                  <c:v>שיעור דיירי הדיור הציבורי מכלל דיירי הדיור הציבורי</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'ריכוז דירות ודיירים לפי מחוזות'!$A$63:$A$67</c:f>
              <c:strCache>
                <c:ptCount val="5"/>
                <c:pt idx="0">
                  <c:v>גליל</c:v>
                </c:pt>
                <c:pt idx="1">
                  <c:v>דרום</c:v>
                </c:pt>
                <c:pt idx="2">
                  <c:v>חיפה</c:v>
                </c:pt>
                <c:pt idx="3">
                  <c:v>ירושלים</c:v>
                </c:pt>
                <c:pt idx="4">
                  <c:v>מרכז</c:v>
                </c:pt>
              </c:strCache>
            </c:strRef>
          </c:cat>
          <c:val>
            <c:numRef>
              <c:f>'ריכוז דירות ודיירים לפי מחוזות'!$B$63:$B$67</c:f>
              <c:numCache>
                <c:formatCode>0%</c:formatCode>
                <c:ptCount val="5"/>
                <c:pt idx="0">
                  <c:v>0.16944998882561016</c:v>
                </c:pt>
                <c:pt idx="1">
                  <c:v>0.211648808193525</c:v>
                </c:pt>
                <c:pt idx="2">
                  <c:v>0.15195410793689901</c:v>
                </c:pt>
                <c:pt idx="3">
                  <c:v>0.15735852837139047</c:v>
                </c:pt>
                <c:pt idx="4">
                  <c:v>0.30958856667257501</c:v>
                </c:pt>
              </c:numCache>
            </c:numRef>
          </c:val>
          <c:extLst>
            <c:ext xmlns:c16="http://schemas.microsoft.com/office/drawing/2014/chart" uri="{C3380CC4-5D6E-409C-BE32-E72D297353CC}">
              <c16:uniqueId val="{00000000-FB9B-4E9E-B37D-9FFA36DB0A99}"/>
            </c:ext>
          </c:extLst>
        </c:ser>
        <c:ser>
          <c:idx val="1"/>
          <c:order val="1"/>
          <c:tx>
            <c:strRef>
              <c:f>'ריכוז דירות ודיירים לפי מחוזות'!$C$62</c:f>
              <c:strCache>
                <c:ptCount val="1"/>
                <c:pt idx="0">
                  <c:v>שיעור התושבים מכלל תושבי המדינה</c:v>
                </c:pt>
              </c:strCache>
            </c:strRef>
          </c:tx>
          <c:spPr>
            <a:solidFill>
              <a:srgbClr val="92D050"/>
            </a:solidFill>
            <a:ln>
              <a:noFill/>
            </a:ln>
            <a:effectLst/>
          </c:spPr>
          <c:invertIfNegative val="0"/>
          <c:dLbls>
            <c:dLbl>
              <c:idx val="2"/>
              <c:layout>
                <c:manualLayout>
                  <c:x val="2.8131610131012104E-3"/>
                  <c:y val="-3.83141762452100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9B-4E9E-B37D-9FFA36DB0A9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'ריכוז דירות ודיירים לפי מחוזות'!$A$63:$A$67</c:f>
              <c:strCache>
                <c:ptCount val="5"/>
                <c:pt idx="0">
                  <c:v>גליל</c:v>
                </c:pt>
                <c:pt idx="1">
                  <c:v>דרום</c:v>
                </c:pt>
                <c:pt idx="2">
                  <c:v>חיפה</c:v>
                </c:pt>
                <c:pt idx="3">
                  <c:v>ירושלים</c:v>
                </c:pt>
                <c:pt idx="4">
                  <c:v>מרכז</c:v>
                </c:pt>
              </c:strCache>
            </c:strRef>
          </c:cat>
          <c:val>
            <c:numRef>
              <c:f>'ריכוז דירות ודיירים לפי מחוזות'!$C$63:$C$67</c:f>
              <c:numCache>
                <c:formatCode>0%</c:formatCode>
                <c:ptCount val="5"/>
                <c:pt idx="0">
                  <c:v>0.13084800324666951</c:v>
                </c:pt>
                <c:pt idx="1">
                  <c:v>8.0429153647602197E-2</c:v>
                </c:pt>
                <c:pt idx="2">
                  <c:v>0.152234676768945</c:v>
                </c:pt>
                <c:pt idx="3">
                  <c:v>0.18502978119946784</c:v>
                </c:pt>
                <c:pt idx="4">
                  <c:v>0.45145838513731601</c:v>
                </c:pt>
              </c:numCache>
            </c:numRef>
          </c:val>
          <c:extLst>
            <c:ext xmlns:c16="http://schemas.microsoft.com/office/drawing/2014/chart" uri="{C3380CC4-5D6E-409C-BE32-E72D297353CC}">
              <c16:uniqueId val="{00000002-FB9B-4E9E-B37D-9FFA36DB0A99}"/>
            </c:ext>
          </c:extLst>
        </c:ser>
        <c:dLbls>
          <c:showLegendKey val="0"/>
          <c:showVal val="0"/>
          <c:showCatName val="0"/>
          <c:showSerName val="0"/>
          <c:showPercent val="0"/>
          <c:showBubbleSize val="0"/>
        </c:dLbls>
        <c:gapWidth val="219"/>
        <c:overlap val="-27"/>
        <c:axId val="101193216"/>
        <c:axId val="101195136"/>
      </c:barChart>
      <c:catAx>
        <c:axId val="101193216"/>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1195136"/>
        <c:crosses val="autoZero"/>
        <c:auto val="1"/>
        <c:lblAlgn val="ctr"/>
        <c:lblOffset val="100"/>
        <c:noMultiLvlLbl val="0"/>
      </c:catAx>
      <c:valAx>
        <c:axId val="101195136"/>
        <c:scaling>
          <c:orientation val="minMax"/>
        </c:scaling>
        <c:delete val="0"/>
        <c:axPos val="r"/>
        <c:majorGridlines>
          <c:spPr>
            <a:ln w="9525">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he-IL"/>
          </a:p>
        </c:txPr>
        <c:crossAx val="101193216"/>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no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444444444444445E-2"/>
          <c:y val="5.5555555555555552E-2"/>
          <c:w val="0.93888888888888888"/>
          <c:h val="0.83470691163604549"/>
        </c:manualLayout>
      </c:layout>
      <c:barChart>
        <c:barDir val="col"/>
        <c:grouping val="clustered"/>
        <c:varyColors val="0"/>
        <c:ser>
          <c:idx val="0"/>
          <c:order val="0"/>
          <c:tx>
            <c:strRef>
              <c:f>'דיור ציבורי בישראל לאורך השנים'!$C$8</c:f>
              <c:strCache>
                <c:ptCount val="1"/>
                <c:pt idx="0">
                  <c:v>שיעור</c:v>
                </c:pt>
              </c:strCache>
            </c:strRef>
          </c:tx>
          <c:spPr>
            <a:solidFill>
              <a:schemeClr val="accent1">
                <a:lumMod val="50000"/>
              </a:schemeClr>
            </a:solidFill>
            <a:ln>
              <a:noFill/>
            </a:ln>
            <a:effectLst/>
          </c:spPr>
          <c:invertIfNegative val="0"/>
          <c:dLbls>
            <c:dLbl>
              <c:idx val="3"/>
              <c:layout>
                <c:manualLayout>
                  <c:x val="-2.9546461811199194E-3"/>
                  <c:y val="0.1010555611967025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75-4776-80DE-FF4382D81CE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David" panose="020E0502060401010101" pitchFamily="34" charset="-79"/>
                    <a:ea typeface="+mn-ea"/>
                    <a:cs typeface="David" panose="020E0502060401010101" pitchFamily="34" charset="-79"/>
                  </a:defRPr>
                </a:pPr>
                <a:endParaRPr lang="he-I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'דיור ציבורי בישראל לאורך השנים'!$B$9:$B$12</c:f>
              <c:numCache>
                <c:formatCode>General</c:formatCode>
                <c:ptCount val="4"/>
                <c:pt idx="0">
                  <c:v>1970</c:v>
                </c:pt>
                <c:pt idx="1">
                  <c:v>1998</c:v>
                </c:pt>
                <c:pt idx="2">
                  <c:v>2008</c:v>
                </c:pt>
                <c:pt idx="3">
                  <c:v>2018</c:v>
                </c:pt>
              </c:numCache>
            </c:numRef>
          </c:cat>
          <c:val>
            <c:numRef>
              <c:f>'דיור ציבורי בישראל לאורך השנים'!$C$9:$C$12</c:f>
              <c:numCache>
                <c:formatCode>0%</c:formatCode>
                <c:ptCount val="4"/>
                <c:pt idx="0">
                  <c:v>0.23</c:v>
                </c:pt>
                <c:pt idx="1">
                  <c:v>0.06</c:v>
                </c:pt>
                <c:pt idx="2" formatCode="0.0%">
                  <c:v>3.5000000000000003E-2</c:v>
                </c:pt>
                <c:pt idx="3" formatCode="0.0%">
                  <c:v>2.5000000000000001E-2</c:v>
                </c:pt>
              </c:numCache>
            </c:numRef>
          </c:val>
          <c:extLst>
            <c:ext xmlns:c16="http://schemas.microsoft.com/office/drawing/2014/chart" uri="{C3380CC4-5D6E-409C-BE32-E72D297353CC}">
              <c16:uniqueId val="{00000001-F475-4776-80DE-FF4382D81CED}"/>
            </c:ext>
          </c:extLst>
        </c:ser>
        <c:dLbls>
          <c:showLegendKey val="0"/>
          <c:showVal val="0"/>
          <c:showCatName val="0"/>
          <c:showSerName val="0"/>
          <c:showPercent val="0"/>
          <c:showBubbleSize val="0"/>
        </c:dLbls>
        <c:gapWidth val="160"/>
        <c:overlap val="25"/>
        <c:axId val="101245312"/>
        <c:axId val="101246848"/>
      </c:barChart>
      <c:catAx>
        <c:axId val="10124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Arial Black" panose="020B0A04020102020204" pitchFamily="34" charset="0"/>
                <a:ea typeface="+mn-ea"/>
                <a:cs typeface="David" panose="020E0502060401010101" pitchFamily="34" charset="-79"/>
              </a:defRPr>
            </a:pPr>
            <a:endParaRPr lang="he-IL"/>
          </a:p>
        </c:txPr>
        <c:crossAx val="101246848"/>
        <c:crosses val="autoZero"/>
        <c:auto val="1"/>
        <c:lblAlgn val="ctr"/>
        <c:lblOffset val="100"/>
        <c:noMultiLvlLbl val="0"/>
      </c:catAx>
      <c:valAx>
        <c:axId val="101246848"/>
        <c:scaling>
          <c:orientation val="minMax"/>
        </c:scaling>
        <c:delete val="1"/>
        <c:axPos val="l"/>
        <c:numFmt formatCode="0%" sourceLinked="1"/>
        <c:majorTickMark val="none"/>
        <c:minorTickMark val="none"/>
        <c:tickLblPos val="nextTo"/>
        <c:crossAx val="10124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70018170805574E-2"/>
          <c:y val="0.10802469135802469"/>
          <c:w val="0.88176587926509187"/>
          <c:h val="0.7283649266063964"/>
        </c:manualLayout>
      </c:layout>
      <c:barChart>
        <c:barDir val="col"/>
        <c:grouping val="clustered"/>
        <c:varyColors val="0"/>
        <c:ser>
          <c:idx val="0"/>
          <c:order val="0"/>
          <c:spPr>
            <a:solidFill>
              <a:schemeClr val="accent1"/>
            </a:solidFill>
            <a:ln>
              <a:noFill/>
            </a:ln>
            <a:effectLst/>
          </c:spPr>
          <c:invertIfNegative val="0"/>
          <c:dPt>
            <c:idx val="19"/>
            <c:invertIfNegative val="0"/>
            <c:bubble3D val="0"/>
            <c:spPr>
              <a:solidFill>
                <a:srgbClr val="FF0000"/>
              </a:solidFill>
              <a:ln>
                <a:noFill/>
              </a:ln>
              <a:effectLst/>
            </c:spPr>
            <c:extLst>
              <c:ext xmlns:c16="http://schemas.microsoft.com/office/drawing/2014/chart" uri="{C3380CC4-5D6E-409C-BE32-E72D297353CC}">
                <c16:uniqueId val="{00000001-13D7-43B4-A5A0-E33483CF6B05}"/>
              </c:ext>
            </c:extLst>
          </c:dPt>
          <c:cat>
            <c:strRef>
              <c:f>גיליון1!$J$5:$J$25</c:f>
              <c:strCache>
                <c:ptCount val="21"/>
                <c:pt idx="0">
                  <c:v>הולנד</c:v>
                </c:pt>
                <c:pt idx="1">
                  <c:v>אוסטריה</c:v>
                </c:pt>
                <c:pt idx="2">
                  <c:v>דנמרק</c:v>
                </c:pt>
                <c:pt idx="3">
                  <c:v>צרפת</c:v>
                </c:pt>
                <c:pt idx="4">
                  <c:v>בריטניה</c:v>
                </c:pt>
                <c:pt idx="5">
                  <c:v>פינלנד</c:v>
                </c:pt>
                <c:pt idx="6">
                  <c:v>אירלנד</c:v>
                </c:pt>
                <c:pt idx="7">
                  <c:v>פולין</c:v>
                </c:pt>
                <c:pt idx="8">
                  <c:v>סלובניה</c:v>
                </c:pt>
                <c:pt idx="9">
                  <c:v>דרום קוראה</c:v>
                </c:pt>
                <c:pt idx="10">
                  <c:v>ניו זילנד</c:v>
                </c:pt>
                <c:pt idx="11">
                  <c:v>מלטה</c:v>
                </c:pt>
                <c:pt idx="12">
                  <c:v>אוסטרליה</c:v>
                </c:pt>
                <c:pt idx="13">
                  <c:v>נורווגיה</c:v>
                </c:pt>
                <c:pt idx="14">
                  <c:v>ארצות הברית</c:v>
                </c:pt>
                <c:pt idx="15">
                  <c:v>קנדה</c:v>
                </c:pt>
                <c:pt idx="16">
                  <c:v>הונגריה</c:v>
                </c:pt>
                <c:pt idx="17">
                  <c:v>גרמניה</c:v>
                </c:pt>
                <c:pt idx="18">
                  <c:v>יפן</c:v>
                </c:pt>
                <c:pt idx="19">
                  <c:v>ישראל</c:v>
                </c:pt>
                <c:pt idx="20">
                  <c:v>פורטוגל</c:v>
                </c:pt>
              </c:strCache>
            </c:strRef>
          </c:cat>
          <c:val>
            <c:numRef>
              <c:f>גיליון1!$K$5:$K$25</c:f>
              <c:numCache>
                <c:formatCode>General</c:formatCode>
                <c:ptCount val="21"/>
                <c:pt idx="0">
                  <c:v>34.1</c:v>
                </c:pt>
                <c:pt idx="1">
                  <c:v>26.2</c:v>
                </c:pt>
                <c:pt idx="2">
                  <c:v>22.2</c:v>
                </c:pt>
                <c:pt idx="3">
                  <c:v>18.7</c:v>
                </c:pt>
                <c:pt idx="4">
                  <c:v>17.600000000000001</c:v>
                </c:pt>
                <c:pt idx="5">
                  <c:v>12.8</c:v>
                </c:pt>
                <c:pt idx="6">
                  <c:v>8.6999999999999993</c:v>
                </c:pt>
                <c:pt idx="7">
                  <c:v>8.3000000000000007</c:v>
                </c:pt>
                <c:pt idx="8">
                  <c:v>6.4</c:v>
                </c:pt>
                <c:pt idx="9">
                  <c:v>6.4</c:v>
                </c:pt>
                <c:pt idx="10">
                  <c:v>5.8</c:v>
                </c:pt>
                <c:pt idx="11">
                  <c:v>5.5</c:v>
                </c:pt>
                <c:pt idx="12">
                  <c:v>4.9000000000000004</c:v>
                </c:pt>
                <c:pt idx="13">
                  <c:v>4.5999999999999996</c:v>
                </c:pt>
                <c:pt idx="14">
                  <c:v>4.3</c:v>
                </c:pt>
                <c:pt idx="15">
                  <c:v>4.0999999999999996</c:v>
                </c:pt>
                <c:pt idx="16">
                  <c:v>4</c:v>
                </c:pt>
                <c:pt idx="17">
                  <c:v>3.9</c:v>
                </c:pt>
                <c:pt idx="18">
                  <c:v>3.8</c:v>
                </c:pt>
                <c:pt idx="19">
                  <c:v>3.1</c:v>
                </c:pt>
                <c:pt idx="20">
                  <c:v>2</c:v>
                </c:pt>
              </c:numCache>
            </c:numRef>
          </c:val>
          <c:extLst>
            <c:ext xmlns:c16="http://schemas.microsoft.com/office/drawing/2014/chart" uri="{C3380CC4-5D6E-409C-BE32-E72D297353CC}">
              <c16:uniqueId val="{00000002-13D7-43B4-A5A0-E33483CF6B05}"/>
            </c:ext>
          </c:extLst>
        </c:ser>
        <c:dLbls>
          <c:showLegendKey val="0"/>
          <c:showVal val="0"/>
          <c:showCatName val="0"/>
          <c:showSerName val="0"/>
          <c:showPercent val="0"/>
          <c:showBubbleSize val="0"/>
        </c:dLbls>
        <c:gapWidth val="219"/>
        <c:overlap val="-27"/>
        <c:axId val="101149312"/>
        <c:axId val="101163392"/>
      </c:barChart>
      <c:catAx>
        <c:axId val="1011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1163392"/>
        <c:crosses val="autoZero"/>
        <c:auto val="1"/>
        <c:lblAlgn val="ctr"/>
        <c:lblOffset val="100"/>
        <c:noMultiLvlLbl val="0"/>
      </c:catAx>
      <c:valAx>
        <c:axId val="101163392"/>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1200" b="1" i="0" u="none" strike="noStrike" kern="1200" baseline="0">
                    <a:solidFill>
                      <a:schemeClr val="tx1">
                        <a:lumMod val="65000"/>
                        <a:lumOff val="35000"/>
                      </a:schemeClr>
                    </a:solidFill>
                    <a:latin typeface="+mn-lt"/>
                    <a:ea typeface="+mn-ea"/>
                    <a:cs typeface="+mn-cs"/>
                  </a:defRPr>
                </a:pPr>
                <a:r>
                  <a:rPr lang="he-IL" sz="1200" b="1"/>
                  <a:t>%</a:t>
                </a:r>
              </a:p>
            </c:rich>
          </c:tx>
          <c:layout>
            <c:manualLayout>
              <c:xMode val="edge"/>
              <c:yMode val="edge"/>
              <c:x val="5.5864001615182707E-2"/>
              <c:y val="2.1083892291241371E-2"/>
            </c:manualLayout>
          </c:layout>
          <c:overlay val="0"/>
          <c:spPr>
            <a:noFill/>
            <a:ln>
              <a:noFill/>
            </a:ln>
            <a:effectLst/>
          </c:spPr>
          <c:txPr>
            <a:bodyPr rot="0" spcFirstLastPara="1" vertOverflow="ellipsis" wrap="square" anchor="t" anchorCtr="0"/>
            <a:lstStyle/>
            <a:p>
              <a:pPr>
                <a:defRPr sz="1200" b="1"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114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'רכש ומכר מספר 2019 מלא לתמה'!$F$9</c:f>
              <c:strCache>
                <c:ptCount val="1"/>
                <c:pt idx="0">
                  <c:v>מספר הדירות שנרכשו</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'רכש ומכר מספר 2019 מלא לתמה'!$C$10:$C$15</c:f>
              <c:numCache>
                <c:formatCode>General</c:formatCode>
                <c:ptCount val="6"/>
                <c:pt idx="0">
                  <c:v>2014</c:v>
                </c:pt>
                <c:pt idx="1">
                  <c:v>2015</c:v>
                </c:pt>
                <c:pt idx="2">
                  <c:v>2016</c:v>
                </c:pt>
                <c:pt idx="3">
                  <c:v>2017</c:v>
                </c:pt>
                <c:pt idx="4">
                  <c:v>2018</c:v>
                </c:pt>
                <c:pt idx="5">
                  <c:v>2019</c:v>
                </c:pt>
              </c:numCache>
            </c:numRef>
          </c:cat>
          <c:val>
            <c:numRef>
              <c:f>'רכש ומכר מספר 2019 מלא לתמה'!$F$10:$F$15</c:f>
              <c:numCache>
                <c:formatCode>General</c:formatCode>
                <c:ptCount val="6"/>
                <c:pt idx="0">
                  <c:v>5</c:v>
                </c:pt>
                <c:pt idx="1">
                  <c:v>270</c:v>
                </c:pt>
                <c:pt idx="2">
                  <c:v>623</c:v>
                </c:pt>
                <c:pt idx="3">
                  <c:v>424</c:v>
                </c:pt>
                <c:pt idx="4">
                  <c:v>964</c:v>
                </c:pt>
                <c:pt idx="5" formatCode="_ * #,##0_ ;_ * \-#,##0_ ;_ * &quot;-&quot;??_ ;_ @_ ">
                  <c:v>330</c:v>
                </c:pt>
              </c:numCache>
            </c:numRef>
          </c:val>
          <c:extLst>
            <c:ext xmlns:c16="http://schemas.microsoft.com/office/drawing/2014/chart" uri="{C3380CC4-5D6E-409C-BE32-E72D297353CC}">
              <c16:uniqueId val="{00000000-9FEF-451A-B9E9-04DBFEBFBB1B}"/>
            </c:ext>
          </c:extLst>
        </c:ser>
        <c:ser>
          <c:idx val="3"/>
          <c:order val="3"/>
          <c:tx>
            <c:strRef>
              <c:f>'רכש ומכר מספר 2019 מלא לתמה'!$G$9</c:f>
              <c:strCache>
                <c:ptCount val="1"/>
                <c:pt idx="0">
                  <c:v>מספר הדירות שנמכרו</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'רכש ומכר מספר 2019 מלא לתמה'!$C$10:$C$15</c:f>
              <c:numCache>
                <c:formatCode>General</c:formatCode>
                <c:ptCount val="6"/>
                <c:pt idx="0">
                  <c:v>2014</c:v>
                </c:pt>
                <c:pt idx="1">
                  <c:v>2015</c:v>
                </c:pt>
                <c:pt idx="2">
                  <c:v>2016</c:v>
                </c:pt>
                <c:pt idx="3">
                  <c:v>2017</c:v>
                </c:pt>
                <c:pt idx="4">
                  <c:v>2018</c:v>
                </c:pt>
                <c:pt idx="5">
                  <c:v>2019</c:v>
                </c:pt>
              </c:numCache>
            </c:numRef>
          </c:cat>
          <c:val>
            <c:numRef>
              <c:f>'רכש ומכר מספר 2019 מלא לתמה'!$G$10:$G$15</c:f>
              <c:numCache>
                <c:formatCode>_ * #,##0_ ;_ * \-#,##0_ ;_ * "-"??_ ;_ @_ </c:formatCode>
                <c:ptCount val="6"/>
                <c:pt idx="0">
                  <c:v>2344</c:v>
                </c:pt>
                <c:pt idx="1">
                  <c:v>2060</c:v>
                </c:pt>
                <c:pt idx="2">
                  <c:v>1393</c:v>
                </c:pt>
                <c:pt idx="3">
                  <c:v>1763</c:v>
                </c:pt>
                <c:pt idx="4">
                  <c:v>1457</c:v>
                </c:pt>
                <c:pt idx="5">
                  <c:v>1061</c:v>
                </c:pt>
              </c:numCache>
            </c:numRef>
          </c:val>
          <c:extLst>
            <c:ext xmlns:c16="http://schemas.microsoft.com/office/drawing/2014/chart" uri="{C3380CC4-5D6E-409C-BE32-E72D297353CC}">
              <c16:uniqueId val="{00000001-9FEF-451A-B9E9-04DBFEBFBB1B}"/>
            </c:ext>
          </c:extLst>
        </c:ser>
        <c:dLbls>
          <c:showLegendKey val="0"/>
          <c:showVal val="0"/>
          <c:showCatName val="0"/>
          <c:showSerName val="0"/>
          <c:showPercent val="0"/>
          <c:showBubbleSize val="0"/>
        </c:dLbls>
        <c:gapWidth val="251"/>
        <c:axId val="101394688"/>
        <c:axId val="101404672"/>
        <c:extLst>
          <c:ext xmlns:c15="http://schemas.microsoft.com/office/drawing/2012/chart" uri="{02D57815-91ED-43cb-92C2-25804820EDAC}">
            <c15:filteredBarSeries>
              <c15:ser>
                <c:idx val="0"/>
                <c:order val="0"/>
                <c:tx>
                  <c:strRef>
                    <c:extLst>
                      <c:ext uri="{02D57815-91ED-43cb-92C2-25804820EDAC}">
                        <c15:formulaRef>
                          <c15:sqref>'רכש ומכר מספר 2019 מלא לתמה'!$D$9</c15:sqref>
                        </c15:formulaRef>
                      </c:ext>
                    </c:extLst>
                    <c:strCache>
                      <c:ptCount val="1"/>
                    </c:strCache>
                  </c:strRef>
                </c:tx>
                <c:spPr>
                  <a:solidFill>
                    <a:schemeClr val="accent1"/>
                  </a:solidFill>
                  <a:ln>
                    <a:noFill/>
                  </a:ln>
                  <a:effectLst/>
                </c:spPr>
                <c:invertIfNegative val="0"/>
                <c:cat>
                  <c:numRef>
                    <c:extLst>
                      <c:ext uri="{02D57815-91ED-43cb-92C2-25804820EDAC}">
                        <c15:formulaRef>
                          <c15:sqref>'רכש ומכר מספר 2019 מלא לתמה'!$C$10:$C$15</c15:sqref>
                        </c15:formulaRef>
                      </c:ext>
                    </c:extLst>
                    <c:numCache>
                      <c:formatCode>General</c:formatCode>
                      <c:ptCount val="6"/>
                      <c:pt idx="0">
                        <c:v>2014</c:v>
                      </c:pt>
                      <c:pt idx="1">
                        <c:v>2015</c:v>
                      </c:pt>
                      <c:pt idx="2">
                        <c:v>2016</c:v>
                      </c:pt>
                      <c:pt idx="3">
                        <c:v>2017</c:v>
                      </c:pt>
                      <c:pt idx="4">
                        <c:v>2018</c:v>
                      </c:pt>
                      <c:pt idx="5">
                        <c:v>2019</c:v>
                      </c:pt>
                    </c:numCache>
                  </c:numRef>
                </c:cat>
                <c:val>
                  <c:numRef>
                    <c:extLst>
                      <c:ext uri="{02D57815-91ED-43cb-92C2-25804820EDAC}">
                        <c15:formulaRef>
                          <c15:sqref>'רכש ומכר מספר 2019 מלא לתמה'!$D$10:$D$15</c15:sqref>
                        </c15:formulaRef>
                      </c:ext>
                    </c:extLst>
                    <c:numCache>
                      <c:formatCode>General</c:formatCode>
                      <c:ptCount val="6"/>
                    </c:numCache>
                  </c:numRef>
                </c:val>
                <c:extLst>
                  <c:ext xmlns:c16="http://schemas.microsoft.com/office/drawing/2014/chart" uri="{C3380CC4-5D6E-409C-BE32-E72D297353CC}">
                    <c16:uniqueId val="{00000002-9FEF-451A-B9E9-04DBFEBFBB1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'רכש ומכר מספר 2019 מלא לתמה'!$E$9</c15:sqref>
                        </c15:formulaRef>
                      </c:ext>
                    </c:extLst>
                    <c:strCache>
                      <c:ptCount val="1"/>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'רכש ומכר מספר 2019 מלא לתמה'!$C$10:$C$15</c15:sqref>
                        </c15:formulaRef>
                      </c:ext>
                    </c:extLst>
                    <c:numCache>
                      <c:formatCode>General</c:formatCode>
                      <c:ptCount val="6"/>
                      <c:pt idx="0">
                        <c:v>2014</c:v>
                      </c:pt>
                      <c:pt idx="1">
                        <c:v>2015</c:v>
                      </c:pt>
                      <c:pt idx="2">
                        <c:v>2016</c:v>
                      </c:pt>
                      <c:pt idx="3">
                        <c:v>2017</c:v>
                      </c:pt>
                      <c:pt idx="4">
                        <c:v>2018</c:v>
                      </c:pt>
                      <c:pt idx="5">
                        <c:v>2019</c:v>
                      </c:pt>
                    </c:numCache>
                  </c:numRef>
                </c:cat>
                <c:val>
                  <c:numRef>
                    <c:extLst xmlns:c15="http://schemas.microsoft.com/office/drawing/2012/chart">
                      <c:ext xmlns:c15="http://schemas.microsoft.com/office/drawing/2012/chart" uri="{02D57815-91ED-43cb-92C2-25804820EDAC}">
                        <c15:formulaRef>
                          <c15:sqref>'רכש ומכר מספר 2019 מלא לתמה'!$E$10:$E$15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9FEF-451A-B9E9-04DBFEBFBB1B}"/>
                  </c:ext>
                </c:extLst>
              </c15:ser>
            </c15:filteredBarSeries>
          </c:ext>
        </c:extLst>
      </c:barChart>
      <c:catAx>
        <c:axId val="101394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1404672"/>
        <c:crosses val="autoZero"/>
        <c:auto val="1"/>
        <c:lblAlgn val="ctr"/>
        <c:lblOffset val="100"/>
        <c:noMultiLvlLbl val="0"/>
      </c:catAx>
      <c:valAx>
        <c:axId val="10140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1394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32243768626"/>
          <c:y val="0.15358184847090964"/>
          <c:w val="0.82158783936868451"/>
          <c:h val="0.76664337521994641"/>
        </c:manualLayout>
      </c:layout>
      <c:barChart>
        <c:barDir val="col"/>
        <c:grouping val="clustered"/>
        <c:varyColors val="0"/>
        <c:ser>
          <c:idx val="0"/>
          <c:order val="0"/>
          <c:tx>
            <c:strRef>
              <c:f>'תרשים עלות רכש ומכר 2019 לתמה'!$D$9</c:f>
              <c:strCache>
                <c:ptCount val="1"/>
                <c:pt idx="0">
                  <c:v>עלות רכש הדירות (מיליוני ש"ח)</c:v>
                </c:pt>
              </c:strCache>
            </c:strRef>
          </c:tx>
          <c:spPr>
            <a:solidFill>
              <a:schemeClr val="accent1"/>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7C59-4B04-94D4-6B6E254C4825}"/>
              </c:ext>
            </c:extLst>
          </c:dPt>
          <c:dLbls>
            <c:dLbl>
              <c:idx val="1"/>
              <c:layout>
                <c:manualLayout>
                  <c:x val="-7.66185672327927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59-4B04-94D4-6B6E254C4825}"/>
                </c:ext>
              </c:extLst>
            </c:dLbl>
            <c:dLbl>
              <c:idx val="5"/>
              <c:layout>
                <c:manualLayout>
                  <c:x val="-7.6618567232794622E-3"/>
                  <c:y val="-7.64198480514747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59-4B04-94D4-6B6E254C48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'תרשים עלות רכש ומכר 2019 לתמה'!$C$10:$C$15</c:f>
              <c:numCache>
                <c:formatCode>General</c:formatCode>
                <c:ptCount val="6"/>
                <c:pt idx="0">
                  <c:v>2014</c:v>
                </c:pt>
                <c:pt idx="1">
                  <c:v>2015</c:v>
                </c:pt>
                <c:pt idx="2">
                  <c:v>2016</c:v>
                </c:pt>
                <c:pt idx="3">
                  <c:v>2017</c:v>
                </c:pt>
                <c:pt idx="4">
                  <c:v>2018</c:v>
                </c:pt>
                <c:pt idx="5">
                  <c:v>2019</c:v>
                </c:pt>
              </c:numCache>
            </c:numRef>
          </c:cat>
          <c:val>
            <c:numRef>
              <c:f>'תרשים עלות רכש ומכר 2019 לתמה'!$D$10:$D$15</c:f>
              <c:numCache>
                <c:formatCode>_ * #,##0_ ;_ * \-#,##0_ ;_ * "-"??_ ;_ @_ </c:formatCode>
                <c:ptCount val="6"/>
                <c:pt idx="0">
                  <c:v>6.4026249999999996</c:v>
                </c:pt>
                <c:pt idx="1">
                  <c:v>338.98051700000002</c:v>
                </c:pt>
                <c:pt idx="2">
                  <c:v>786.567092</c:v>
                </c:pt>
                <c:pt idx="3">
                  <c:v>617.46944700000006</c:v>
                </c:pt>
                <c:pt idx="4">
                  <c:v>1272.17002</c:v>
                </c:pt>
                <c:pt idx="5">
                  <c:v>423</c:v>
                </c:pt>
              </c:numCache>
            </c:numRef>
          </c:val>
          <c:extLst>
            <c:ext xmlns:c16="http://schemas.microsoft.com/office/drawing/2014/chart" uri="{C3380CC4-5D6E-409C-BE32-E72D297353CC}">
              <c16:uniqueId val="{00000003-7C59-4B04-94D4-6B6E254C4825}"/>
            </c:ext>
          </c:extLst>
        </c:ser>
        <c:ser>
          <c:idx val="1"/>
          <c:order val="1"/>
          <c:tx>
            <c:strRef>
              <c:f>'תרשים עלות רכש ומכר 2019 לתמה'!$E$9</c:f>
              <c:strCache>
                <c:ptCount val="1"/>
                <c:pt idx="0">
                  <c:v>התמורה ממכר הדירות (מיליוני ש"ח)</c:v>
                </c:pt>
              </c:strCache>
            </c:strRef>
          </c:tx>
          <c:spPr>
            <a:solidFill>
              <a:srgbClr val="FF0000"/>
            </a:solidFill>
            <a:ln>
              <a:noFill/>
            </a:ln>
            <a:effectLst/>
          </c:spPr>
          <c:invertIfNegative val="0"/>
          <c:dPt>
            <c:idx val="5"/>
            <c:invertIfNegative val="0"/>
            <c:bubble3D val="0"/>
            <c:extLst>
              <c:ext xmlns:c16="http://schemas.microsoft.com/office/drawing/2014/chart" uri="{C3380CC4-5D6E-409C-BE32-E72D297353CC}">
                <c16:uniqueId val="{00000005-7C59-4B04-94D4-6B6E254C4825}"/>
              </c:ext>
            </c:extLst>
          </c:dPt>
          <c:dLbls>
            <c:dLbl>
              <c:idx val="2"/>
              <c:layout>
                <c:manualLayout>
                  <c:x val="7.66185672327927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59-4B04-94D4-6B6E254C4825}"/>
                </c:ext>
              </c:extLst>
            </c:dLbl>
            <c:dLbl>
              <c:idx val="3"/>
              <c:layout>
                <c:manualLayout>
                  <c:x val="1.0215808964372273E-2"/>
                  <c:y val="-7.64198480514747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59-4B04-94D4-6B6E254C4825}"/>
                </c:ext>
              </c:extLst>
            </c:dLbl>
            <c:dLbl>
              <c:idx val="4"/>
              <c:layout>
                <c:manualLayout>
                  <c:x val="7.66185672327927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59-4B04-94D4-6B6E254C4825}"/>
                </c:ext>
              </c:extLst>
            </c:dLbl>
            <c:dLbl>
              <c:idx val="5"/>
              <c:layout>
                <c:manualLayout>
                  <c:x val="1.2769761205465271E-2"/>
                  <c:y val="-4.1684035014590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59-4B04-94D4-6B6E254C482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'תרשים עלות רכש ומכר 2019 לתמה'!$C$10:$C$15</c:f>
              <c:numCache>
                <c:formatCode>General</c:formatCode>
                <c:ptCount val="6"/>
                <c:pt idx="0">
                  <c:v>2014</c:v>
                </c:pt>
                <c:pt idx="1">
                  <c:v>2015</c:v>
                </c:pt>
                <c:pt idx="2">
                  <c:v>2016</c:v>
                </c:pt>
                <c:pt idx="3">
                  <c:v>2017</c:v>
                </c:pt>
                <c:pt idx="4">
                  <c:v>2018</c:v>
                </c:pt>
                <c:pt idx="5">
                  <c:v>2019</c:v>
                </c:pt>
              </c:numCache>
            </c:numRef>
          </c:cat>
          <c:val>
            <c:numRef>
              <c:f>'תרשים עלות רכש ומכר 2019 לתמה'!$E$10:$E$15</c:f>
              <c:numCache>
                <c:formatCode>General</c:formatCode>
                <c:ptCount val="6"/>
                <c:pt idx="0">
                  <c:v>490</c:v>
                </c:pt>
                <c:pt idx="1">
                  <c:v>445</c:v>
                </c:pt>
                <c:pt idx="2">
                  <c:v>331</c:v>
                </c:pt>
                <c:pt idx="3">
                  <c:v>498</c:v>
                </c:pt>
                <c:pt idx="4">
                  <c:v>406</c:v>
                </c:pt>
                <c:pt idx="5">
                  <c:v>344</c:v>
                </c:pt>
              </c:numCache>
            </c:numRef>
          </c:val>
          <c:extLst>
            <c:ext xmlns:c16="http://schemas.microsoft.com/office/drawing/2014/chart" uri="{C3380CC4-5D6E-409C-BE32-E72D297353CC}">
              <c16:uniqueId val="{00000009-7C59-4B04-94D4-6B6E254C4825}"/>
            </c:ext>
          </c:extLst>
        </c:ser>
        <c:dLbls>
          <c:showLegendKey val="0"/>
          <c:showVal val="1"/>
          <c:showCatName val="0"/>
          <c:showSerName val="0"/>
          <c:showPercent val="0"/>
          <c:showBubbleSize val="0"/>
        </c:dLbls>
        <c:gapWidth val="247"/>
        <c:axId val="103815424"/>
        <c:axId val="103837696"/>
      </c:barChart>
      <c:lineChart>
        <c:grouping val="standard"/>
        <c:varyColors val="0"/>
        <c:ser>
          <c:idx val="2"/>
          <c:order val="2"/>
          <c:tx>
            <c:strRef>
              <c:f>'תרשים עלות רכש ומכר 2019 לתמה'!$F$9</c:f>
              <c:strCache>
                <c:ptCount val="1"/>
              </c:strCache>
            </c:strRef>
          </c:tx>
          <c:spPr>
            <a:ln w="22225" cap="rnd">
              <a:solidFill>
                <a:schemeClr val="accent1">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'תרשים עלות רכש ומכר 2019 לתמה'!$C$10:$C$15</c:f>
              <c:numCache>
                <c:formatCode>General</c:formatCode>
                <c:ptCount val="6"/>
                <c:pt idx="0">
                  <c:v>2014</c:v>
                </c:pt>
                <c:pt idx="1">
                  <c:v>2015</c:v>
                </c:pt>
                <c:pt idx="2">
                  <c:v>2016</c:v>
                </c:pt>
                <c:pt idx="3">
                  <c:v>2017</c:v>
                </c:pt>
                <c:pt idx="4">
                  <c:v>2018</c:v>
                </c:pt>
                <c:pt idx="5">
                  <c:v>2019</c:v>
                </c:pt>
              </c:numCache>
            </c:numRef>
          </c:cat>
          <c:val>
            <c:numRef>
              <c:f>'תרשים עלות רכש ומכר 2019 לתמה'!$F$10:$F$15</c:f>
              <c:numCache>
                <c:formatCode>General</c:formatCode>
                <c:ptCount val="6"/>
              </c:numCache>
            </c:numRef>
          </c:val>
          <c:smooth val="0"/>
          <c:extLst>
            <c:ext xmlns:c16="http://schemas.microsoft.com/office/drawing/2014/chart" uri="{C3380CC4-5D6E-409C-BE32-E72D297353CC}">
              <c16:uniqueId val="{0000000A-7C59-4B04-94D4-6B6E254C4825}"/>
            </c:ext>
          </c:extLst>
        </c:ser>
        <c:ser>
          <c:idx val="3"/>
          <c:order val="3"/>
          <c:tx>
            <c:strRef>
              <c:f>'תרשים עלות רכש ומכר 2019 לתמה'!$G$9</c:f>
              <c:strCache>
                <c:ptCount val="1"/>
              </c:strCache>
            </c:strRef>
          </c:tx>
          <c:spPr>
            <a:ln w="2222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'תרשים עלות רכש ומכר 2019 לתמה'!$C$10:$C$15</c:f>
              <c:numCache>
                <c:formatCode>General</c:formatCode>
                <c:ptCount val="6"/>
                <c:pt idx="0">
                  <c:v>2014</c:v>
                </c:pt>
                <c:pt idx="1">
                  <c:v>2015</c:v>
                </c:pt>
                <c:pt idx="2">
                  <c:v>2016</c:v>
                </c:pt>
                <c:pt idx="3">
                  <c:v>2017</c:v>
                </c:pt>
                <c:pt idx="4">
                  <c:v>2018</c:v>
                </c:pt>
                <c:pt idx="5">
                  <c:v>2019</c:v>
                </c:pt>
              </c:numCache>
            </c:numRef>
          </c:cat>
          <c:val>
            <c:numRef>
              <c:f>'תרשים עלות רכש ומכר 2019 לתמה'!$G$10:$G$15</c:f>
              <c:numCache>
                <c:formatCode>General</c:formatCode>
                <c:ptCount val="6"/>
              </c:numCache>
            </c:numRef>
          </c:val>
          <c:smooth val="0"/>
          <c:extLst>
            <c:ext xmlns:c16="http://schemas.microsoft.com/office/drawing/2014/chart" uri="{C3380CC4-5D6E-409C-BE32-E72D297353CC}">
              <c16:uniqueId val="{0000000B-7C59-4B04-94D4-6B6E254C4825}"/>
            </c:ext>
          </c:extLst>
        </c:ser>
        <c:dLbls>
          <c:showLegendKey val="0"/>
          <c:showVal val="1"/>
          <c:showCatName val="0"/>
          <c:showSerName val="0"/>
          <c:showPercent val="0"/>
          <c:showBubbleSize val="0"/>
        </c:dLbls>
        <c:marker val="1"/>
        <c:smooth val="0"/>
        <c:axId val="103840768"/>
        <c:axId val="103839232"/>
      </c:lineChart>
      <c:catAx>
        <c:axId val="103815424"/>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he-IL"/>
          </a:p>
        </c:txPr>
        <c:crossAx val="103837696"/>
        <c:crosses val="autoZero"/>
        <c:auto val="1"/>
        <c:lblAlgn val="ctr"/>
        <c:lblOffset val="100"/>
        <c:noMultiLvlLbl val="0"/>
      </c:catAx>
      <c:valAx>
        <c:axId val="103837696"/>
        <c:scaling>
          <c:orientation val="minMax"/>
          <c:min val="1.0000000000000002E-2"/>
        </c:scaling>
        <c:delete val="0"/>
        <c:axPos val="l"/>
        <c:majorGridlines>
          <c:spPr>
            <a:ln w="9525" cap="flat" cmpd="sng" algn="ctr">
              <a:solidFill>
                <a:schemeClr val="dk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dk1">
                    <a:lumMod val="65000"/>
                    <a:lumOff val="35000"/>
                  </a:schemeClr>
                </a:solidFill>
                <a:latin typeface="+mn-lt"/>
                <a:ea typeface="+mn-ea"/>
                <a:cs typeface="+mn-cs"/>
              </a:defRPr>
            </a:pPr>
            <a:endParaRPr lang="he-IL"/>
          </a:p>
        </c:txPr>
        <c:crossAx val="103815424"/>
        <c:crosses val="autoZero"/>
        <c:crossBetween val="between"/>
      </c:valAx>
      <c:valAx>
        <c:axId val="103839232"/>
        <c:scaling>
          <c:orientation val="minMax"/>
          <c:max val="2500"/>
          <c:min val="0"/>
        </c:scaling>
        <c:delete val="1"/>
        <c:axPos val="l"/>
        <c:numFmt formatCode="General" sourceLinked="1"/>
        <c:majorTickMark val="none"/>
        <c:minorTickMark val="none"/>
        <c:tickLblPos val="nextTo"/>
        <c:crossAx val="103840768"/>
        <c:crosses val="autoZero"/>
        <c:crossBetween val="between"/>
      </c:valAx>
      <c:catAx>
        <c:axId val="103840768"/>
        <c:scaling>
          <c:orientation val="minMax"/>
        </c:scaling>
        <c:delete val="1"/>
        <c:axPos val="b"/>
        <c:numFmt formatCode="General" sourceLinked="1"/>
        <c:majorTickMark val="out"/>
        <c:minorTickMark val="none"/>
        <c:tickLblPos val="nextTo"/>
        <c:crossAx val="103839232"/>
        <c:crosses val="autoZero"/>
        <c:auto val="1"/>
        <c:lblAlgn val="ctr"/>
        <c:lblOffset val="100"/>
        <c:noMultiLvlLbl val="0"/>
      </c:catAx>
      <c:spPr>
        <a:solidFill>
          <a:schemeClr val="bg1"/>
        </a:solidFill>
        <a:ln>
          <a:noFill/>
        </a:ln>
        <a:effectLst/>
      </c:spPr>
    </c:plotArea>
    <c:legend>
      <c:legendPos val="t"/>
      <c:legendEntry>
        <c:idx val="2"/>
        <c:delete val="1"/>
      </c:legendEntry>
      <c:legendEntry>
        <c:idx val="3"/>
        <c:delete val="1"/>
      </c:legendEntry>
      <c:layout>
        <c:manualLayout>
          <c:xMode val="edge"/>
          <c:yMode val="edge"/>
          <c:x val="0.15782148080535061"/>
          <c:y val="4.8951057935696991E-2"/>
          <c:w val="0.68192424432531629"/>
          <c:h val="3.93359468707572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cap="flat" cmpd="sng" algn="ctr">
      <a:solidFill>
        <a:schemeClr val="bg1">
          <a:lumMod val="85000"/>
        </a:schemeClr>
      </a:solidFill>
      <a:round/>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'השוואת מכר לרכש לפי מחוזות'!$B$6</c:f>
              <c:strCache>
                <c:ptCount val="1"/>
                <c:pt idx="0">
                  <c:v>רכש דירות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'השוואת מכר לרכש לפי מחוזות'!$A$7:$A$11</c:f>
              <c:strCache>
                <c:ptCount val="5"/>
                <c:pt idx="0">
                  <c:v>גליל</c:v>
                </c:pt>
                <c:pt idx="1">
                  <c:v>דרום</c:v>
                </c:pt>
                <c:pt idx="2">
                  <c:v>חיפה</c:v>
                </c:pt>
                <c:pt idx="3">
                  <c:v>ירושלים</c:v>
                </c:pt>
                <c:pt idx="4">
                  <c:v>מרכז</c:v>
                </c:pt>
              </c:strCache>
            </c:strRef>
          </c:cat>
          <c:val>
            <c:numRef>
              <c:f>'השוואת מכר לרכש לפי מחוזות'!$B$7:$B$11</c:f>
              <c:numCache>
                <c:formatCode>_ * #,##0_ ;_ * \-#,##0_ ;_ * "-"??_ ;_ @_ </c:formatCode>
                <c:ptCount val="5"/>
                <c:pt idx="0">
                  <c:v>129</c:v>
                </c:pt>
                <c:pt idx="1">
                  <c:v>174</c:v>
                </c:pt>
                <c:pt idx="2">
                  <c:v>380</c:v>
                </c:pt>
                <c:pt idx="3">
                  <c:v>553</c:v>
                </c:pt>
                <c:pt idx="4">
                  <c:v>1298</c:v>
                </c:pt>
              </c:numCache>
            </c:numRef>
          </c:val>
          <c:extLst>
            <c:ext xmlns:c16="http://schemas.microsoft.com/office/drawing/2014/chart" uri="{C3380CC4-5D6E-409C-BE32-E72D297353CC}">
              <c16:uniqueId val="{00000000-7625-4F51-9B2F-803EC5918FE2}"/>
            </c:ext>
          </c:extLst>
        </c:ser>
        <c:ser>
          <c:idx val="1"/>
          <c:order val="1"/>
          <c:tx>
            <c:strRef>
              <c:f>'השוואת מכר לרכש לפי מחוזות'!$C$6</c:f>
              <c:strCache>
                <c:ptCount val="1"/>
                <c:pt idx="0">
                  <c:v>מכר דירות</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'השוואת מכר לרכש לפי מחוזות'!$A$7:$A$11</c:f>
              <c:strCache>
                <c:ptCount val="5"/>
                <c:pt idx="0">
                  <c:v>גליל</c:v>
                </c:pt>
                <c:pt idx="1">
                  <c:v>דרום</c:v>
                </c:pt>
                <c:pt idx="2">
                  <c:v>חיפה</c:v>
                </c:pt>
                <c:pt idx="3">
                  <c:v>ירושלים</c:v>
                </c:pt>
                <c:pt idx="4">
                  <c:v>מרכז</c:v>
                </c:pt>
              </c:strCache>
            </c:strRef>
          </c:cat>
          <c:val>
            <c:numRef>
              <c:f>'השוואת מכר לרכש לפי מחוזות'!$C$7:$C$11</c:f>
              <c:numCache>
                <c:formatCode>_ * #,##0_ ;_ * \-#,##0_ ;_ * "-"??_ ;_ @_ </c:formatCode>
                <c:ptCount val="5"/>
                <c:pt idx="0">
                  <c:v>2945</c:v>
                </c:pt>
                <c:pt idx="1">
                  <c:v>1603</c:v>
                </c:pt>
                <c:pt idx="2">
                  <c:v>1383</c:v>
                </c:pt>
                <c:pt idx="3">
                  <c:v>934</c:v>
                </c:pt>
                <c:pt idx="4">
                  <c:v>2735</c:v>
                </c:pt>
              </c:numCache>
            </c:numRef>
          </c:val>
          <c:extLst>
            <c:ext xmlns:c16="http://schemas.microsoft.com/office/drawing/2014/chart" uri="{C3380CC4-5D6E-409C-BE32-E72D297353CC}">
              <c16:uniqueId val="{00000001-7625-4F51-9B2F-803EC5918FE2}"/>
            </c:ext>
          </c:extLst>
        </c:ser>
        <c:dLbls>
          <c:dLblPos val="outEnd"/>
          <c:showLegendKey val="0"/>
          <c:showVal val="1"/>
          <c:showCatName val="0"/>
          <c:showSerName val="0"/>
          <c:showPercent val="0"/>
          <c:showBubbleSize val="0"/>
        </c:dLbls>
        <c:gapWidth val="219"/>
        <c:overlap val="-27"/>
        <c:axId val="103880192"/>
        <c:axId val="103881728"/>
      </c:barChart>
      <c:catAx>
        <c:axId val="10388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3881728"/>
        <c:crosses val="autoZero"/>
        <c:auto val="1"/>
        <c:lblAlgn val="ctr"/>
        <c:lblOffset val="100"/>
        <c:noMultiLvlLbl val="0"/>
      </c:catAx>
      <c:valAx>
        <c:axId val="103881728"/>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3880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32243768626"/>
          <c:y val="0.15358184847090964"/>
          <c:w val="0.81895282852489282"/>
          <c:h val="0.7572975691122722"/>
        </c:manualLayout>
      </c:layout>
      <c:barChart>
        <c:barDir val="col"/>
        <c:grouping val="clustered"/>
        <c:varyColors val="0"/>
        <c:ser>
          <c:idx val="0"/>
          <c:order val="0"/>
          <c:tx>
            <c:strRef>
              <c:f>'תרשים ז.המתנה לד.ציבורי מחוזות'!$D$9</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'תרשים ז.המתנה לד.ציבורי מחוזות'!$C$10:$C$13</c:f>
              <c:strCache>
                <c:ptCount val="4"/>
                <c:pt idx="0">
                  <c:v>2016</c:v>
                </c:pt>
                <c:pt idx="1">
                  <c:v>2017</c:v>
                </c:pt>
                <c:pt idx="2">
                  <c:v>2018</c:v>
                </c:pt>
                <c:pt idx="3">
                  <c:v> ספטמבר 2019</c:v>
                </c:pt>
              </c:strCache>
            </c:strRef>
          </c:cat>
          <c:val>
            <c:numRef>
              <c:f>'תרשים ז.המתנה לד.ציבורי מחוזות'!$D$10:$D$13</c:f>
              <c:numCache>
                <c:formatCode>General</c:formatCode>
                <c:ptCount val="4"/>
              </c:numCache>
            </c:numRef>
          </c:val>
          <c:extLst>
            <c:ext xmlns:c16="http://schemas.microsoft.com/office/drawing/2014/chart" uri="{C3380CC4-5D6E-409C-BE32-E72D297353CC}">
              <c16:uniqueId val="{00000000-4C20-4995-8F16-5BAF8882F381}"/>
            </c:ext>
          </c:extLst>
        </c:ser>
        <c:ser>
          <c:idx val="1"/>
          <c:order val="1"/>
          <c:tx>
            <c:strRef>
              <c:f>'תרשים ז.המתנה לד.ציבורי מחוזות'!$E$9</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'תרשים ז.המתנה לד.ציבורי מחוזות'!$C$10:$C$13</c:f>
              <c:strCache>
                <c:ptCount val="4"/>
                <c:pt idx="0">
                  <c:v>2016</c:v>
                </c:pt>
                <c:pt idx="1">
                  <c:v>2017</c:v>
                </c:pt>
                <c:pt idx="2">
                  <c:v>2018</c:v>
                </c:pt>
                <c:pt idx="3">
                  <c:v> ספטמבר 2019</c:v>
                </c:pt>
              </c:strCache>
            </c:strRef>
          </c:cat>
          <c:val>
            <c:numRef>
              <c:f>'תרשים ז.המתנה לד.ציבורי מחוזות'!$E$10:$E$13</c:f>
              <c:numCache>
                <c:formatCode>General</c:formatCode>
                <c:ptCount val="4"/>
              </c:numCache>
            </c:numRef>
          </c:val>
          <c:extLst>
            <c:ext xmlns:c16="http://schemas.microsoft.com/office/drawing/2014/chart" uri="{C3380CC4-5D6E-409C-BE32-E72D297353CC}">
              <c16:uniqueId val="{00000001-4C20-4995-8F16-5BAF8882F381}"/>
            </c:ext>
          </c:extLst>
        </c:ser>
        <c:dLbls>
          <c:showLegendKey val="0"/>
          <c:showVal val="1"/>
          <c:showCatName val="0"/>
          <c:showSerName val="0"/>
          <c:showPercent val="0"/>
          <c:showBubbleSize val="0"/>
        </c:dLbls>
        <c:gapWidth val="247"/>
        <c:axId val="105065088"/>
        <c:axId val="105083264"/>
      </c:barChart>
      <c:lineChart>
        <c:grouping val="standard"/>
        <c:varyColors val="0"/>
        <c:ser>
          <c:idx val="2"/>
          <c:order val="2"/>
          <c:tx>
            <c:strRef>
              <c:f>'תרשים ז.המתנה לד.ציבורי מחוזות'!$F$9</c:f>
              <c:strCache>
                <c:ptCount val="1"/>
                <c:pt idx="0">
                  <c:v>גליל</c:v>
                </c:pt>
              </c:strCache>
            </c:strRef>
          </c:tx>
          <c:spPr>
            <a:ln w="28575" cap="rnd">
              <a:solidFill>
                <a:schemeClr val="accent3"/>
              </a:solidFill>
              <a:round/>
            </a:ln>
            <a:effectLst/>
          </c:spPr>
          <c:marker>
            <c:symbol val="none"/>
          </c:marker>
          <c:dLbls>
            <c:dLbl>
              <c:idx val="0"/>
              <c:layout>
                <c:manualLayout>
                  <c:x val="0"/>
                  <c:y val="-1.3439053890606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20-4995-8F16-5BAF8882F381}"/>
                </c:ext>
              </c:extLst>
            </c:dLbl>
            <c:dLbl>
              <c:idx val="1"/>
              <c:layout>
                <c:manualLayout>
                  <c:x val="0"/>
                  <c:y val="-1.6126864668727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20-4995-8F16-5BAF8882F3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'תרשים ז.המתנה לד.ציבורי מחוזות'!$C$10:$C$13</c:f>
              <c:strCache>
                <c:ptCount val="4"/>
                <c:pt idx="0">
                  <c:v>2016</c:v>
                </c:pt>
                <c:pt idx="1">
                  <c:v>2017</c:v>
                </c:pt>
                <c:pt idx="2">
                  <c:v>2018</c:v>
                </c:pt>
                <c:pt idx="3">
                  <c:v> ספטמבר 2019</c:v>
                </c:pt>
              </c:strCache>
            </c:strRef>
          </c:cat>
          <c:val>
            <c:numRef>
              <c:f>'תרשים ז.המתנה לד.ציבורי מחוזות'!$F$10:$F$13</c:f>
              <c:numCache>
                <c:formatCode>0</c:formatCode>
                <c:ptCount val="4"/>
                <c:pt idx="0">
                  <c:v>13.988244047619048</c:v>
                </c:pt>
                <c:pt idx="1">
                  <c:v>13.202503293807641</c:v>
                </c:pt>
                <c:pt idx="2">
                  <c:v>12.596564885496182</c:v>
                </c:pt>
                <c:pt idx="3">
                  <c:v>20.333870967741934</c:v>
                </c:pt>
              </c:numCache>
            </c:numRef>
          </c:val>
          <c:smooth val="0"/>
          <c:extLst>
            <c:ext xmlns:c16="http://schemas.microsoft.com/office/drawing/2014/chart" uri="{C3380CC4-5D6E-409C-BE32-E72D297353CC}">
              <c16:uniqueId val="{00000004-4C20-4995-8F16-5BAF8882F381}"/>
            </c:ext>
          </c:extLst>
        </c:ser>
        <c:ser>
          <c:idx val="3"/>
          <c:order val="3"/>
          <c:tx>
            <c:strRef>
              <c:f>'תרשים ז.המתנה לד.ציבורי מחוזות'!$G$9</c:f>
              <c:strCache>
                <c:ptCount val="1"/>
                <c:pt idx="0">
                  <c:v>דרום</c:v>
                </c:pt>
              </c:strCache>
            </c:strRef>
          </c:tx>
          <c:spPr>
            <a:ln w="28575" cap="rnd">
              <a:solidFill>
                <a:schemeClr val="accent4"/>
              </a:solidFill>
              <a:round/>
            </a:ln>
            <a:effectLst/>
          </c:spPr>
          <c:marker>
            <c:symbol val="none"/>
          </c:marker>
          <c:dLbls>
            <c:dLbl>
              <c:idx val="0"/>
              <c:layout>
                <c:manualLayout>
                  <c:x val="1.9143324415109634E-2"/>
                  <c:y val="1.881488091618419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15:layout>
                    <c:manualLayout>
                      <c:w val="4.4084313581405334E-2"/>
                      <c:h val="5.6403917889710414E-2"/>
                    </c:manualLayout>
                  </c15:layout>
                </c:ext>
                <c:ext xmlns:c16="http://schemas.microsoft.com/office/drawing/2014/chart" uri="{C3380CC4-5D6E-409C-BE32-E72D297353CC}">
                  <c16:uniqueId val="{00000005-4C20-4995-8F16-5BAF8882F381}"/>
                </c:ext>
              </c:extLst>
            </c:dLbl>
            <c:dLbl>
              <c:idx val="1"/>
              <c:layout>
                <c:manualLayout>
                  <c:x val="0"/>
                  <c:y val="3.2253729337454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20-4995-8F16-5BAF8882F3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'תרשים ז.המתנה לד.ציבורי מחוזות'!$C$10:$C$13</c:f>
              <c:strCache>
                <c:ptCount val="4"/>
                <c:pt idx="0">
                  <c:v>2016</c:v>
                </c:pt>
                <c:pt idx="1">
                  <c:v>2017</c:v>
                </c:pt>
                <c:pt idx="2">
                  <c:v>2018</c:v>
                </c:pt>
                <c:pt idx="3">
                  <c:v> ספטמבר 2019</c:v>
                </c:pt>
              </c:strCache>
            </c:strRef>
          </c:cat>
          <c:val>
            <c:numRef>
              <c:f>'תרשים ז.המתנה לד.ציבורי מחוזות'!$G$10:$G$13</c:f>
              <c:numCache>
                <c:formatCode>0</c:formatCode>
                <c:ptCount val="4"/>
                <c:pt idx="0">
                  <c:v>12.029694323144104</c:v>
                </c:pt>
                <c:pt idx="1">
                  <c:v>11.732989690721649</c:v>
                </c:pt>
                <c:pt idx="2">
                  <c:v>8.1312820512820512</c:v>
                </c:pt>
                <c:pt idx="3">
                  <c:v>13.959903381642512</c:v>
                </c:pt>
              </c:numCache>
            </c:numRef>
          </c:val>
          <c:smooth val="0"/>
          <c:extLst>
            <c:ext xmlns:c16="http://schemas.microsoft.com/office/drawing/2014/chart" uri="{C3380CC4-5D6E-409C-BE32-E72D297353CC}">
              <c16:uniqueId val="{00000007-4C20-4995-8F16-5BAF8882F381}"/>
            </c:ext>
          </c:extLst>
        </c:ser>
        <c:ser>
          <c:idx val="4"/>
          <c:order val="4"/>
          <c:tx>
            <c:strRef>
              <c:f>'תרשים ז.המתנה לד.ציבורי מחוזות'!$H$9</c:f>
              <c:strCache>
                <c:ptCount val="1"/>
                <c:pt idx="0">
                  <c:v>חיפה</c:v>
                </c:pt>
              </c:strCache>
            </c:strRef>
          </c:tx>
          <c:spPr>
            <a:ln w="28575" cap="rnd">
              <a:solidFill>
                <a:schemeClr val="accent5"/>
              </a:solidFill>
              <a:round/>
            </a:ln>
            <a:effectLst/>
          </c:spPr>
          <c:marker>
            <c:symbol val="none"/>
          </c:marker>
          <c:dLbls>
            <c:dLbl>
              <c:idx val="2"/>
              <c:layout>
                <c:manualLayout>
                  <c:x val="2.2825838849576049E-3"/>
                  <c:y val="-2.6878107781212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20-4995-8F16-5BAF8882F3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'תרשים ז.המתנה לד.ציבורי מחוזות'!$C$10:$C$13</c:f>
              <c:strCache>
                <c:ptCount val="4"/>
                <c:pt idx="0">
                  <c:v>2016</c:v>
                </c:pt>
                <c:pt idx="1">
                  <c:v>2017</c:v>
                </c:pt>
                <c:pt idx="2">
                  <c:v>2018</c:v>
                </c:pt>
                <c:pt idx="3">
                  <c:v> ספטמבר 2019</c:v>
                </c:pt>
              </c:strCache>
            </c:strRef>
          </c:cat>
          <c:val>
            <c:numRef>
              <c:f>'תרשים ז.המתנה לד.ציבורי מחוזות'!$H$10:$H$13</c:f>
              <c:numCache>
                <c:formatCode>0</c:formatCode>
                <c:ptCount val="4"/>
                <c:pt idx="0">
                  <c:v>27.066666666666666</c:v>
                </c:pt>
                <c:pt idx="1">
                  <c:v>23.874300254452926</c:v>
                </c:pt>
                <c:pt idx="2">
                  <c:v>26.951157407407404</c:v>
                </c:pt>
                <c:pt idx="3">
                  <c:v>31.494594594594595</c:v>
                </c:pt>
              </c:numCache>
            </c:numRef>
          </c:val>
          <c:smooth val="0"/>
          <c:extLst>
            <c:ext xmlns:c16="http://schemas.microsoft.com/office/drawing/2014/chart" uri="{C3380CC4-5D6E-409C-BE32-E72D297353CC}">
              <c16:uniqueId val="{00000009-4C20-4995-8F16-5BAF8882F381}"/>
            </c:ext>
          </c:extLst>
        </c:ser>
        <c:ser>
          <c:idx val="5"/>
          <c:order val="5"/>
          <c:tx>
            <c:strRef>
              <c:f>'תרשים ז.המתנה לד.ציבורי מחוזות'!$I$9</c:f>
              <c:strCache>
                <c:ptCount val="1"/>
                <c:pt idx="0">
                  <c:v>ירושלים</c:v>
                </c:pt>
              </c:strCache>
            </c:strRef>
          </c:tx>
          <c:spPr>
            <a:ln w="28575" cap="rnd">
              <a:solidFill>
                <a:schemeClr val="accent6"/>
              </a:solidFill>
              <a:round/>
            </a:ln>
            <a:effectLst/>
          </c:spPr>
          <c:marker>
            <c:symbol val="none"/>
          </c:marker>
          <c:dLbls>
            <c:dLbl>
              <c:idx val="0"/>
              <c:layout>
                <c:manualLayout>
                  <c:x val="0"/>
                  <c:y val="1.6126864668727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20-4995-8F16-5BAF8882F381}"/>
                </c:ext>
              </c:extLst>
            </c:dLbl>
            <c:dLbl>
              <c:idx val="1"/>
              <c:layout>
                <c:manualLayout>
                  <c:x val="-2.1716813055496321E-2"/>
                  <c:y val="-2.687795565716407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15:layout>
                    <c:manualLayout>
                      <c:w val="5.2397209291097167E-2"/>
                      <c:h val="4.5652580089242716E-2"/>
                    </c:manualLayout>
                  </c15:layout>
                </c:ext>
                <c:ext xmlns:c16="http://schemas.microsoft.com/office/drawing/2014/chart" uri="{C3380CC4-5D6E-409C-BE32-E72D297353CC}">
                  <c16:uniqueId val="{0000000B-4C20-4995-8F16-5BAF8882F381}"/>
                </c:ext>
              </c:extLst>
            </c:dLbl>
            <c:dLbl>
              <c:idx val="2"/>
              <c:layout>
                <c:manualLayout>
                  <c:x val="-8.3693775610813922E-17"/>
                  <c:y val="-2.4190297003091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20-4995-8F16-5BAF8882F3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'תרשים ז.המתנה לד.ציבורי מחוזות'!$C$10:$C$13</c:f>
              <c:strCache>
                <c:ptCount val="4"/>
                <c:pt idx="0">
                  <c:v>2016</c:v>
                </c:pt>
                <c:pt idx="1">
                  <c:v>2017</c:v>
                </c:pt>
                <c:pt idx="2">
                  <c:v>2018</c:v>
                </c:pt>
                <c:pt idx="3">
                  <c:v> ספטמבר 2019</c:v>
                </c:pt>
              </c:strCache>
            </c:strRef>
          </c:cat>
          <c:val>
            <c:numRef>
              <c:f>'תרשים ז.המתנה לד.ציבורי מחוזות'!$I$10:$I$13</c:f>
              <c:numCache>
                <c:formatCode>0</c:formatCode>
                <c:ptCount val="4"/>
                <c:pt idx="0">
                  <c:v>33.523095238095237</c:v>
                </c:pt>
                <c:pt idx="1">
                  <c:v>35.452708333333334</c:v>
                </c:pt>
                <c:pt idx="2">
                  <c:v>32.902197802197797</c:v>
                </c:pt>
                <c:pt idx="3">
                  <c:v>34.736286919831223</c:v>
                </c:pt>
              </c:numCache>
            </c:numRef>
          </c:val>
          <c:smooth val="0"/>
          <c:extLst>
            <c:ext xmlns:c16="http://schemas.microsoft.com/office/drawing/2014/chart" uri="{C3380CC4-5D6E-409C-BE32-E72D297353CC}">
              <c16:uniqueId val="{0000000D-4C20-4995-8F16-5BAF8882F381}"/>
            </c:ext>
          </c:extLst>
        </c:ser>
        <c:ser>
          <c:idx val="6"/>
          <c:order val="6"/>
          <c:tx>
            <c:strRef>
              <c:f>'תרשים ז.המתנה לד.ציבורי מחוזות'!$J$9</c:f>
              <c:strCache>
                <c:ptCount val="1"/>
                <c:pt idx="0">
                  <c:v>מרכז</c:v>
                </c:pt>
              </c:strCache>
            </c:strRef>
          </c:tx>
          <c:spPr>
            <a:ln w="28575" cap="rnd">
              <a:solidFill>
                <a:schemeClr val="accent1">
                  <a:lumMod val="60000"/>
                </a:schemeClr>
              </a:solidFill>
              <a:round/>
            </a:ln>
            <a:effectLst/>
          </c:spPr>
          <c:marker>
            <c:symbol val="none"/>
          </c:marker>
          <c:dLbls>
            <c:dLbl>
              <c:idx val="1"/>
              <c:layout>
                <c:manualLayout>
                  <c:x val="0"/>
                  <c:y val="-1.2219959266802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20-4995-8F16-5BAF8882F381}"/>
                </c:ext>
              </c:extLst>
            </c:dLbl>
            <c:dLbl>
              <c:idx val="2"/>
              <c:layout>
                <c:manualLayout>
                  <c:x val="-2.4327940639824841E-3"/>
                  <c:y val="-3.6659877800407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20-4995-8F16-5BAF8882F3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'תרשים ז.המתנה לד.ציבורי מחוזות'!$C$10:$C$13</c:f>
              <c:strCache>
                <c:ptCount val="4"/>
                <c:pt idx="0">
                  <c:v>2016</c:v>
                </c:pt>
                <c:pt idx="1">
                  <c:v>2017</c:v>
                </c:pt>
                <c:pt idx="2">
                  <c:v>2018</c:v>
                </c:pt>
                <c:pt idx="3">
                  <c:v> ספטמבר 2019</c:v>
                </c:pt>
              </c:strCache>
            </c:strRef>
          </c:cat>
          <c:val>
            <c:numRef>
              <c:f>'תרשים ז.המתנה לד.ציבורי מחוזות'!$J$10:$J$13</c:f>
              <c:numCache>
                <c:formatCode>0</c:formatCode>
                <c:ptCount val="4"/>
                <c:pt idx="0">
                  <c:v>40.528044280442806</c:v>
                </c:pt>
                <c:pt idx="1">
                  <c:v>52.477430555555557</c:v>
                </c:pt>
                <c:pt idx="2">
                  <c:v>47.407057546145488</c:v>
                </c:pt>
                <c:pt idx="3">
                  <c:v>47.430178326474625</c:v>
                </c:pt>
              </c:numCache>
            </c:numRef>
          </c:val>
          <c:smooth val="0"/>
          <c:extLst>
            <c:ext xmlns:c16="http://schemas.microsoft.com/office/drawing/2014/chart" uri="{C3380CC4-5D6E-409C-BE32-E72D297353CC}">
              <c16:uniqueId val="{00000010-4C20-4995-8F16-5BAF8882F381}"/>
            </c:ext>
          </c:extLst>
        </c:ser>
        <c:ser>
          <c:idx val="7"/>
          <c:order val="7"/>
          <c:tx>
            <c:strRef>
              <c:f>'תרשים ז.המתנה לד.ציבורי מחוזות'!$K$9</c:f>
              <c:strCache>
                <c:ptCount val="1"/>
                <c:pt idx="0">
                  <c:v>ארצי</c:v>
                </c:pt>
              </c:strCache>
            </c:strRef>
          </c:tx>
          <c:spPr>
            <a:ln w="28575" cap="rnd">
              <a:solidFill>
                <a:schemeClr val="accent2">
                  <a:lumMod val="60000"/>
                </a:schemeClr>
              </a:solidFill>
              <a:round/>
            </a:ln>
            <a:effectLst/>
          </c:spPr>
          <c:marker>
            <c:symbol val="none"/>
          </c:marker>
          <c:dLbls>
            <c:dLbl>
              <c:idx val="0"/>
              <c:layout>
                <c:manualLayout>
                  <c:x val="2.2825838849577723E-3"/>
                  <c:y val="2.1502486224969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20-4995-8F16-5BAF8882F381}"/>
                </c:ext>
              </c:extLst>
            </c:dLbl>
            <c:dLbl>
              <c:idx val="1"/>
              <c:layout>
                <c:manualLayout>
                  <c:x val="-2.2825838849577723E-3"/>
                  <c:y val="-1.6126864668727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20-4995-8F16-5BAF8882F381}"/>
                </c:ext>
              </c:extLst>
            </c:dLbl>
            <c:dLbl>
              <c:idx val="2"/>
              <c:layout>
                <c:manualLayout>
                  <c:x val="-8.3693775610813922E-17"/>
                  <c:y val="3.2253729337454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C20-4995-8F16-5BAF8882F381}"/>
                </c:ext>
              </c:extLst>
            </c:dLbl>
            <c:dLbl>
              <c:idx val="3"/>
              <c:layout>
                <c:manualLayout>
                  <c:x val="2.2825838849577723E-3"/>
                  <c:y val="2.6878107781212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C20-4995-8F16-5BAF8882F3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'תרשים ז.המתנה לד.ציבורי מחוזות'!$C$10:$C$13</c:f>
              <c:strCache>
                <c:ptCount val="4"/>
                <c:pt idx="0">
                  <c:v>2016</c:v>
                </c:pt>
                <c:pt idx="1">
                  <c:v>2017</c:v>
                </c:pt>
                <c:pt idx="2">
                  <c:v>2018</c:v>
                </c:pt>
                <c:pt idx="3">
                  <c:v> ספטמבר 2019</c:v>
                </c:pt>
              </c:strCache>
            </c:strRef>
          </c:cat>
          <c:val>
            <c:numRef>
              <c:f>'תרשים ז.המתנה לד.ציבורי מחוזות'!$K$10:$K$13</c:f>
              <c:numCache>
                <c:formatCode>0</c:formatCode>
                <c:ptCount val="4"/>
                <c:pt idx="0">
                  <c:v>25</c:v>
                </c:pt>
                <c:pt idx="1">
                  <c:v>27</c:v>
                </c:pt>
                <c:pt idx="2">
                  <c:v>26</c:v>
                </c:pt>
                <c:pt idx="3">
                  <c:v>31</c:v>
                </c:pt>
              </c:numCache>
            </c:numRef>
          </c:val>
          <c:smooth val="0"/>
          <c:extLst>
            <c:ext xmlns:c16="http://schemas.microsoft.com/office/drawing/2014/chart" uri="{C3380CC4-5D6E-409C-BE32-E72D297353CC}">
              <c16:uniqueId val="{00000015-4C20-4995-8F16-5BAF8882F381}"/>
            </c:ext>
          </c:extLst>
        </c:ser>
        <c:dLbls>
          <c:showLegendKey val="0"/>
          <c:showVal val="1"/>
          <c:showCatName val="0"/>
          <c:showSerName val="0"/>
          <c:showPercent val="0"/>
          <c:showBubbleSize val="0"/>
        </c:dLbls>
        <c:marker val="1"/>
        <c:smooth val="0"/>
        <c:axId val="105086336"/>
        <c:axId val="105084800"/>
      </c:lineChart>
      <c:catAx>
        <c:axId val="1050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5083264"/>
        <c:crossesAt val="0"/>
        <c:auto val="1"/>
        <c:lblAlgn val="ctr"/>
        <c:lblOffset val="100"/>
        <c:noMultiLvlLbl val="0"/>
      </c:catAx>
      <c:valAx>
        <c:axId val="10508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05065088"/>
        <c:crosses val="autoZero"/>
        <c:crossBetween val="between"/>
      </c:valAx>
      <c:valAx>
        <c:axId val="105084800"/>
        <c:scaling>
          <c:orientation val="minMax"/>
          <c:min val="0"/>
        </c:scaling>
        <c:delete val="1"/>
        <c:axPos val="l"/>
        <c:numFmt formatCode="#,##0" sourceLinked="0"/>
        <c:majorTickMark val="none"/>
        <c:minorTickMark val="none"/>
        <c:tickLblPos val="nextTo"/>
        <c:crossAx val="105086336"/>
        <c:crosses val="autoZero"/>
        <c:crossBetween val="between"/>
      </c:valAx>
      <c:catAx>
        <c:axId val="105086336"/>
        <c:scaling>
          <c:orientation val="minMax"/>
        </c:scaling>
        <c:delete val="1"/>
        <c:axPos val="b"/>
        <c:numFmt formatCode="General" sourceLinked="1"/>
        <c:majorTickMark val="none"/>
        <c:minorTickMark val="none"/>
        <c:tickLblPos val="nextTo"/>
        <c:crossAx val="105084800"/>
        <c:crosses val="autoZero"/>
        <c:auto val="1"/>
        <c:lblAlgn val="ctr"/>
        <c:lblOffset val="100"/>
        <c:noMultiLvlLbl val="0"/>
      </c:catAx>
      <c:spPr>
        <a:noFill/>
        <a:ln>
          <a:noFill/>
        </a:ln>
        <a:effectLst/>
      </c:spPr>
    </c:plotArea>
    <c:legend>
      <c:legendPos val="t"/>
      <c:legendEntry>
        <c:idx val="0"/>
        <c:delete val="1"/>
      </c:legendEntry>
      <c:legendEntry>
        <c:idx val="1"/>
        <c:delete val="1"/>
      </c:legendEntry>
      <c:layout>
        <c:manualLayout>
          <c:xMode val="edge"/>
          <c:yMode val="edge"/>
          <c:x val="0.16340388116854571"/>
          <c:y val="4.7440708453155692E-2"/>
          <c:w val="0.770504000222208"/>
          <c:h val="4.21351346515939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0.20744</cdr:x>
      <cdr:y>0.31463</cdr:y>
    </cdr:from>
    <cdr:to>
      <cdr:x>0.87273</cdr:x>
      <cdr:y>0.6289</cdr:y>
    </cdr:to>
    <cdr:pic>
      <cdr:nvPicPr>
        <cdr:cNvPr id="3" name="תמונה 2" descr="C:\Users\moti_atl.MEVAKER\AppData\Local\Microsoft\Windows\INetCache\Content.Word\arrow.png"/>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rot="808676">
          <a:off x="837359" y="601374"/>
          <a:ext cx="2685573" cy="60068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FD73B8-F8C7-4756-BE8B-2036836B14D1}">
  <ds:schemaRefs>
    <ds:schemaRef ds:uri="http://schemas.openxmlformats.org/officeDocument/2006/bibliography"/>
  </ds:schemaRefs>
</ds:datastoreItem>
</file>

<file path=customXml/itemProps2.xml><?xml version="1.0" encoding="utf-8"?>
<ds:datastoreItem xmlns:ds="http://schemas.openxmlformats.org/officeDocument/2006/customXml" ds:itemID="{1F3D507F-C8D6-4CC9-8877-1FC8A86866CB}"/>
</file>

<file path=customXml/itemProps3.xml><?xml version="1.0" encoding="utf-8"?>
<ds:datastoreItem xmlns:ds="http://schemas.openxmlformats.org/officeDocument/2006/customXml" ds:itemID="{F6BBB954-7869-4FBA-9B5D-9E422B5C7CF7}"/>
</file>

<file path=customXml/itemProps4.xml><?xml version="1.0" encoding="utf-8"?>
<ds:datastoreItem xmlns:ds="http://schemas.openxmlformats.org/officeDocument/2006/customXml" ds:itemID="{30C135B1-F4FA-4E22-B3BB-3BB676A5882C}"/>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2554</TotalTime>
  <Pages>45</Pages>
  <Words>9108</Words>
  <Characters>45542</Characters>
  <Application>Microsoft Office Word</Application>
  <DocSecurity>0</DocSecurity>
  <Lines>379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1149</cp:revision>
  <cp:lastPrinted>2020-02-23T08:43:00Z</cp:lastPrinted>
  <dcterms:created xsi:type="dcterms:W3CDTF">2020-02-23T14:43:00Z</dcterms:created>
  <dcterms:modified xsi:type="dcterms:W3CDTF">2020-04-30T17:55:00Z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