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quickStyle1.xml" ContentType="application/vnd.openxmlformats-officedocument.drawingml.diagramStyle+xml"/>
  <Override PartName="/word/diagrams/colors1.xml" ContentType="application/vnd.openxmlformats-officedocument.drawingml.diagramColors+xml"/>
  <Override PartName="/word/theme/theme1.xml" ContentType="application/vnd.openxmlformats-officedocument.theme+xml"/>
  <Override PartName="/word/diagrams/layout1.xml" ContentType="application/vnd.openxmlformats-officedocument.drawingml.diagramLayou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Pr>
      </w:pPr>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6413AC08" w14:textId="14C7A947" w:rsidR="00E35DF9" w:rsidRPr="00DE1ACD" w:rsidRDefault="00B72467" w:rsidP="00BA23AE">
      <w:pPr>
        <w:pStyle w:val="121"/>
        <w:rPr>
          <w:rtl/>
        </w:rPr>
      </w:pPr>
      <w:bookmarkStart w:id="0" w:name="_Hlk33962351"/>
      <w:r w:rsidRPr="00B72467">
        <w:rPr>
          <w:rtl/>
        </w:rPr>
        <w:t>מאזן המדינה ליום 31.12.18 -</w:t>
      </w:r>
      <w:r>
        <w:rPr>
          <w:rtl/>
        </w:rPr>
        <w:br/>
      </w:r>
      <w:r w:rsidRPr="00B72467">
        <w:rPr>
          <w:rtl/>
        </w:rPr>
        <w:t>השקעות בפרויקטים בשיתוף המגזר הפרטי</w:t>
      </w:r>
    </w:p>
    <w:bookmarkEnd w:id="0"/>
    <w:p w14:paraId="781158A7" w14:textId="24CBD158" w:rsidR="00E35DF9" w:rsidRDefault="00E35DF9" w:rsidP="008D2388">
      <w:pPr>
        <w:spacing w:line="240" w:lineRule="atLeast"/>
        <w:jc w:val="center"/>
        <w:rPr>
          <w:rFonts w:ascii="Tahoma" w:hAnsi="Tahoma" w:cs="Tahoma"/>
          <w:sz w:val="22"/>
          <w:szCs w:val="22"/>
          <w:rtl/>
        </w:rPr>
      </w:pPr>
    </w:p>
    <w:p w14:paraId="093BC877" w14:textId="55863114" w:rsidR="008B2E28" w:rsidRDefault="008B2E28" w:rsidP="008D2388">
      <w:pPr>
        <w:spacing w:line="240" w:lineRule="atLeast"/>
        <w:jc w:val="center"/>
        <w:rPr>
          <w:rFonts w:ascii="Tahoma" w:hAnsi="Tahoma" w:cs="Tahoma"/>
          <w:sz w:val="22"/>
          <w:szCs w:val="22"/>
          <w:rtl/>
        </w:rPr>
      </w:pPr>
    </w:p>
    <w:p w14:paraId="1815C0C8" w14:textId="15917D71" w:rsidR="008B2E28" w:rsidRDefault="008B2E28" w:rsidP="008D2388">
      <w:pPr>
        <w:spacing w:line="240" w:lineRule="atLeast"/>
        <w:jc w:val="center"/>
        <w:rPr>
          <w:rFonts w:ascii="Tahoma" w:hAnsi="Tahoma" w:cs="Tahoma"/>
          <w:sz w:val="22"/>
          <w:szCs w:val="22"/>
          <w:rtl/>
        </w:rPr>
      </w:pPr>
    </w:p>
    <w:p w14:paraId="09862827" w14:textId="7ABF1A4F" w:rsidR="008B2E28" w:rsidRDefault="008B2E28" w:rsidP="008D2388">
      <w:pPr>
        <w:spacing w:line="240" w:lineRule="atLeast"/>
        <w:jc w:val="center"/>
        <w:rPr>
          <w:rFonts w:ascii="Tahoma" w:hAnsi="Tahoma" w:cs="Tahoma"/>
          <w:sz w:val="22"/>
          <w:szCs w:val="22"/>
          <w:rtl/>
        </w:rPr>
      </w:pPr>
    </w:p>
    <w:p w14:paraId="1061471B" w14:textId="7EF19AC4" w:rsidR="008B2E28" w:rsidRDefault="008B2E28" w:rsidP="008D2388">
      <w:pPr>
        <w:spacing w:line="240" w:lineRule="atLeast"/>
        <w:jc w:val="center"/>
        <w:rPr>
          <w:rFonts w:ascii="Tahoma" w:hAnsi="Tahoma" w:cs="Tahoma"/>
          <w:sz w:val="22"/>
          <w:szCs w:val="22"/>
          <w:rtl/>
        </w:rPr>
      </w:pPr>
    </w:p>
    <w:p w14:paraId="40B3A360" w14:textId="77777777" w:rsidR="008B2E28" w:rsidRDefault="008B2E28" w:rsidP="008D2388">
      <w:pPr>
        <w:spacing w:line="240" w:lineRule="atLeast"/>
        <w:jc w:val="center"/>
        <w:rPr>
          <w:rFonts w:ascii="Tahoma" w:hAnsi="Tahoma" w:cs="Tahoma"/>
          <w:sz w:val="22"/>
          <w:szCs w:val="22"/>
          <w:rtl/>
        </w:rPr>
      </w:pPr>
    </w:p>
    <w:p w14:paraId="5F398D7B" w14:textId="0936FA68" w:rsidR="00E35DF9" w:rsidRDefault="00E35DF9" w:rsidP="008D2388">
      <w:pPr>
        <w:spacing w:line="240" w:lineRule="atLeast"/>
        <w:jc w:val="center"/>
        <w:rPr>
          <w:rFonts w:ascii="Tahoma" w:hAnsi="Tahoma" w:cs="Tahoma"/>
          <w:sz w:val="22"/>
          <w:szCs w:val="22"/>
          <w:rtl/>
        </w:rPr>
      </w:pPr>
    </w:p>
    <w:p w14:paraId="643846A8" w14:textId="77777777" w:rsidR="00B72467" w:rsidRDefault="00B72467" w:rsidP="008D2388">
      <w:pPr>
        <w:spacing w:line="240" w:lineRule="atLeast"/>
        <w:jc w:val="center"/>
        <w:rPr>
          <w:rFonts w:ascii="Tahoma" w:hAnsi="Tahoma" w:cs="Tahoma"/>
          <w:sz w:val="22"/>
          <w:szCs w:val="22"/>
          <w:rtl/>
        </w:rPr>
      </w:pPr>
    </w:p>
    <w:p w14:paraId="1AC7C61F" w14:textId="7D084E3A" w:rsidR="008C0B8B" w:rsidRDefault="008C0B8B" w:rsidP="008D2388">
      <w:pPr>
        <w:spacing w:line="240" w:lineRule="atLeast"/>
        <w:jc w:val="center"/>
        <w:rPr>
          <w:rFonts w:ascii="Tahoma" w:hAnsi="Tahoma" w:cs="Tahoma"/>
          <w:sz w:val="22"/>
          <w:szCs w:val="22"/>
          <w:rtl/>
        </w:rPr>
      </w:pPr>
    </w:p>
    <w:p w14:paraId="1081EBD1" w14:textId="2ACB3986" w:rsidR="00E35DF9" w:rsidRDefault="00E35DF9" w:rsidP="008D2388">
      <w:pPr>
        <w:spacing w:line="240" w:lineRule="atLeast"/>
        <w:jc w:val="center"/>
        <w:rPr>
          <w:rFonts w:ascii="Tahoma" w:hAnsi="Tahoma" w:cs="Tahoma"/>
          <w:sz w:val="22"/>
          <w:szCs w:val="22"/>
          <w:rtl/>
        </w:rPr>
      </w:pPr>
    </w:p>
    <w:p w14:paraId="516A87B8" w14:textId="77777777" w:rsidR="008C0B8B" w:rsidRDefault="008C0B8B" w:rsidP="008D2388">
      <w:pPr>
        <w:spacing w:line="240" w:lineRule="atLeast"/>
        <w:jc w:val="center"/>
        <w:rPr>
          <w:rFonts w:ascii="Tahoma" w:hAnsi="Tahoma" w:cs="Tahoma"/>
          <w:sz w:val="22"/>
          <w:szCs w:val="22"/>
          <w:rtl/>
        </w:rPr>
      </w:pPr>
    </w:p>
    <w:p w14:paraId="3ADC781F" w14:textId="36F91441" w:rsidR="00E35DF9" w:rsidRDefault="00E35DF9" w:rsidP="008D2388">
      <w:pPr>
        <w:spacing w:line="240" w:lineRule="atLeast"/>
        <w:jc w:val="center"/>
        <w:rPr>
          <w:rFonts w:ascii="Tahoma" w:hAnsi="Tahoma" w:cs="Tahoma"/>
          <w:sz w:val="22"/>
          <w:szCs w:val="22"/>
          <w:rtl/>
        </w:rPr>
      </w:pPr>
    </w:p>
    <w:p w14:paraId="0C8AD709" w14:textId="45682A71" w:rsidR="00E35DF9" w:rsidRDefault="00E35DF9" w:rsidP="008D2388">
      <w:pPr>
        <w:spacing w:line="240" w:lineRule="atLeast"/>
        <w:jc w:val="center"/>
        <w:rPr>
          <w:rFonts w:ascii="Tahoma" w:hAnsi="Tahoma" w:cs="Tahoma"/>
          <w:sz w:val="22"/>
          <w:szCs w:val="22"/>
          <w:rtl/>
        </w:rPr>
      </w:pPr>
    </w:p>
    <w:p w14:paraId="48311767" w14:textId="1E5BA8E8" w:rsidR="00E35DF9" w:rsidRDefault="00E35DF9" w:rsidP="008D2388">
      <w:pPr>
        <w:spacing w:line="240" w:lineRule="atLeast"/>
        <w:jc w:val="center"/>
        <w:rPr>
          <w:rFonts w:ascii="Tahoma" w:hAnsi="Tahoma" w:cs="Tahoma"/>
          <w:sz w:val="22"/>
          <w:szCs w:val="22"/>
          <w:rtl/>
        </w:rPr>
      </w:pPr>
    </w:p>
    <w:p w14:paraId="3D6B81A1" w14:textId="6058E3EA" w:rsidR="00E35DF9" w:rsidRDefault="00E35DF9" w:rsidP="008D2388">
      <w:pPr>
        <w:spacing w:line="240" w:lineRule="atLeast"/>
        <w:jc w:val="center"/>
        <w:rPr>
          <w:rFonts w:ascii="Tahoma" w:hAnsi="Tahoma" w:cs="Tahoma"/>
          <w:sz w:val="22"/>
          <w:szCs w:val="22"/>
          <w:rtl/>
        </w:rPr>
      </w:pPr>
    </w:p>
    <w:p w14:paraId="77438443" w14:textId="77777777" w:rsidR="00E35DF9" w:rsidRDefault="00E35DF9" w:rsidP="008D2388">
      <w:pPr>
        <w:spacing w:line="240" w:lineRule="atLeast"/>
        <w:jc w:val="center"/>
        <w:rPr>
          <w:rFonts w:ascii="Tahoma" w:hAnsi="Tahoma" w:cs="Tahoma"/>
          <w:sz w:val="22"/>
          <w:szCs w:val="22"/>
          <w:rtl/>
        </w:rPr>
      </w:pPr>
    </w:p>
    <w:p w14:paraId="6A2F2EDA" w14:textId="3DD0330E" w:rsidR="00084E3A" w:rsidRDefault="00417266" w:rsidP="008D2388">
      <w:pPr>
        <w:spacing w:line="240" w:lineRule="atLeast"/>
        <w:jc w:val="center"/>
        <w:rPr>
          <w:rFonts w:ascii="Tahoma" w:hAnsi="Tahoma" w:cs="Tahoma"/>
          <w:sz w:val="22"/>
          <w:szCs w:val="22"/>
          <w:rtl/>
        </w:rPr>
      </w:pPr>
      <w:r>
        <w:rPr>
          <w:noProof/>
          <w:rtl/>
        </w:rPr>
        <w:drawing>
          <wp:inline distT="0" distB="0" distL="0" distR="0" wp14:anchorId="08CF76F7" wp14:editId="1A139775">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6C332A19" w14:textId="77777777" w:rsidR="00DF00E9" w:rsidRDefault="00DF00E9" w:rsidP="00DF00E9">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77777777"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pgSz w:w="11906" w:h="16838" w:code="9"/>
          <w:pgMar w:top="2268" w:right="1985" w:bottom="2155" w:left="1701" w:header="1559" w:footer="709" w:gutter="0"/>
          <w:cols w:space="720"/>
          <w:titlePg/>
          <w:bidi/>
          <w:rtlGutter/>
          <w:docGrid w:linePitch="272"/>
        </w:sectPr>
      </w:pPr>
      <w:r>
        <w:rPr>
          <w:rFonts w:ascii="Tahoma" w:hAnsi="Tahoma" w:cs="Tahoma"/>
          <w:sz w:val="22"/>
          <w:szCs w:val="22"/>
          <w:rtl/>
        </w:rPr>
        <w:lastRenderedPageBreak/>
        <w:br w:type="page"/>
      </w:r>
    </w:p>
    <w:p w14:paraId="41F2B76C" w14:textId="1BFE38BD"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7CA6200B" wp14:editId="6C88437F">
            <wp:extent cx="5220000" cy="689074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20000" cy="6890743"/>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3ABF4BFC"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13B87B07">
            <wp:extent cx="5220000" cy="591626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20000" cy="5916268"/>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4DCF4D46"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55A942D9">
            <wp:extent cx="5219700" cy="5876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0001" cy="5877264"/>
                    </a:xfrm>
                    <a:prstGeom prst="rect">
                      <a:avLst/>
                    </a:prstGeom>
                    <a:ln>
                      <a:noFill/>
                    </a:ln>
                    <a:extLst>
                      <a:ext uri="{53640926-AAD7-44D8-BBD7-CCE9431645EC}">
                        <a14:shadowObscured xmlns:a14="http://schemas.microsoft.com/office/drawing/2010/main"/>
                      </a:ext>
                    </a:extLst>
                  </pic:spPr>
                </pic:pic>
              </a:graphicData>
            </a:graphic>
          </wp:inline>
        </w:drawing>
      </w:r>
    </w:p>
    <w:p w14:paraId="65CCEE68" w14:textId="2F6723F0" w:rsidR="00154682"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4F1AB499" wp14:editId="47A165FD">
            <wp:extent cx="5220000" cy="373141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9568" name="104 - 4 - הבטחת היתרון והחדשנות הטכנולוגיים של המשק הישראלי4.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20000" cy="3731417"/>
                    </a:xfrm>
                    <a:prstGeom prst="rect">
                      <a:avLst/>
                    </a:prstGeom>
                    <a:ln>
                      <a:noFill/>
                    </a:ln>
                    <a:extLst>
                      <a:ext uri="{53640926-AAD7-44D8-BBD7-CCE9431645EC}">
                        <a14:shadowObscured xmlns:a14="http://schemas.microsoft.com/office/drawing/2010/main"/>
                      </a:ext>
                    </a:extLst>
                  </pic:spPr>
                </pic:pic>
              </a:graphicData>
            </a:graphic>
          </wp:inline>
        </w:drawing>
      </w:r>
    </w:p>
    <w:p w14:paraId="01E2FC2E" w14:textId="77777777" w:rsidR="00327593" w:rsidRDefault="00327593" w:rsidP="00327593">
      <w:pPr>
        <w:spacing w:after="200" w:line="276" w:lineRule="auto"/>
        <w:rPr>
          <w:rFonts w:ascii="Tahoma" w:hAnsi="Tahoma" w:cs="Tahoma"/>
          <w:sz w:val="22"/>
          <w:szCs w:val="22"/>
        </w:rPr>
      </w:pPr>
    </w:p>
    <w:p w14:paraId="7BF10F81" w14:textId="77777777" w:rsidR="00084E3A" w:rsidRDefault="00084E3A" w:rsidP="00084E3A">
      <w:pPr>
        <w:bidi w:val="0"/>
        <w:spacing w:line="240" w:lineRule="auto"/>
        <w:jc w:val="left"/>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p>
    <w:p w14:paraId="3C61C471" w14:textId="5F169751" w:rsidR="0000085D" w:rsidRPr="00DE1ACD" w:rsidRDefault="00B72467" w:rsidP="00B72467">
      <w:pPr>
        <w:pStyle w:val="121"/>
        <w:rPr>
          <w:rtl/>
        </w:rPr>
      </w:pPr>
      <w:r w:rsidRPr="00B72467">
        <w:rPr>
          <w:rtl/>
        </w:rPr>
        <w:lastRenderedPageBreak/>
        <w:t>מאזן המדינה ליום 31.12.18 -</w:t>
      </w:r>
      <w:r>
        <w:rPr>
          <w:rtl/>
        </w:rPr>
        <w:br/>
      </w:r>
      <w:r w:rsidRPr="00B72467">
        <w:rPr>
          <w:rtl/>
        </w:rPr>
        <w:t>השקעות בפרויקטים בשיתוף המגזר הפרטי</w:t>
      </w:r>
    </w:p>
    <w:p w14:paraId="0ACBA940" w14:textId="5DF3864E" w:rsidR="00823E3A" w:rsidRDefault="006D5CCE" w:rsidP="00BC7178">
      <w:pPr>
        <w:pStyle w:val="316"/>
        <w:rPr>
          <w:rtl/>
        </w:rPr>
      </w:pPr>
      <w:r w:rsidRPr="001C72B2">
        <w:rPr>
          <w:rtl/>
        </w:rPr>
        <w:t>מבוא</w:t>
      </w:r>
      <w:bookmarkStart w:id="1" w:name="_Toc24624820"/>
      <w:bookmarkStart w:id="2" w:name="_Toc23159657"/>
      <w:bookmarkStart w:id="3" w:name="_Toc23160155"/>
      <w:bookmarkStart w:id="4" w:name="_Toc14955276"/>
      <w:bookmarkStart w:id="5" w:name="copyNevSelection"/>
    </w:p>
    <w:p w14:paraId="2CCAD12D" w14:textId="4141F39B" w:rsidR="00823E3A" w:rsidRDefault="00823E3A" w:rsidP="00BC7178">
      <w:pPr>
        <w:pStyle w:val="100"/>
        <w:rPr>
          <w:rtl/>
        </w:rPr>
      </w:pPr>
      <w:r>
        <w:rPr>
          <w:rFonts w:hint="cs"/>
          <w:rtl/>
        </w:rPr>
        <w:t xml:space="preserve">בסעיף 12 לחוק מבקר המדינה, התשי"ח-1958 [נוסח משולב], נקבע כי מדי שנה, במועד שיקבע המבקר אולם לא יאוחר משישה חודשים לאחר תום שנת הכספים של המדינה, ימציא שר האוצר למבקר המדינה "דין וחשבון כולל על ההכנסות וההוצאות של המדינה באותה שנה". עוד נקבע כי במועד שיקבע המבקר אולם לא יאוחר מתשעה חודשים לאחר תום שנת הכספים של המדינה, ימציא שר האוצר למבקר המדינה את "מאזן זכויותיה והתחייבויותיה של המדינה למועד תום שנת הכספים". </w:t>
      </w:r>
      <w:r w:rsidRPr="007658AD">
        <w:rPr>
          <w:rFonts w:hint="cs"/>
          <w:rtl/>
        </w:rPr>
        <w:t>ב-30.6.</w:t>
      </w:r>
      <w:r>
        <w:rPr>
          <w:rFonts w:hint="cs"/>
          <w:rtl/>
        </w:rPr>
        <w:t>19</w:t>
      </w:r>
      <w:r w:rsidRPr="007658AD">
        <w:rPr>
          <w:rFonts w:hint="cs"/>
          <w:rtl/>
        </w:rPr>
        <w:t xml:space="preserve"> הגיש שר האוצר למבקר המדינה את הדוחות הכספיים של ממשלת ישראל ל</w:t>
      </w:r>
      <w:r>
        <w:rPr>
          <w:rFonts w:hint="cs"/>
          <w:rtl/>
        </w:rPr>
        <w:t xml:space="preserve">יום </w:t>
      </w:r>
      <w:r w:rsidRPr="007658AD">
        <w:rPr>
          <w:rFonts w:hint="cs"/>
          <w:rtl/>
        </w:rPr>
        <w:t>31.12.18.</w:t>
      </w:r>
      <w:r>
        <w:rPr>
          <w:rFonts w:hint="cs"/>
          <w:rtl/>
        </w:rPr>
        <w:t xml:space="preserve"> הדוחות הכספיים שהוגשו</w:t>
      </w:r>
      <w:r>
        <w:rPr>
          <w:rStyle w:val="FootnoteReference"/>
          <w:rtl/>
        </w:rPr>
        <w:footnoteReference w:id="1"/>
      </w:r>
      <w:r>
        <w:rPr>
          <w:rFonts w:hint="cs"/>
          <w:rtl/>
        </w:rPr>
        <w:t xml:space="preserve"> אינם מבוקרים וכוללים הסתייגויות רבות מהמידע המוצג בהם וכן הסתייגויות בשל מידע חסר.</w:t>
      </w:r>
    </w:p>
    <w:p w14:paraId="571B693A" w14:textId="77777777" w:rsidR="00BC7178" w:rsidRDefault="00823E3A" w:rsidP="00BC7178">
      <w:pPr>
        <w:pStyle w:val="100"/>
        <w:rPr>
          <w:rtl/>
        </w:rPr>
      </w:pPr>
      <w:r w:rsidRPr="007658AD">
        <w:rPr>
          <w:rFonts w:hint="cs"/>
          <w:rtl/>
        </w:rPr>
        <w:t>בדוחות הכספיים המאוחדים של הממשלה</w:t>
      </w:r>
      <w:r>
        <w:rPr>
          <w:rStyle w:val="FootnoteReference"/>
          <w:rtl/>
        </w:rPr>
        <w:footnoteReference w:id="2"/>
      </w:r>
      <w:r w:rsidRPr="007658AD">
        <w:rPr>
          <w:rFonts w:hint="cs"/>
          <w:rtl/>
        </w:rPr>
        <w:t xml:space="preserve"> ל-31.12.18</w:t>
      </w:r>
      <w:r>
        <w:rPr>
          <w:rFonts w:hint="cs"/>
          <w:rtl/>
        </w:rPr>
        <w:t xml:space="preserve"> מוצגת יתרת "השקעה </w:t>
      </w:r>
      <w:r w:rsidRPr="007658AD">
        <w:rPr>
          <w:rFonts w:hint="cs"/>
          <w:rtl/>
        </w:rPr>
        <w:t>בפרויקטים בשיתוף המגזר הפרטי" בהיקף של כ-32.2 מיליארד ש"ח ויתרת "התחייבויות בגין פרויקטים בשיתוף המגזר הפרטי" של כ-27</w:t>
      </w:r>
      <w:r>
        <w:rPr>
          <w:rFonts w:hint="cs"/>
          <w:rtl/>
        </w:rPr>
        <w:t xml:space="preserve"> מיליארד ש"ח</w:t>
      </w:r>
      <w:r>
        <w:rPr>
          <w:rStyle w:val="FootnoteReference"/>
          <w:rtl/>
        </w:rPr>
        <w:footnoteReference w:id="3"/>
      </w:r>
      <w:r>
        <w:rPr>
          <w:rFonts w:hint="cs"/>
          <w:rtl/>
        </w:rPr>
        <w:t>.</w:t>
      </w:r>
      <w:r w:rsidRPr="007658AD">
        <w:rPr>
          <w:rFonts w:hint="cs"/>
          <w:rtl/>
        </w:rPr>
        <w:t xml:space="preserve"> </w:t>
      </w:r>
      <w:r>
        <w:rPr>
          <w:rFonts w:hint="cs"/>
          <w:rtl/>
        </w:rPr>
        <w:t xml:space="preserve">הנתונים בדוחות הכספיים מוצגים על פי תקן חשבונאות ממשלתי מספר 32 - הסדרי זיכיון למתן שירות: המעניק, דצמבר 2014. התקן </w:t>
      </w:r>
    </w:p>
    <w:p w14:paraId="1D63C57D" w14:textId="77777777" w:rsidR="00BC7178" w:rsidRDefault="00BC7178">
      <w:pPr>
        <w:bidi w:val="0"/>
        <w:spacing w:after="200" w:line="276" w:lineRule="auto"/>
        <w:rPr>
          <w:rFonts w:ascii="Tahoma" w:hAnsi="Tahoma" w:cs="Tahoma"/>
          <w:szCs w:val="20"/>
          <w:rtl/>
        </w:rPr>
      </w:pPr>
      <w:r>
        <w:rPr>
          <w:rtl/>
        </w:rPr>
        <w:br w:type="page"/>
      </w:r>
    </w:p>
    <w:p w14:paraId="7BC77AD8" w14:textId="51A0B59A" w:rsidR="00823E3A" w:rsidRDefault="00823E3A" w:rsidP="00BC7178">
      <w:pPr>
        <w:pStyle w:val="100"/>
        <w:rPr>
          <w:rtl/>
        </w:rPr>
      </w:pPr>
      <w:r>
        <w:rPr>
          <w:rFonts w:hint="cs"/>
          <w:rtl/>
        </w:rPr>
        <w:lastRenderedPageBreak/>
        <w:t>האמור מתווה את הטיפול החשבונאי של המעניק, שהוא גוף ממשלתי המעניק למפעיל את הזכות להשתמש בנכס זיכיון לשם מתן שירות, וזאת על פי הסדרי זיכיון למתן שירות</w:t>
      </w:r>
      <w:r>
        <w:rPr>
          <w:rStyle w:val="FootnoteReference"/>
          <w:rtl/>
        </w:rPr>
        <w:footnoteReference w:id="4"/>
      </w:r>
      <w:r w:rsidRPr="00214B54">
        <w:rPr>
          <w:rFonts w:hint="cs"/>
          <w:rtl/>
        </w:rPr>
        <w:t>.</w:t>
      </w:r>
    </w:p>
    <w:p w14:paraId="2FAB7AA7" w14:textId="77777777" w:rsidR="00823E3A" w:rsidRDefault="00823E3A" w:rsidP="00BC7178">
      <w:pPr>
        <w:pStyle w:val="100"/>
        <w:rPr>
          <w:rtl/>
        </w:rPr>
      </w:pPr>
      <w:r>
        <w:rPr>
          <w:rFonts w:hint="cs"/>
          <w:rtl/>
        </w:rPr>
        <w:t xml:space="preserve">סעיף "השקעה בפרויקטים בשיתוף המגזר הפרטי" (להלן - פרויקטים בשיטת </w:t>
      </w:r>
      <w:r>
        <w:rPr>
          <w:rFonts w:hint="cs"/>
        </w:rPr>
        <w:t>PPP</w:t>
      </w:r>
      <w:r>
        <w:rPr>
          <w:rStyle w:val="FootnoteReference"/>
          <w:rtl/>
        </w:rPr>
        <w:footnoteReference w:id="5"/>
      </w:r>
      <w:r>
        <w:rPr>
          <w:rFonts w:hint="cs"/>
          <w:rtl/>
        </w:rPr>
        <w:t xml:space="preserve"> או שותפות ציבורית פרטית) כולל פרויקטים בתחום התחבורה, המים, הבינוי הציבורי והאנרגיה הסולארית. בפרויקטים מסוג זה המדינה מעבירה לזכיינים זכות לספק שירותים לציבור באמצעות הרשאה לשימוש בתשתיות או במתקנים קיימים או המוקמים במיוחד למטרה זאת. החוזים שנחתמים עם הזכיינים השונים הם למימון הפרויקטים, להקמתם, לתפעולם ולתחזוקתם. </w:t>
      </w:r>
    </w:p>
    <w:p w14:paraId="201A41F7" w14:textId="77777777" w:rsidR="00823E3A" w:rsidRPr="00133651" w:rsidRDefault="00823E3A" w:rsidP="00BC7178">
      <w:pPr>
        <w:pStyle w:val="100"/>
        <w:rPr>
          <w:rtl/>
        </w:rPr>
      </w:pPr>
      <w:r w:rsidRPr="00133651">
        <w:rPr>
          <w:rFonts w:hint="cs"/>
          <w:rtl/>
        </w:rPr>
        <w:t>בתרשים 1 מובאים נתונים מהדוחות הכספיים המאוחדים של הממשלה המשקפים את התפתחות ההשקעה וההתחייבות בגין פרויקטים בשיתוף המגזר הפרטי ב</w:t>
      </w:r>
      <w:r>
        <w:rPr>
          <w:rFonts w:hint="cs"/>
          <w:rtl/>
        </w:rPr>
        <w:t>שנים 2014 - 2018</w:t>
      </w:r>
      <w:r w:rsidRPr="00133651">
        <w:rPr>
          <w:rFonts w:hint="cs"/>
          <w:rtl/>
        </w:rPr>
        <w:t xml:space="preserve">. </w:t>
      </w:r>
    </w:p>
    <w:p w14:paraId="2A61715B" w14:textId="77777777" w:rsidR="00823E3A" w:rsidRDefault="00823E3A" w:rsidP="00823E3A">
      <w:pPr>
        <w:bidi w:val="0"/>
        <w:spacing w:after="200" w:line="276" w:lineRule="auto"/>
        <w:rPr>
          <w:szCs w:val="20"/>
          <w:rtl/>
        </w:rPr>
      </w:pPr>
      <w:r>
        <w:rPr>
          <w:rtl/>
        </w:rPr>
        <w:br w:type="page"/>
      </w:r>
    </w:p>
    <w:p w14:paraId="1A8227AA" w14:textId="1E6084F1" w:rsidR="00823E3A" w:rsidRPr="00BC7178" w:rsidRDefault="00823E3A" w:rsidP="00BC7178">
      <w:pPr>
        <w:pStyle w:val="aa"/>
        <w:rPr>
          <w:b/>
          <w:bCs/>
          <w:rtl/>
        </w:rPr>
      </w:pPr>
      <w:r w:rsidRPr="00133651">
        <w:rPr>
          <w:rFonts w:hint="cs"/>
          <w:rtl/>
        </w:rPr>
        <w:lastRenderedPageBreak/>
        <w:t xml:space="preserve">תרשים 1: </w:t>
      </w:r>
      <w:r w:rsidRPr="00BC7178">
        <w:rPr>
          <w:rFonts w:hint="cs"/>
          <w:b/>
          <w:bCs/>
          <w:rtl/>
        </w:rPr>
        <w:t>התפתחות ההשקעה וההתחייבויות בפרויקטים בשיתוף המגזר הפרטי בארץ,</w:t>
      </w:r>
      <w:r w:rsidR="00BC7178" w:rsidRPr="00BC7178">
        <w:rPr>
          <w:rFonts w:hint="cs"/>
          <w:b/>
          <w:bCs/>
          <w:rtl/>
        </w:rPr>
        <w:t xml:space="preserve"> </w:t>
      </w:r>
      <w:r w:rsidRPr="00BC7178">
        <w:rPr>
          <w:rFonts w:hint="cs"/>
          <w:b/>
          <w:bCs/>
          <w:rtl/>
        </w:rPr>
        <w:t>2014 - 2018</w:t>
      </w:r>
    </w:p>
    <w:p w14:paraId="0E386340" w14:textId="77777777" w:rsidR="00823E3A" w:rsidRDefault="00823E3A" w:rsidP="00823E3A">
      <w:pPr>
        <w:spacing w:line="269" w:lineRule="auto"/>
        <w:jc w:val="center"/>
        <w:rPr>
          <w:rtl/>
        </w:rPr>
      </w:pPr>
      <w:r>
        <w:rPr>
          <w:noProof/>
        </w:rPr>
        <w:drawing>
          <wp:inline distT="0" distB="0" distL="0" distR="0" wp14:anchorId="4413B5ED" wp14:editId="43370EC1">
            <wp:extent cx="5219700" cy="3178175"/>
            <wp:effectExtent l="0" t="0" r="0" b="3175"/>
            <wp:docPr id="6" name="תרשים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C68EDE9" w14:textId="427133B5" w:rsidR="00823E3A" w:rsidRDefault="00823E3A" w:rsidP="00676850">
      <w:pPr>
        <w:pStyle w:val="aff3"/>
        <w:rPr>
          <w:rtl/>
        </w:rPr>
      </w:pPr>
      <w:r w:rsidRPr="004269CB">
        <w:rPr>
          <w:rFonts w:hint="cs"/>
          <w:rtl/>
        </w:rPr>
        <w:t>המקור: הדוחות הכספיים המאוחדים של הממשלה לשנים</w:t>
      </w:r>
      <w:r>
        <w:rPr>
          <w:rFonts w:hint="cs"/>
          <w:rtl/>
        </w:rPr>
        <w:t xml:space="preserve"> 2014 - 2018</w:t>
      </w:r>
      <w:r w:rsidRPr="004269CB">
        <w:rPr>
          <w:rFonts w:hint="cs"/>
          <w:rtl/>
        </w:rPr>
        <w:t xml:space="preserve">, </w:t>
      </w:r>
      <w:r w:rsidRPr="004269CB">
        <w:rPr>
          <w:rFonts w:hint="eastAsia"/>
          <w:rtl/>
        </w:rPr>
        <w:t>בעיבוד</w:t>
      </w:r>
      <w:r w:rsidRPr="004269CB">
        <w:rPr>
          <w:rtl/>
        </w:rPr>
        <w:t xml:space="preserve"> משרד מבקר המדינה</w:t>
      </w:r>
    </w:p>
    <w:p w14:paraId="0BD96D91" w14:textId="77777777" w:rsidR="00BC7178" w:rsidRDefault="00BC7178" w:rsidP="00BC7178">
      <w:pPr>
        <w:pStyle w:val="ac"/>
        <w:rPr>
          <w:rtl/>
        </w:rPr>
      </w:pPr>
    </w:p>
    <w:p w14:paraId="7BB026FF" w14:textId="55F981F3" w:rsidR="00823E3A" w:rsidRPr="00BC7178" w:rsidRDefault="00823E3A" w:rsidP="00BC7178">
      <w:pPr>
        <w:pStyle w:val="100"/>
        <w:rPr>
          <w:rtl/>
        </w:rPr>
      </w:pPr>
      <w:r w:rsidRPr="00BB4C27">
        <w:rPr>
          <w:rFonts w:hint="cs"/>
          <w:rtl/>
        </w:rPr>
        <w:t xml:space="preserve">תרשים 1 </w:t>
      </w:r>
      <w:r>
        <w:rPr>
          <w:rFonts w:hint="cs"/>
          <w:rtl/>
        </w:rPr>
        <w:t>מצביע על</w:t>
      </w:r>
      <w:r w:rsidRPr="00BB4C27">
        <w:rPr>
          <w:rFonts w:hint="cs"/>
          <w:rtl/>
        </w:rPr>
        <w:t xml:space="preserve"> צמיחה </w:t>
      </w:r>
      <w:r>
        <w:rPr>
          <w:rFonts w:hint="cs"/>
          <w:rtl/>
        </w:rPr>
        <w:t>ניכרת</w:t>
      </w:r>
      <w:r w:rsidRPr="00BB4C27">
        <w:rPr>
          <w:rFonts w:hint="cs"/>
          <w:rtl/>
        </w:rPr>
        <w:t xml:space="preserve"> בהיקף הביצוע של פרויקטים מסוג זה בארץ בשנים </w:t>
      </w:r>
      <w:r w:rsidRPr="00BC7178">
        <w:rPr>
          <w:rFonts w:hint="cs"/>
          <w:rtl/>
        </w:rPr>
        <w:t>האחרונות.</w:t>
      </w:r>
    </w:p>
    <w:p w14:paraId="2FD4FFAC" w14:textId="77777777" w:rsidR="00823E3A" w:rsidRDefault="00823E3A" w:rsidP="00BC7178">
      <w:pPr>
        <w:pStyle w:val="100"/>
        <w:rPr>
          <w:rtl/>
        </w:rPr>
      </w:pPr>
      <w:r w:rsidRPr="00BC7178">
        <w:rPr>
          <w:rFonts w:hint="cs"/>
          <w:rtl/>
        </w:rPr>
        <w:t>בתרשימים 2 ו-3 מובאים נתונים מהדוחות הכספיים המאוחדים של הממשלה בדבר התפתחות ההשקעה וההתחייבות בגין פרויקטים בשיתוף המגזר הפרטי בשנים 2014 - 2018 כשיעור (באחוזים</w:t>
      </w:r>
      <w:r>
        <w:rPr>
          <w:rFonts w:hint="cs"/>
          <w:rtl/>
        </w:rPr>
        <w:t>) מסך הנכסים ומסך ההתחייבויות במאזן וכשיעור (באחוזים) מהתוצר המקומי הגולמי (</w:t>
      </w:r>
      <w:r>
        <w:t>(</w:t>
      </w:r>
      <w:r>
        <w:rPr>
          <w:rFonts w:hint="cs"/>
        </w:rPr>
        <w:t>GDP</w:t>
      </w:r>
      <w:r>
        <w:rPr>
          <w:rFonts w:hint="cs"/>
          <w:rtl/>
        </w:rPr>
        <w:t xml:space="preserve"> (להלן - תמ"ג) בהתאמה.</w:t>
      </w:r>
    </w:p>
    <w:p w14:paraId="3F1C49F8" w14:textId="77777777" w:rsidR="00823E3A" w:rsidRPr="00BC7178" w:rsidRDefault="00823E3A" w:rsidP="00BC7178">
      <w:pPr>
        <w:pStyle w:val="aa"/>
        <w:rPr>
          <w:b/>
          <w:bCs/>
          <w:rtl/>
        </w:rPr>
      </w:pPr>
      <w:r w:rsidRPr="00214B54">
        <w:rPr>
          <w:rFonts w:hint="cs"/>
          <w:rtl/>
        </w:rPr>
        <w:lastRenderedPageBreak/>
        <w:t xml:space="preserve">תרשים </w:t>
      </w:r>
      <w:r>
        <w:rPr>
          <w:rFonts w:hint="cs"/>
          <w:rtl/>
        </w:rPr>
        <w:t xml:space="preserve">2: </w:t>
      </w:r>
      <w:r w:rsidRPr="00BC7178">
        <w:rPr>
          <w:rFonts w:hint="cs"/>
          <w:b/>
          <w:bCs/>
          <w:rtl/>
        </w:rPr>
        <w:t>שיעור ההתפתחות של ההשקעה וההתחייבות בפרויקטים בשיתוף המגזר הפרטי בארץ מסך הנכסים ומסך ההתחייבויות, באחוזים, 2014 - 2018</w:t>
      </w:r>
    </w:p>
    <w:p w14:paraId="3B4E8197" w14:textId="77777777" w:rsidR="00823E3A" w:rsidRDefault="00823E3A" w:rsidP="00823E3A">
      <w:pPr>
        <w:spacing w:line="269" w:lineRule="auto"/>
        <w:jc w:val="center"/>
        <w:rPr>
          <w:rtl/>
        </w:rPr>
      </w:pPr>
      <w:r>
        <w:rPr>
          <w:noProof/>
        </w:rPr>
        <w:drawing>
          <wp:inline distT="0" distB="0" distL="0" distR="0" wp14:anchorId="323DCACB" wp14:editId="04406B55">
            <wp:extent cx="5219700" cy="2667000"/>
            <wp:effectExtent l="0" t="0" r="19050" b="19050"/>
            <wp:docPr id="11" name="תרשים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DCE572B" w14:textId="77777777" w:rsidR="00823E3A" w:rsidRPr="004269CB" w:rsidRDefault="00823E3A" w:rsidP="00676850">
      <w:pPr>
        <w:pStyle w:val="aff3"/>
        <w:rPr>
          <w:rtl/>
        </w:rPr>
      </w:pPr>
      <w:r w:rsidRPr="004269CB">
        <w:rPr>
          <w:rFonts w:hint="cs"/>
          <w:rtl/>
        </w:rPr>
        <w:t xml:space="preserve">המקור: הדוחות הכספיים המאוחדים של הממשלה לשנים </w:t>
      </w:r>
      <w:r>
        <w:rPr>
          <w:rFonts w:hint="cs"/>
          <w:rtl/>
        </w:rPr>
        <w:t>2014 - 2018</w:t>
      </w:r>
      <w:r w:rsidRPr="004269CB">
        <w:rPr>
          <w:rFonts w:hint="cs"/>
          <w:rtl/>
        </w:rPr>
        <w:t>, בעיבוד</w:t>
      </w:r>
      <w:r w:rsidRPr="004269CB">
        <w:rPr>
          <w:rtl/>
        </w:rPr>
        <w:t xml:space="preserve"> משרד מבקר המדינה</w:t>
      </w:r>
    </w:p>
    <w:p w14:paraId="2F4CF9BE" w14:textId="77777777" w:rsidR="00BC7178" w:rsidRDefault="00BC7178" w:rsidP="00BC7178">
      <w:pPr>
        <w:pStyle w:val="ac"/>
        <w:rPr>
          <w:rtl/>
        </w:rPr>
      </w:pPr>
    </w:p>
    <w:p w14:paraId="2776EC66" w14:textId="77777777" w:rsidR="00823E3A" w:rsidRPr="00BC7178" w:rsidRDefault="00823E3A" w:rsidP="00BC7178">
      <w:pPr>
        <w:pStyle w:val="aa"/>
        <w:rPr>
          <w:b/>
          <w:bCs/>
          <w:rtl/>
        </w:rPr>
      </w:pPr>
      <w:r w:rsidRPr="00766B08">
        <w:rPr>
          <w:rFonts w:hint="eastAsia"/>
          <w:rtl/>
        </w:rPr>
        <w:t>תרשים</w:t>
      </w:r>
      <w:r w:rsidRPr="00766B08">
        <w:rPr>
          <w:rtl/>
        </w:rPr>
        <w:t xml:space="preserve"> 3</w:t>
      </w:r>
      <w:r>
        <w:rPr>
          <w:rFonts w:hint="cs"/>
          <w:rtl/>
        </w:rPr>
        <w:t xml:space="preserve">: </w:t>
      </w:r>
      <w:r w:rsidRPr="00BC7178">
        <w:rPr>
          <w:rFonts w:hint="cs"/>
          <w:b/>
          <w:bCs/>
          <w:rtl/>
        </w:rPr>
        <w:t>שיעור ההתפתחות של ההשקעה וההתחייבויות בפרויקטים בשיתוף המגזר הפרטי בארץ מהתמ"ג, באחוזים, 2014 - 2018</w:t>
      </w:r>
    </w:p>
    <w:p w14:paraId="1857D0CF" w14:textId="77777777" w:rsidR="00823E3A" w:rsidRDefault="00823E3A" w:rsidP="00823E3A">
      <w:pPr>
        <w:spacing w:line="269" w:lineRule="auto"/>
        <w:jc w:val="center"/>
        <w:rPr>
          <w:rtl/>
        </w:rPr>
      </w:pPr>
      <w:r>
        <w:rPr>
          <w:noProof/>
        </w:rPr>
        <w:drawing>
          <wp:inline distT="0" distB="0" distL="0" distR="0" wp14:anchorId="2DD8AA7E" wp14:editId="6C1168EE">
            <wp:extent cx="5219700" cy="3133725"/>
            <wp:effectExtent l="0" t="0" r="0" b="9525"/>
            <wp:docPr id="5" name="תרשים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F2612C" w14:textId="77777777" w:rsidR="00823E3A" w:rsidRPr="00207720" w:rsidRDefault="00823E3A" w:rsidP="00676850">
      <w:pPr>
        <w:pStyle w:val="aff3"/>
        <w:ind w:left="0" w:firstLine="0"/>
        <w:rPr>
          <w:rtl/>
        </w:rPr>
      </w:pPr>
      <w:r w:rsidRPr="00207720">
        <w:rPr>
          <w:rFonts w:hint="eastAsia"/>
          <w:rtl/>
        </w:rPr>
        <w:t>המקור</w:t>
      </w:r>
      <w:r w:rsidRPr="00207720">
        <w:rPr>
          <w:rtl/>
        </w:rPr>
        <w:t xml:space="preserve">: </w:t>
      </w:r>
      <w:r w:rsidRPr="00207720">
        <w:rPr>
          <w:rFonts w:hint="eastAsia"/>
          <w:rtl/>
        </w:rPr>
        <w:t>הדוחות</w:t>
      </w:r>
      <w:r w:rsidRPr="00207720">
        <w:rPr>
          <w:rtl/>
        </w:rPr>
        <w:t xml:space="preserve"> </w:t>
      </w:r>
      <w:r w:rsidRPr="00207720">
        <w:rPr>
          <w:rFonts w:hint="eastAsia"/>
          <w:rtl/>
        </w:rPr>
        <w:t>הכספיים</w:t>
      </w:r>
      <w:r w:rsidRPr="00207720">
        <w:rPr>
          <w:rtl/>
        </w:rPr>
        <w:t xml:space="preserve"> </w:t>
      </w:r>
      <w:r w:rsidRPr="00207720">
        <w:rPr>
          <w:rFonts w:hint="eastAsia"/>
          <w:rtl/>
        </w:rPr>
        <w:t>המאוחדים</w:t>
      </w:r>
      <w:r w:rsidRPr="00207720">
        <w:rPr>
          <w:rtl/>
        </w:rPr>
        <w:t xml:space="preserve"> </w:t>
      </w:r>
      <w:r w:rsidRPr="00207720">
        <w:rPr>
          <w:rFonts w:hint="eastAsia"/>
          <w:rtl/>
        </w:rPr>
        <w:t>של</w:t>
      </w:r>
      <w:r w:rsidRPr="00207720">
        <w:rPr>
          <w:rtl/>
        </w:rPr>
        <w:t xml:space="preserve"> </w:t>
      </w:r>
      <w:r w:rsidRPr="00207720">
        <w:rPr>
          <w:rFonts w:hint="eastAsia"/>
          <w:rtl/>
        </w:rPr>
        <w:t>הממשלה</w:t>
      </w:r>
      <w:r w:rsidRPr="00207720">
        <w:rPr>
          <w:rtl/>
        </w:rPr>
        <w:t xml:space="preserve"> </w:t>
      </w:r>
      <w:r w:rsidRPr="00207720">
        <w:rPr>
          <w:rFonts w:hint="eastAsia"/>
          <w:rtl/>
        </w:rPr>
        <w:t>לשנים</w:t>
      </w:r>
      <w:r w:rsidRPr="00207720">
        <w:rPr>
          <w:rtl/>
        </w:rPr>
        <w:t xml:space="preserve"> </w:t>
      </w:r>
      <w:r>
        <w:rPr>
          <w:rFonts w:hint="cs"/>
          <w:rtl/>
        </w:rPr>
        <w:t>2014 - 2018</w:t>
      </w:r>
      <w:r w:rsidRPr="00207720">
        <w:rPr>
          <w:rtl/>
        </w:rPr>
        <w:t xml:space="preserve">, </w:t>
      </w:r>
      <w:r w:rsidRPr="00207720">
        <w:rPr>
          <w:rFonts w:hint="eastAsia"/>
          <w:rtl/>
        </w:rPr>
        <w:t>הלשכה</w:t>
      </w:r>
      <w:r w:rsidRPr="00207720">
        <w:rPr>
          <w:rtl/>
        </w:rPr>
        <w:t xml:space="preserve"> </w:t>
      </w:r>
      <w:r w:rsidRPr="00207720">
        <w:rPr>
          <w:rFonts w:hint="eastAsia"/>
          <w:rtl/>
        </w:rPr>
        <w:t>המרכזית</w:t>
      </w:r>
      <w:r w:rsidRPr="00207720">
        <w:rPr>
          <w:rtl/>
        </w:rPr>
        <w:t xml:space="preserve"> </w:t>
      </w:r>
      <w:r w:rsidRPr="00207720">
        <w:rPr>
          <w:rFonts w:hint="eastAsia"/>
          <w:rtl/>
        </w:rPr>
        <w:t>לסטטיסטיקה</w:t>
      </w:r>
      <w:r w:rsidRPr="00207720">
        <w:rPr>
          <w:rtl/>
        </w:rPr>
        <w:t xml:space="preserve">, </w:t>
      </w:r>
      <w:r w:rsidRPr="00207720">
        <w:rPr>
          <w:rFonts w:hint="eastAsia"/>
          <w:rtl/>
        </w:rPr>
        <w:t>בעיבוד</w:t>
      </w:r>
      <w:r w:rsidRPr="00207720">
        <w:rPr>
          <w:rtl/>
        </w:rPr>
        <w:t xml:space="preserve"> </w:t>
      </w:r>
      <w:r w:rsidRPr="00207720">
        <w:rPr>
          <w:rFonts w:hint="eastAsia"/>
          <w:rtl/>
        </w:rPr>
        <w:t>משרד</w:t>
      </w:r>
      <w:r w:rsidRPr="00207720">
        <w:rPr>
          <w:rtl/>
        </w:rPr>
        <w:t xml:space="preserve"> </w:t>
      </w:r>
      <w:r w:rsidRPr="00207720">
        <w:rPr>
          <w:rFonts w:hint="eastAsia"/>
          <w:rtl/>
        </w:rPr>
        <w:t>מבקר</w:t>
      </w:r>
      <w:r w:rsidRPr="00207720">
        <w:rPr>
          <w:rtl/>
        </w:rPr>
        <w:t xml:space="preserve"> </w:t>
      </w:r>
      <w:r w:rsidRPr="00207720">
        <w:rPr>
          <w:rFonts w:hint="eastAsia"/>
          <w:rtl/>
        </w:rPr>
        <w:t>המדינה</w:t>
      </w:r>
    </w:p>
    <w:p w14:paraId="1C86DC3C" w14:textId="77777777" w:rsidR="00823E3A" w:rsidRDefault="00823E3A" w:rsidP="00823E3A">
      <w:pPr>
        <w:spacing w:line="269" w:lineRule="auto"/>
        <w:rPr>
          <w:rtl/>
        </w:rPr>
      </w:pPr>
    </w:p>
    <w:p w14:paraId="7CBB9806" w14:textId="77777777" w:rsidR="00823E3A" w:rsidRDefault="00823E3A" w:rsidP="00BC7178">
      <w:pPr>
        <w:pStyle w:val="316"/>
        <w:rPr>
          <w:rtl/>
        </w:rPr>
      </w:pPr>
      <w:r>
        <w:rPr>
          <w:rFonts w:hint="cs"/>
          <w:rtl/>
        </w:rPr>
        <w:t>פעולות הביקורת</w:t>
      </w:r>
    </w:p>
    <w:p w14:paraId="5A8A0FC6" w14:textId="3662525A" w:rsidR="00823E3A" w:rsidRDefault="00823E3A" w:rsidP="00BC7178">
      <w:pPr>
        <w:pStyle w:val="100"/>
        <w:rPr>
          <w:rtl/>
        </w:rPr>
      </w:pPr>
      <w:r w:rsidRPr="00E83CC7">
        <w:rPr>
          <w:rFonts w:hint="cs"/>
          <w:rtl/>
        </w:rPr>
        <w:t>בחודשים פברואר-</w:t>
      </w:r>
      <w:r>
        <w:rPr>
          <w:rFonts w:hint="cs"/>
          <w:rtl/>
        </w:rPr>
        <w:t>ספטמבר</w:t>
      </w:r>
      <w:r w:rsidRPr="00E83CC7">
        <w:rPr>
          <w:rFonts w:hint="cs"/>
          <w:rtl/>
        </w:rPr>
        <w:t xml:space="preserve"> 2019 בדק משרד מבקר המדינה היבטים </w:t>
      </w:r>
      <w:r>
        <w:rPr>
          <w:rFonts w:hint="cs"/>
          <w:rtl/>
        </w:rPr>
        <w:t>ב</w:t>
      </w:r>
      <w:r w:rsidRPr="00E83CC7">
        <w:rPr>
          <w:rFonts w:hint="cs"/>
          <w:rtl/>
        </w:rPr>
        <w:t xml:space="preserve">ניהול </w:t>
      </w:r>
      <w:r>
        <w:rPr>
          <w:rFonts w:hint="cs"/>
          <w:rtl/>
        </w:rPr>
        <w:t>ה</w:t>
      </w:r>
      <w:r w:rsidRPr="00E83CC7">
        <w:rPr>
          <w:rFonts w:hint="cs"/>
          <w:rtl/>
        </w:rPr>
        <w:t>השקעות בפרויקטים בשיתוף המגזר הפרטי. הבדיקה נעשתה ב</w:t>
      </w:r>
      <w:r>
        <w:rPr>
          <w:rFonts w:hint="cs"/>
          <w:rtl/>
        </w:rPr>
        <w:t>אגף החשב הכללי (להלן - אגף החשכ"ל) שבמשרד האוצר - בחטיבת תשתיות ופרויקטים</w:t>
      </w:r>
      <w:r>
        <w:t xml:space="preserve"> </w:t>
      </w:r>
      <w:r>
        <w:rPr>
          <w:rFonts w:hint="cs"/>
          <w:rtl/>
        </w:rPr>
        <w:t>ובמנהלת הבינוי הממשלתי (להלן - מנהלת הבינוי)</w:t>
      </w:r>
      <w:r w:rsidRPr="00E83CC7">
        <w:rPr>
          <w:rFonts w:hint="cs"/>
          <w:rtl/>
        </w:rPr>
        <w:t>, ב</w:t>
      </w:r>
      <w:r>
        <w:rPr>
          <w:rFonts w:hint="cs"/>
          <w:rtl/>
        </w:rPr>
        <w:t xml:space="preserve">ענבל חברה לביטוח בע"מ (להלן - </w:t>
      </w:r>
      <w:r w:rsidRPr="00E83CC7">
        <w:rPr>
          <w:rFonts w:hint="cs"/>
          <w:rtl/>
        </w:rPr>
        <w:t xml:space="preserve">חברת </w:t>
      </w:r>
      <w:r>
        <w:rPr>
          <w:rFonts w:hint="cs"/>
          <w:rtl/>
        </w:rPr>
        <w:t>ענבל)</w:t>
      </w:r>
      <w:r w:rsidRPr="00E83CC7">
        <w:rPr>
          <w:rFonts w:hint="cs"/>
          <w:rtl/>
        </w:rPr>
        <w:t xml:space="preserve"> ובמשרד הביטחון. בדיקות השלמה נעשו בבנק ישראל, </w:t>
      </w:r>
      <w:r>
        <w:rPr>
          <w:rFonts w:hint="cs"/>
          <w:rtl/>
        </w:rPr>
        <w:t xml:space="preserve">באגף התקציבים שבמשרד האוצר (להלן - אגף תקציבים), ברשות שוק ההון ביטוח וחיסכון (להלן - רשות שוק ההון), ברשות החברות הממשלתיות, </w:t>
      </w:r>
      <w:r w:rsidRPr="00E83CC7">
        <w:rPr>
          <w:rFonts w:hint="cs"/>
          <w:rtl/>
        </w:rPr>
        <w:t xml:space="preserve">במשרד ראש הממשלה, </w:t>
      </w:r>
      <w:r>
        <w:rPr>
          <w:rFonts w:hint="cs"/>
          <w:rtl/>
        </w:rPr>
        <w:t xml:space="preserve">במשרד התחבורה והבטיחות בדרכים (להלן - משרד התחבורה), במשרד האנרגיה, במשרד הפנים, </w:t>
      </w:r>
      <w:r w:rsidRPr="00E83CC7">
        <w:rPr>
          <w:rFonts w:hint="cs"/>
          <w:rtl/>
        </w:rPr>
        <w:t>במשטרת ישראל</w:t>
      </w:r>
      <w:r>
        <w:rPr>
          <w:rFonts w:hint="cs"/>
          <w:rtl/>
        </w:rPr>
        <w:t>, ברשות המים ובחברת כביש חוצה ישראל בע"מ</w:t>
      </w:r>
      <w:r w:rsidRPr="00E83CC7">
        <w:rPr>
          <w:rFonts w:hint="cs"/>
          <w:rtl/>
        </w:rPr>
        <w:t>.</w:t>
      </w:r>
    </w:p>
    <w:p w14:paraId="7D8BFB03" w14:textId="77777777" w:rsidR="00823E3A" w:rsidRDefault="00823E3A" w:rsidP="00BC7178">
      <w:pPr>
        <w:pStyle w:val="316"/>
        <w:rPr>
          <w:rtl/>
        </w:rPr>
      </w:pPr>
      <w:r>
        <w:rPr>
          <w:rFonts w:hint="cs"/>
          <w:rtl/>
        </w:rPr>
        <w:t>רקע</w:t>
      </w:r>
    </w:p>
    <w:p w14:paraId="4D93659B" w14:textId="74FE228E" w:rsidR="00823E3A" w:rsidRDefault="00823E3A" w:rsidP="00BC7178">
      <w:pPr>
        <w:pStyle w:val="100"/>
        <w:rPr>
          <w:rtl/>
        </w:rPr>
      </w:pPr>
      <w:r>
        <w:rPr>
          <w:rFonts w:hint="cs"/>
          <w:rtl/>
        </w:rPr>
        <w:t xml:space="preserve">שיטת </w:t>
      </w:r>
      <w:r>
        <w:rPr>
          <w:rFonts w:hint="cs"/>
        </w:rPr>
        <w:t>PPP</w:t>
      </w:r>
      <w:r>
        <w:rPr>
          <w:rFonts w:hint="cs"/>
          <w:rtl/>
        </w:rPr>
        <w:t xml:space="preserve"> היא מן השיטות הנפוצות בעולם ובאמצעותה ממשלות פועלות לצורך שיתוף המגזר הפרטי בהקמה ובתפעול של פרויקטים בתחום התשתיות. שיטה זו עשויה לתרום במידה רבה לפיתוח התשתיות, אך היא אינה השיטה המובילה בתחום זה</w:t>
      </w:r>
      <w:r>
        <w:rPr>
          <w:rStyle w:val="FootnoteReference"/>
          <w:rtl/>
        </w:rPr>
        <w:footnoteReference w:id="6"/>
      </w:r>
      <w:r>
        <w:rPr>
          <w:rFonts w:hint="cs"/>
        </w:rPr>
        <w:t xml:space="preserve"> </w:t>
      </w:r>
      <w:r>
        <w:rPr>
          <w:rFonts w:hint="cs"/>
          <w:rtl/>
        </w:rPr>
        <w:t>והיא תופסת רק חלק קטן מסך ההשקעה הציבורית המצטברת במדינות המפותחות</w:t>
      </w:r>
      <w:r>
        <w:rPr>
          <w:rStyle w:val="FootnoteReference"/>
          <w:rtl/>
        </w:rPr>
        <w:footnoteReference w:id="7"/>
      </w:r>
      <w:r>
        <w:rPr>
          <w:rFonts w:hint="cs"/>
          <w:rtl/>
        </w:rPr>
        <w:t>. מתווה ה-</w:t>
      </w:r>
      <w:r>
        <w:rPr>
          <w:rFonts w:hint="cs"/>
        </w:rPr>
        <w:t>PPP</w:t>
      </w:r>
      <w:r>
        <w:rPr>
          <w:rFonts w:hint="cs"/>
          <w:rtl/>
        </w:rPr>
        <w:t xml:space="preserve"> מאפשר להתגבר על הקשיים בהעמדת תקציבים ציבוריים לפרויקטים ולהקים את הפרויקטים בצורה יעילה מהמגזר הציבורי.</w:t>
      </w:r>
    </w:p>
    <w:p w14:paraId="1A277BA1" w14:textId="77777777" w:rsidR="00823E3A" w:rsidRDefault="00823E3A" w:rsidP="00BC7178">
      <w:pPr>
        <w:pStyle w:val="100"/>
        <w:rPr>
          <w:rtl/>
        </w:rPr>
      </w:pPr>
      <w:r>
        <w:rPr>
          <w:rFonts w:hint="cs"/>
          <w:rtl/>
        </w:rPr>
        <w:t xml:space="preserve">בתרשים 4 מובאים נתונים על היקף ההשקעה בפרויקטים בשיתוף המגזר הפרטי </w:t>
      </w:r>
      <w:r>
        <w:rPr>
          <w:rtl/>
        </w:rPr>
        <w:br/>
      </w:r>
      <w:r>
        <w:rPr>
          <w:rFonts w:hint="cs"/>
          <w:rtl/>
        </w:rPr>
        <w:t xml:space="preserve">בשנים 1990 - 2018 בישראל ובכמה מדינות החברות בארגון </w:t>
      </w:r>
      <w:r w:rsidRPr="00C31B0B">
        <w:rPr>
          <w:rtl/>
        </w:rPr>
        <w:t>לשיתוף פעולה ולפיתוח כלכל</w:t>
      </w:r>
      <w:r>
        <w:rPr>
          <w:rFonts w:hint="cs"/>
          <w:rtl/>
        </w:rPr>
        <w:t>י (</w:t>
      </w:r>
      <w:r>
        <w:rPr>
          <w:rFonts w:hint="cs"/>
        </w:rPr>
        <w:t>OECD</w:t>
      </w:r>
      <w:r>
        <w:rPr>
          <w:rFonts w:hint="cs"/>
          <w:rtl/>
        </w:rPr>
        <w:t>).</w:t>
      </w:r>
    </w:p>
    <w:p w14:paraId="67397B48" w14:textId="77777777" w:rsidR="00823E3A" w:rsidRPr="00BC7178" w:rsidRDefault="00823E3A" w:rsidP="00BC7178">
      <w:pPr>
        <w:pStyle w:val="aa"/>
        <w:rPr>
          <w:b/>
          <w:bCs/>
          <w:rtl/>
        </w:rPr>
      </w:pPr>
      <w:r w:rsidRPr="00A32162">
        <w:rPr>
          <w:rFonts w:hint="cs"/>
          <w:rtl/>
        </w:rPr>
        <w:lastRenderedPageBreak/>
        <w:t xml:space="preserve">תרשים </w:t>
      </w:r>
      <w:r>
        <w:rPr>
          <w:rFonts w:hint="cs"/>
          <w:rtl/>
        </w:rPr>
        <w:t xml:space="preserve">4: </w:t>
      </w:r>
      <w:r w:rsidRPr="00BC7178">
        <w:rPr>
          <w:rFonts w:hint="cs"/>
          <w:b/>
          <w:bCs/>
          <w:rtl/>
        </w:rPr>
        <w:t>ההשקעה המצטברת בפרויקטים בשיתוף המגזר הפרטי בשנים 1990 - 2018 כשיעור מסך ההשקעה הגולמית המצטברת וכשיעור מהתמ"ג באחוזים, 2018*</w:t>
      </w:r>
    </w:p>
    <w:p w14:paraId="233B6DD2" w14:textId="77777777" w:rsidR="00823E3A" w:rsidRPr="00207720" w:rsidRDefault="00823E3A" w:rsidP="00823E3A">
      <w:pPr>
        <w:spacing w:line="269" w:lineRule="auto"/>
        <w:jc w:val="center"/>
        <w:rPr>
          <w:rtl/>
        </w:rPr>
      </w:pPr>
      <w:r>
        <w:rPr>
          <w:noProof/>
        </w:rPr>
        <w:drawing>
          <wp:inline distT="0" distB="0" distL="0" distR="0" wp14:anchorId="72F36566" wp14:editId="7E85EC77">
            <wp:extent cx="5219700" cy="3267075"/>
            <wp:effectExtent l="19050" t="19050" r="19050" b="28575"/>
            <wp:docPr id="13"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3267075"/>
                    </a:xfrm>
                    <a:prstGeom prst="rect">
                      <a:avLst/>
                    </a:prstGeom>
                    <a:noFill/>
                    <a:ln>
                      <a:solidFill>
                        <a:schemeClr val="tx1"/>
                      </a:solidFill>
                    </a:ln>
                  </pic:spPr>
                </pic:pic>
              </a:graphicData>
            </a:graphic>
          </wp:inline>
        </w:drawing>
      </w:r>
    </w:p>
    <w:p w14:paraId="39F0E403" w14:textId="77777777" w:rsidR="00823E3A" w:rsidRDefault="00823E3A" w:rsidP="00676850">
      <w:pPr>
        <w:pStyle w:val="aff3"/>
        <w:ind w:left="0" w:firstLine="0"/>
        <w:rPr>
          <w:rtl/>
        </w:rPr>
      </w:pPr>
      <w:r>
        <w:rPr>
          <w:rFonts w:hint="cs"/>
          <w:rtl/>
        </w:rPr>
        <w:t xml:space="preserve">המקור: </w:t>
      </w:r>
      <w:r>
        <w:rPr>
          <w:rFonts w:hint="cs"/>
        </w:rPr>
        <w:t>EPEC</w:t>
      </w:r>
      <w:r>
        <w:rPr>
          <w:rFonts w:hint="cs"/>
          <w:rtl/>
        </w:rPr>
        <w:t xml:space="preserve"> (</w:t>
      </w:r>
      <w:r>
        <w:rPr>
          <w:rStyle w:val="FootnoteReference"/>
          <w:szCs w:val="20"/>
        </w:rPr>
        <w:footnoteReference w:id="8"/>
      </w:r>
      <w:r>
        <w:t>(</w:t>
      </w:r>
      <w:r w:rsidRPr="00D216C3">
        <w:t>European PPP Expertise Centre</w:t>
      </w:r>
      <w:r>
        <w:rPr>
          <w:rFonts w:hint="cs"/>
          <w:rtl/>
        </w:rPr>
        <w:t xml:space="preserve">, </w:t>
      </w:r>
      <w:r>
        <w:rPr>
          <w:rFonts w:hint="cs"/>
        </w:rPr>
        <w:t>OECD</w:t>
      </w:r>
      <w:r>
        <w:rPr>
          <w:rStyle w:val="FootnoteReference"/>
          <w:szCs w:val="20"/>
          <w:rtl/>
        </w:rPr>
        <w:footnoteReference w:id="9"/>
      </w:r>
      <w:r>
        <w:rPr>
          <w:rFonts w:hint="cs"/>
          <w:rtl/>
        </w:rPr>
        <w:t xml:space="preserve">, </w:t>
      </w:r>
      <w:r w:rsidRPr="00BC5BC3">
        <w:rPr>
          <w:rtl/>
        </w:rPr>
        <w:t>הדוחות הכספיים המאוחדים של הממשלה לשנת 2018, הלשכה המרכזית לסטטיסטיקה</w:t>
      </w:r>
      <w:r>
        <w:rPr>
          <w:rFonts w:hint="cs"/>
          <w:rtl/>
        </w:rPr>
        <w:t>,</w:t>
      </w:r>
      <w:r w:rsidRPr="00BC5BC3">
        <w:rPr>
          <w:rtl/>
        </w:rPr>
        <w:t xml:space="preserve"> </w:t>
      </w:r>
      <w:r>
        <w:rPr>
          <w:rFonts w:hint="cs"/>
          <w:rtl/>
        </w:rPr>
        <w:t>בעיבוד משרד מבקר המדינה</w:t>
      </w:r>
    </w:p>
    <w:p w14:paraId="69680EF2" w14:textId="58BB3AEE" w:rsidR="00823E3A" w:rsidRDefault="00823E3A" w:rsidP="00676850">
      <w:pPr>
        <w:pStyle w:val="aff3"/>
        <w:rPr>
          <w:rtl/>
        </w:rPr>
      </w:pPr>
      <w:r>
        <w:rPr>
          <w:rFonts w:hint="cs"/>
          <w:rtl/>
        </w:rPr>
        <w:t xml:space="preserve"> * </w:t>
      </w:r>
      <w:r w:rsidR="00676850">
        <w:rPr>
          <w:rtl/>
        </w:rPr>
        <w:tab/>
      </w:r>
      <w:r w:rsidRPr="00BC5BC3">
        <w:rPr>
          <w:rtl/>
        </w:rPr>
        <w:t xml:space="preserve">נתוני ההשקעה בישראל משקפים את היקף ההשקעה המוצג בדוחות הכספיים המאוחדים של הממשלה לשנת 2018, </w:t>
      </w:r>
      <w:r>
        <w:rPr>
          <w:rFonts w:hint="cs"/>
          <w:rtl/>
        </w:rPr>
        <w:t>ו</w:t>
      </w:r>
      <w:r w:rsidRPr="00BC5BC3">
        <w:rPr>
          <w:rtl/>
        </w:rPr>
        <w:t>הנתונים של המדינות</w:t>
      </w:r>
      <w:r>
        <w:rPr>
          <w:rFonts w:hint="cs"/>
          <w:rtl/>
        </w:rPr>
        <w:t xml:space="preserve"> האחרות</w:t>
      </w:r>
      <w:r w:rsidRPr="00BC5BC3">
        <w:rPr>
          <w:rtl/>
        </w:rPr>
        <w:t xml:space="preserve"> משקפים את היקף ההשקעה </w:t>
      </w:r>
      <w:r>
        <w:rPr>
          <w:rFonts w:hint="cs"/>
          <w:rtl/>
        </w:rPr>
        <w:t>ב</w:t>
      </w:r>
      <w:r w:rsidRPr="00BC5BC3">
        <w:rPr>
          <w:rtl/>
        </w:rPr>
        <w:t>פרויקטים שהגיעו לסגירה פיננסית</w:t>
      </w:r>
      <w:r>
        <w:rPr>
          <w:rFonts w:hint="cs"/>
          <w:rtl/>
        </w:rPr>
        <w:t xml:space="preserve"> המוצג באתר </w:t>
      </w:r>
      <w:r>
        <w:rPr>
          <w:rFonts w:hint="cs"/>
        </w:rPr>
        <w:t>EPEC</w:t>
      </w:r>
      <w:r w:rsidRPr="00BC5BC3">
        <w:rPr>
          <w:rtl/>
        </w:rPr>
        <w:t>.</w:t>
      </w:r>
    </w:p>
    <w:p w14:paraId="58123B2B" w14:textId="73164862" w:rsidR="00823E3A" w:rsidRPr="002F4874" w:rsidRDefault="00823E3A" w:rsidP="00676850">
      <w:pPr>
        <w:pStyle w:val="aff3"/>
        <w:rPr>
          <w:rtl/>
        </w:rPr>
      </w:pPr>
      <w:r>
        <w:rPr>
          <w:rFonts w:hint="cs"/>
          <w:rtl/>
        </w:rPr>
        <w:t xml:space="preserve">** </w:t>
      </w:r>
      <w:r w:rsidR="00676850">
        <w:rPr>
          <w:rtl/>
        </w:rPr>
        <w:tab/>
      </w:r>
      <w:r>
        <w:rPr>
          <w:rFonts w:hint="cs"/>
          <w:rtl/>
        </w:rPr>
        <w:t xml:space="preserve">השקעה גולמית - </w:t>
      </w:r>
      <w:r w:rsidRPr="002F4874">
        <w:rPr>
          <w:rtl/>
        </w:rPr>
        <w:t>רכישות של נכסים מיוצרים לצורך השקעות בנכסים קבועים, במלאים ובדברי ערך</w:t>
      </w:r>
      <w:r w:rsidRPr="002F4874">
        <w:t>.</w:t>
      </w:r>
    </w:p>
    <w:p w14:paraId="548095F3" w14:textId="77777777" w:rsidR="00BC7178" w:rsidRDefault="00BC7178" w:rsidP="00676850">
      <w:pPr>
        <w:pStyle w:val="aff3"/>
        <w:rPr>
          <w:rtl/>
        </w:rPr>
      </w:pPr>
    </w:p>
    <w:p w14:paraId="738E9F95" w14:textId="77777777" w:rsidR="00823E3A" w:rsidRDefault="00823E3A" w:rsidP="00BC7178">
      <w:pPr>
        <w:pStyle w:val="100"/>
        <w:rPr>
          <w:rtl/>
        </w:rPr>
      </w:pPr>
      <w:r w:rsidRPr="00EA70CA">
        <w:rPr>
          <w:rtl/>
        </w:rPr>
        <w:t xml:space="preserve">זה כשני עשורים </w:t>
      </w:r>
      <w:r>
        <w:rPr>
          <w:rFonts w:hint="cs"/>
          <w:rtl/>
        </w:rPr>
        <w:t xml:space="preserve">מתבצעים </w:t>
      </w:r>
      <w:r w:rsidRPr="00EA70CA">
        <w:rPr>
          <w:rtl/>
        </w:rPr>
        <w:t xml:space="preserve">במדינת ישראל פרויקטים באמצעות </w:t>
      </w:r>
      <w:r>
        <w:rPr>
          <w:rFonts w:hint="cs"/>
          <w:rtl/>
        </w:rPr>
        <w:t>שיטת</w:t>
      </w:r>
      <w:r w:rsidRPr="00EA70CA">
        <w:rPr>
          <w:rFonts w:hint="cs"/>
          <w:rtl/>
        </w:rPr>
        <w:t xml:space="preserve"> ה-</w:t>
      </w:r>
      <w:r w:rsidRPr="00CF4EDB">
        <w:t>PPP</w:t>
      </w:r>
      <w:r w:rsidRPr="00CF4EDB">
        <w:rPr>
          <w:rFonts w:hint="cs"/>
          <w:rtl/>
        </w:rPr>
        <w:t xml:space="preserve">. כאמור, בשנים האחרונות חל גידול </w:t>
      </w:r>
      <w:r>
        <w:rPr>
          <w:rFonts w:hint="cs"/>
          <w:rtl/>
        </w:rPr>
        <w:t>ניכר</w:t>
      </w:r>
      <w:r w:rsidRPr="00CF4EDB">
        <w:rPr>
          <w:rFonts w:hint="cs"/>
          <w:rtl/>
        </w:rPr>
        <w:t xml:space="preserve"> בהיקף ביצועם, </w:t>
      </w:r>
      <w:r>
        <w:rPr>
          <w:rFonts w:hint="cs"/>
          <w:rtl/>
        </w:rPr>
        <w:t xml:space="preserve">דבר שחולל </w:t>
      </w:r>
      <w:r w:rsidRPr="00CF4EDB">
        <w:rPr>
          <w:rFonts w:hint="eastAsia"/>
          <w:rtl/>
        </w:rPr>
        <w:t>תנופה</w:t>
      </w:r>
      <w:r w:rsidRPr="00CF4EDB">
        <w:rPr>
          <w:rtl/>
        </w:rPr>
        <w:t xml:space="preserve"> </w:t>
      </w:r>
      <w:r w:rsidRPr="00CF4EDB">
        <w:rPr>
          <w:rFonts w:hint="eastAsia"/>
          <w:rtl/>
        </w:rPr>
        <w:t>בפיתוח</w:t>
      </w:r>
      <w:r w:rsidRPr="00CF4EDB">
        <w:rPr>
          <w:rtl/>
        </w:rPr>
        <w:t xml:space="preserve"> </w:t>
      </w:r>
      <w:r w:rsidRPr="00CF4EDB">
        <w:rPr>
          <w:rFonts w:hint="eastAsia"/>
          <w:rtl/>
        </w:rPr>
        <w:t>התשתיות</w:t>
      </w:r>
      <w:r w:rsidRPr="00CF4EDB">
        <w:rPr>
          <w:rFonts w:hint="cs"/>
          <w:rtl/>
        </w:rPr>
        <w:t xml:space="preserve"> בתחומים שונים במרכז הארץ ובפריפריה, </w:t>
      </w:r>
      <w:r w:rsidRPr="00CF4EDB">
        <w:rPr>
          <w:rtl/>
        </w:rPr>
        <w:t>כפי ש</w:t>
      </w:r>
      <w:r w:rsidRPr="00CF4EDB">
        <w:rPr>
          <w:rFonts w:hint="eastAsia"/>
          <w:rtl/>
        </w:rPr>
        <w:t>מ</w:t>
      </w:r>
      <w:r w:rsidRPr="00CF4EDB">
        <w:rPr>
          <w:rFonts w:hint="cs"/>
          <w:rtl/>
        </w:rPr>
        <w:t>וצג במפה 1</w:t>
      </w:r>
      <w:r w:rsidRPr="00CF4EDB">
        <w:rPr>
          <w:rtl/>
        </w:rPr>
        <w:t>.</w:t>
      </w:r>
      <w:r w:rsidRPr="00CF4EDB">
        <w:rPr>
          <w:rFonts w:hint="cs"/>
          <w:rtl/>
        </w:rPr>
        <w:t xml:space="preserve"> ב</w:t>
      </w:r>
      <w:r>
        <w:rPr>
          <w:rFonts w:hint="cs"/>
          <w:rtl/>
        </w:rPr>
        <w:t>עיקר קידמה</w:t>
      </w:r>
      <w:r w:rsidRPr="00CF4EDB">
        <w:rPr>
          <w:rFonts w:hint="cs"/>
          <w:rtl/>
        </w:rPr>
        <w:t xml:space="preserve"> שיטה זו פרויקטים </w:t>
      </w:r>
      <w:r>
        <w:rPr>
          <w:rFonts w:hint="cs"/>
          <w:rtl/>
        </w:rPr>
        <w:t>נרחבים</w:t>
      </w:r>
      <w:r w:rsidRPr="00CF4EDB">
        <w:rPr>
          <w:rFonts w:hint="cs"/>
          <w:rtl/>
        </w:rPr>
        <w:t xml:space="preserve"> וחדשניים כ</w:t>
      </w:r>
      <w:r>
        <w:rPr>
          <w:rFonts w:hint="cs"/>
          <w:rtl/>
        </w:rPr>
        <w:t>פרויקטים ב</w:t>
      </w:r>
      <w:r w:rsidRPr="00CF4EDB">
        <w:rPr>
          <w:rFonts w:hint="cs"/>
          <w:rtl/>
        </w:rPr>
        <w:t>תחום התפלת המים במדינה.</w:t>
      </w:r>
      <w:r w:rsidRPr="00CF4EDB">
        <w:rPr>
          <w:rtl/>
        </w:rPr>
        <w:t xml:space="preserve"> </w:t>
      </w:r>
      <w:r w:rsidRPr="00CF4EDB">
        <w:rPr>
          <w:rFonts w:hint="eastAsia"/>
          <w:rtl/>
        </w:rPr>
        <w:t>היק</w:t>
      </w:r>
      <w:r w:rsidRPr="00CF4EDB">
        <w:rPr>
          <w:rFonts w:hint="cs"/>
          <w:rtl/>
        </w:rPr>
        <w:t>פם הכספי של הפרויקטים מוערך</w:t>
      </w:r>
      <w:r w:rsidRPr="00CF4EDB">
        <w:rPr>
          <w:rtl/>
        </w:rPr>
        <w:t xml:space="preserve"> </w:t>
      </w:r>
      <w:r w:rsidRPr="00CF4EDB">
        <w:rPr>
          <w:rFonts w:hint="cs"/>
          <w:rtl/>
        </w:rPr>
        <w:t>ב</w:t>
      </w:r>
      <w:r w:rsidRPr="00CF4EDB">
        <w:rPr>
          <w:rFonts w:hint="eastAsia"/>
          <w:rtl/>
        </w:rPr>
        <w:t>עשרות</w:t>
      </w:r>
      <w:r w:rsidRPr="00CF4EDB">
        <w:rPr>
          <w:rtl/>
        </w:rPr>
        <w:t xml:space="preserve"> </w:t>
      </w:r>
      <w:r w:rsidRPr="00CF4EDB">
        <w:rPr>
          <w:rFonts w:hint="eastAsia"/>
          <w:rtl/>
        </w:rPr>
        <w:t>מיליארדי</w:t>
      </w:r>
      <w:r w:rsidRPr="00CF4EDB">
        <w:rPr>
          <w:rtl/>
        </w:rPr>
        <w:t xml:space="preserve"> </w:t>
      </w:r>
      <w:r w:rsidRPr="00CF4EDB">
        <w:rPr>
          <w:rFonts w:hint="eastAsia"/>
          <w:rtl/>
        </w:rPr>
        <w:t>שקלים</w:t>
      </w:r>
      <w:r w:rsidRPr="00CF4EDB">
        <w:rPr>
          <w:rFonts w:hint="cs"/>
          <w:rtl/>
        </w:rPr>
        <w:t>.</w:t>
      </w:r>
      <w:r w:rsidRPr="00CF4EDB">
        <w:rPr>
          <w:rFonts w:hint="eastAsia"/>
          <w:rtl/>
        </w:rPr>
        <w:t xml:space="preserve"> </w:t>
      </w:r>
      <w:r>
        <w:rPr>
          <w:rFonts w:hint="cs"/>
          <w:rtl/>
        </w:rPr>
        <w:t xml:space="preserve">יתר על כן, </w:t>
      </w:r>
      <w:r w:rsidRPr="00CF4EDB">
        <w:rPr>
          <w:rFonts w:hint="eastAsia"/>
          <w:rtl/>
        </w:rPr>
        <w:t>על</w:t>
      </w:r>
      <w:r w:rsidRPr="00CF4EDB">
        <w:rPr>
          <w:rtl/>
        </w:rPr>
        <w:t xml:space="preserve"> </w:t>
      </w:r>
      <w:r w:rsidRPr="00CF4EDB">
        <w:rPr>
          <w:rFonts w:hint="eastAsia"/>
          <w:rtl/>
        </w:rPr>
        <w:t>פי</w:t>
      </w:r>
      <w:r w:rsidRPr="00CF4EDB">
        <w:rPr>
          <w:rtl/>
        </w:rPr>
        <w:t xml:space="preserve"> </w:t>
      </w:r>
      <w:r w:rsidRPr="00CF4EDB">
        <w:rPr>
          <w:rFonts w:hint="eastAsia"/>
          <w:rtl/>
        </w:rPr>
        <w:t>אומדן</w:t>
      </w:r>
      <w:r w:rsidRPr="00CF4EDB">
        <w:rPr>
          <w:rtl/>
        </w:rPr>
        <w:t xml:space="preserve"> </w:t>
      </w:r>
      <w:r w:rsidRPr="00CF4EDB">
        <w:rPr>
          <w:rFonts w:hint="eastAsia"/>
          <w:rtl/>
        </w:rPr>
        <w:t>ראשוני</w:t>
      </w:r>
      <w:r w:rsidRPr="00CF4EDB">
        <w:rPr>
          <w:rtl/>
        </w:rPr>
        <w:t xml:space="preserve"> </w:t>
      </w:r>
      <w:r w:rsidRPr="00CF4EDB">
        <w:rPr>
          <w:rFonts w:hint="eastAsia"/>
          <w:rtl/>
        </w:rPr>
        <w:t>של</w:t>
      </w:r>
      <w:r w:rsidRPr="00CF4EDB">
        <w:rPr>
          <w:rtl/>
        </w:rPr>
        <w:t xml:space="preserve"> </w:t>
      </w:r>
      <w:r w:rsidRPr="00CF4EDB">
        <w:rPr>
          <w:rFonts w:hint="eastAsia"/>
          <w:rtl/>
        </w:rPr>
        <w:t>החשב</w:t>
      </w:r>
      <w:r w:rsidRPr="00CF4EDB">
        <w:rPr>
          <w:rtl/>
        </w:rPr>
        <w:t xml:space="preserve"> </w:t>
      </w:r>
      <w:r w:rsidRPr="00CF4EDB">
        <w:rPr>
          <w:rFonts w:hint="eastAsia"/>
          <w:rtl/>
        </w:rPr>
        <w:t>הכללי</w:t>
      </w:r>
      <w:r w:rsidRPr="00CF4EDB">
        <w:rPr>
          <w:rtl/>
        </w:rPr>
        <w:t>, ההשקעה</w:t>
      </w:r>
      <w:r w:rsidRPr="00EA70CA">
        <w:rPr>
          <w:rtl/>
        </w:rPr>
        <w:t xml:space="preserve"> בתשתיות באמצעות שיטה זו המתוכננת לשנים הקרובות עומדת על 60 מיליארד ש"</w:t>
      </w:r>
      <w:r w:rsidRPr="00EA70CA">
        <w:rPr>
          <w:sz w:val="32"/>
          <w:rtl/>
        </w:rPr>
        <w:t>ח</w:t>
      </w:r>
      <w:r>
        <w:rPr>
          <w:rFonts w:hint="cs"/>
          <w:sz w:val="32"/>
          <w:rtl/>
        </w:rPr>
        <w:t xml:space="preserve"> לפחות</w:t>
      </w:r>
      <w:r>
        <w:rPr>
          <w:rStyle w:val="FootnoteReference"/>
          <w:rtl/>
        </w:rPr>
        <w:footnoteReference w:id="10"/>
      </w:r>
      <w:r>
        <w:rPr>
          <w:rFonts w:hint="cs"/>
          <w:rtl/>
        </w:rPr>
        <w:t xml:space="preserve">. </w:t>
      </w:r>
    </w:p>
    <w:p w14:paraId="5AD67FDE" w14:textId="32FF5B6B" w:rsidR="00823E3A" w:rsidRPr="00752433" w:rsidRDefault="00823E3A" w:rsidP="00752433">
      <w:pPr>
        <w:bidi w:val="0"/>
        <w:spacing w:after="200" w:line="276" w:lineRule="auto"/>
        <w:rPr>
          <w:szCs w:val="20"/>
          <w:rtl/>
        </w:rPr>
      </w:pPr>
      <w:r>
        <w:rPr>
          <w:rtl/>
        </w:rPr>
        <w:br w:type="page"/>
      </w:r>
    </w:p>
    <w:p w14:paraId="71F45A49" w14:textId="77777777" w:rsidR="00823E3A" w:rsidRDefault="00823E3A" w:rsidP="00752433">
      <w:pPr>
        <w:pStyle w:val="aa"/>
        <w:rPr>
          <w:rtl/>
        </w:rPr>
      </w:pPr>
      <w:r>
        <w:rPr>
          <w:rFonts w:hint="cs"/>
          <w:rtl/>
        </w:rPr>
        <w:lastRenderedPageBreak/>
        <w:t xml:space="preserve">מפה 1: </w:t>
      </w:r>
      <w:r w:rsidRPr="00752433">
        <w:rPr>
          <w:rFonts w:hint="cs"/>
          <w:b/>
          <w:bCs/>
          <w:rtl/>
        </w:rPr>
        <w:t>פרויקטים מרכזיים שהושלמו בשיתוף המגזר הפרטי</w:t>
      </w:r>
    </w:p>
    <w:p w14:paraId="46389F46" w14:textId="77777777" w:rsidR="00823E3A" w:rsidRPr="008A6C90" w:rsidRDefault="00823E3A" w:rsidP="00823E3A">
      <w:pPr>
        <w:spacing w:line="269" w:lineRule="auto"/>
        <w:ind w:left="-2"/>
        <w:rPr>
          <w:rtl/>
        </w:rPr>
      </w:pPr>
      <w:r>
        <w:rPr>
          <w:b/>
          <w:bCs/>
          <w:noProof/>
        </w:rPr>
        <w:drawing>
          <wp:inline distT="0" distB="0" distL="0" distR="0" wp14:anchorId="72CD9F84" wp14:editId="3E6F7C36">
            <wp:extent cx="5195454" cy="3409812"/>
            <wp:effectExtent l="19050" t="19050" r="24765" b="1968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40377" name="Picture 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233105" cy="3434523"/>
                    </a:xfrm>
                    <a:prstGeom prst="rect">
                      <a:avLst/>
                    </a:prstGeom>
                    <a:noFill/>
                    <a:ln>
                      <a:solidFill>
                        <a:schemeClr val="tx1"/>
                      </a:solidFill>
                    </a:ln>
                  </pic:spPr>
                </pic:pic>
              </a:graphicData>
            </a:graphic>
          </wp:inline>
        </w:drawing>
      </w:r>
    </w:p>
    <w:p w14:paraId="05432AE8" w14:textId="77777777" w:rsidR="00823E3A" w:rsidRPr="004269CB" w:rsidRDefault="00823E3A" w:rsidP="00752433">
      <w:pPr>
        <w:pStyle w:val="ac"/>
        <w:rPr>
          <w:rtl/>
        </w:rPr>
      </w:pPr>
      <w:r w:rsidRPr="004269CB">
        <w:rPr>
          <w:rFonts w:hint="cs"/>
          <w:rtl/>
        </w:rPr>
        <w:t>המקור: אתרי אגף החשב הכללי ומשרד הביטחון, בעיבוד משרד מבקר המדינה</w:t>
      </w:r>
    </w:p>
    <w:p w14:paraId="0962DC6F" w14:textId="77777777" w:rsidR="00752433" w:rsidRDefault="00752433" w:rsidP="00752433">
      <w:pPr>
        <w:pStyle w:val="100"/>
        <w:rPr>
          <w:rtl/>
        </w:rPr>
      </w:pPr>
    </w:p>
    <w:p w14:paraId="1573F1C8" w14:textId="77777777" w:rsidR="00823E3A" w:rsidRDefault="00823E3A" w:rsidP="00752433">
      <w:pPr>
        <w:pStyle w:val="100"/>
        <w:rPr>
          <w:rtl/>
        </w:rPr>
      </w:pPr>
      <w:r w:rsidRPr="007824DB">
        <w:rPr>
          <w:rFonts w:hint="eastAsia"/>
          <w:rtl/>
        </w:rPr>
        <w:t>גופים</w:t>
      </w:r>
      <w:r w:rsidRPr="007824DB">
        <w:rPr>
          <w:rtl/>
        </w:rPr>
        <w:t xml:space="preserve"> </w:t>
      </w:r>
      <w:r w:rsidRPr="007824DB">
        <w:rPr>
          <w:rFonts w:hint="eastAsia"/>
          <w:rtl/>
        </w:rPr>
        <w:t>אחדים</w:t>
      </w:r>
      <w:r w:rsidRPr="009D2253">
        <w:rPr>
          <w:rtl/>
        </w:rPr>
        <w:t xml:space="preserve"> </w:t>
      </w:r>
      <w:r w:rsidRPr="00EE0BCD">
        <w:rPr>
          <w:rFonts w:hint="eastAsia"/>
          <w:rtl/>
        </w:rPr>
        <w:t>בממשלה</w:t>
      </w:r>
      <w:r w:rsidRPr="00EE0BCD">
        <w:rPr>
          <w:rtl/>
        </w:rPr>
        <w:t xml:space="preserve"> </w:t>
      </w:r>
      <w:r w:rsidRPr="009E23F6">
        <w:rPr>
          <w:rFonts w:hint="eastAsia"/>
          <w:rtl/>
        </w:rPr>
        <w:t>מבצעים</w:t>
      </w:r>
      <w:r w:rsidRPr="009E23F6">
        <w:rPr>
          <w:rtl/>
        </w:rPr>
        <w:t xml:space="preserve"> </w:t>
      </w:r>
      <w:r w:rsidRPr="00504BCA">
        <w:rPr>
          <w:rtl/>
        </w:rPr>
        <w:t xml:space="preserve">פרויקטים בשיטת </w:t>
      </w:r>
      <w:r w:rsidRPr="00504BCA">
        <w:t>PPP</w:t>
      </w:r>
      <w:r w:rsidRPr="00504BCA">
        <w:rPr>
          <w:rStyle w:val="FootnoteReference"/>
          <w:rtl/>
        </w:rPr>
        <w:footnoteReference w:id="11"/>
      </w:r>
      <w:r w:rsidRPr="00504BCA">
        <w:rPr>
          <w:rtl/>
        </w:rPr>
        <w:t xml:space="preserve">, </w:t>
      </w:r>
      <w:r w:rsidRPr="00504BCA">
        <w:rPr>
          <w:rFonts w:hint="eastAsia"/>
          <w:rtl/>
        </w:rPr>
        <w:t>והדבר</w:t>
      </w:r>
      <w:r w:rsidRPr="00504BCA">
        <w:rPr>
          <w:rtl/>
        </w:rPr>
        <w:t xml:space="preserve"> </w:t>
      </w:r>
      <w:r w:rsidRPr="00504BCA">
        <w:rPr>
          <w:rFonts w:hint="eastAsia"/>
          <w:rtl/>
        </w:rPr>
        <w:t>נעשה</w:t>
      </w:r>
      <w:r w:rsidRPr="00504BCA">
        <w:rPr>
          <w:rtl/>
        </w:rPr>
        <w:t xml:space="preserve"> </w:t>
      </w:r>
      <w:r w:rsidRPr="00504BCA">
        <w:rPr>
          <w:rFonts w:hint="eastAsia"/>
          <w:rtl/>
        </w:rPr>
        <w:t>בהתקשרות</w:t>
      </w:r>
      <w:r w:rsidRPr="00504BCA">
        <w:rPr>
          <w:rtl/>
        </w:rPr>
        <w:t xml:space="preserve"> </w:t>
      </w:r>
      <w:r w:rsidRPr="00504BCA">
        <w:rPr>
          <w:rFonts w:hint="eastAsia"/>
          <w:rtl/>
        </w:rPr>
        <w:t>מטעם</w:t>
      </w:r>
      <w:r w:rsidRPr="00504BCA">
        <w:rPr>
          <w:rtl/>
        </w:rPr>
        <w:t xml:space="preserve"> </w:t>
      </w:r>
      <w:r w:rsidRPr="00504BCA">
        <w:rPr>
          <w:rFonts w:hint="eastAsia"/>
          <w:rtl/>
        </w:rPr>
        <w:t>המדינה</w:t>
      </w:r>
      <w:r w:rsidRPr="00504BCA">
        <w:rPr>
          <w:rtl/>
        </w:rPr>
        <w:t xml:space="preserve"> </w:t>
      </w:r>
      <w:r w:rsidRPr="00504BCA">
        <w:rPr>
          <w:rFonts w:hint="eastAsia"/>
          <w:rtl/>
        </w:rPr>
        <w:t>עם</w:t>
      </w:r>
      <w:r w:rsidRPr="00504BCA">
        <w:rPr>
          <w:rtl/>
        </w:rPr>
        <w:t xml:space="preserve"> </w:t>
      </w:r>
      <w:r w:rsidRPr="00504BCA">
        <w:rPr>
          <w:rFonts w:hint="eastAsia"/>
          <w:rtl/>
        </w:rPr>
        <w:t>הזכיין</w:t>
      </w:r>
      <w:r w:rsidRPr="00504BCA">
        <w:rPr>
          <w:rtl/>
        </w:rPr>
        <w:t xml:space="preserve"> </w:t>
      </w:r>
      <w:r w:rsidRPr="00504BCA">
        <w:rPr>
          <w:rFonts w:hint="eastAsia"/>
          <w:rtl/>
        </w:rPr>
        <w:t>באמצעות</w:t>
      </w:r>
      <w:r w:rsidRPr="00504BCA">
        <w:rPr>
          <w:rtl/>
        </w:rPr>
        <w:t xml:space="preserve"> </w:t>
      </w:r>
      <w:r w:rsidRPr="00504BCA">
        <w:rPr>
          <w:rFonts w:hint="eastAsia"/>
          <w:rtl/>
        </w:rPr>
        <w:t>ועדת</w:t>
      </w:r>
      <w:r w:rsidRPr="00504BCA">
        <w:rPr>
          <w:rtl/>
        </w:rPr>
        <w:t xml:space="preserve"> </w:t>
      </w:r>
      <w:r w:rsidRPr="00504BCA">
        <w:rPr>
          <w:rFonts w:hint="eastAsia"/>
          <w:rtl/>
        </w:rPr>
        <w:t>מכרזים</w:t>
      </w:r>
      <w:r w:rsidRPr="00504BCA">
        <w:rPr>
          <w:rtl/>
        </w:rPr>
        <w:t xml:space="preserve"> </w:t>
      </w:r>
      <w:r w:rsidRPr="00504BCA">
        <w:rPr>
          <w:rFonts w:hint="eastAsia"/>
          <w:rtl/>
        </w:rPr>
        <w:t>בראשות</w:t>
      </w:r>
      <w:r w:rsidRPr="00504BCA">
        <w:rPr>
          <w:rtl/>
        </w:rPr>
        <w:t xml:space="preserve"> </w:t>
      </w:r>
      <w:r w:rsidRPr="00504BCA">
        <w:rPr>
          <w:rFonts w:hint="eastAsia"/>
          <w:rtl/>
        </w:rPr>
        <w:t>הגוף</w:t>
      </w:r>
      <w:r w:rsidRPr="00504BCA">
        <w:rPr>
          <w:rtl/>
        </w:rPr>
        <w:t xml:space="preserve"> </w:t>
      </w:r>
      <w:r w:rsidRPr="00504BCA">
        <w:rPr>
          <w:rFonts w:hint="eastAsia"/>
          <w:rtl/>
        </w:rPr>
        <w:t>המבצע</w:t>
      </w:r>
      <w:r w:rsidRPr="00504BCA">
        <w:rPr>
          <w:rtl/>
        </w:rPr>
        <w:t xml:space="preserve">, </w:t>
      </w:r>
      <w:r w:rsidRPr="00504BCA">
        <w:rPr>
          <w:rFonts w:hint="eastAsia"/>
          <w:rtl/>
        </w:rPr>
        <w:t>ובהם</w:t>
      </w:r>
      <w:r w:rsidRPr="00504BCA">
        <w:rPr>
          <w:rtl/>
        </w:rPr>
        <w:t xml:space="preserve">: (א) </w:t>
      </w:r>
      <w:r w:rsidRPr="00504BCA">
        <w:rPr>
          <w:rFonts w:hint="eastAsia"/>
          <w:rtl/>
        </w:rPr>
        <w:t>חטיבת</w:t>
      </w:r>
      <w:r w:rsidRPr="00504BCA">
        <w:rPr>
          <w:rtl/>
        </w:rPr>
        <w:t xml:space="preserve"> </w:t>
      </w:r>
      <w:r w:rsidRPr="00504BCA">
        <w:rPr>
          <w:rFonts w:hint="eastAsia"/>
          <w:rtl/>
        </w:rPr>
        <w:t>תשתיות</w:t>
      </w:r>
      <w:r w:rsidRPr="00504BCA">
        <w:rPr>
          <w:rtl/>
        </w:rPr>
        <w:t xml:space="preserve"> </w:t>
      </w:r>
      <w:r w:rsidRPr="00504BCA">
        <w:rPr>
          <w:rFonts w:hint="eastAsia"/>
          <w:rtl/>
        </w:rPr>
        <w:t>ופרויקטים</w:t>
      </w:r>
      <w:r w:rsidRPr="00504BCA">
        <w:rPr>
          <w:rtl/>
        </w:rPr>
        <w:t xml:space="preserve">; (ב) </w:t>
      </w:r>
      <w:r w:rsidRPr="00504BCA">
        <w:rPr>
          <w:rFonts w:hint="eastAsia"/>
          <w:rtl/>
        </w:rPr>
        <w:t>מנהלת</w:t>
      </w:r>
      <w:r w:rsidRPr="00504BCA">
        <w:rPr>
          <w:rtl/>
        </w:rPr>
        <w:t xml:space="preserve"> </w:t>
      </w:r>
      <w:r w:rsidRPr="00504BCA">
        <w:rPr>
          <w:rFonts w:hint="eastAsia"/>
          <w:rtl/>
        </w:rPr>
        <w:t>הבינוי</w:t>
      </w:r>
      <w:r w:rsidRPr="00504BCA">
        <w:rPr>
          <w:rtl/>
        </w:rPr>
        <w:t xml:space="preserve">; (ג) </w:t>
      </w:r>
      <w:r w:rsidRPr="00504BCA">
        <w:rPr>
          <w:rFonts w:hint="eastAsia"/>
          <w:rtl/>
        </w:rPr>
        <w:t>משרד</w:t>
      </w:r>
      <w:r w:rsidRPr="00504BCA">
        <w:rPr>
          <w:rtl/>
        </w:rPr>
        <w:t xml:space="preserve"> </w:t>
      </w:r>
      <w:r w:rsidRPr="00504BCA">
        <w:rPr>
          <w:rFonts w:hint="eastAsia"/>
          <w:rtl/>
        </w:rPr>
        <w:t>הביטחון</w:t>
      </w:r>
      <w:r w:rsidRPr="00504BCA">
        <w:rPr>
          <w:rtl/>
        </w:rPr>
        <w:t xml:space="preserve">; (ד) </w:t>
      </w:r>
      <w:r w:rsidRPr="00504BCA">
        <w:rPr>
          <w:rFonts w:hint="eastAsia"/>
          <w:rtl/>
        </w:rPr>
        <w:t>חברות</w:t>
      </w:r>
      <w:r w:rsidRPr="00504BCA">
        <w:rPr>
          <w:rtl/>
        </w:rPr>
        <w:t xml:space="preserve"> </w:t>
      </w:r>
      <w:r w:rsidRPr="00504BCA">
        <w:rPr>
          <w:rFonts w:hint="eastAsia"/>
          <w:rtl/>
        </w:rPr>
        <w:t>תשתית</w:t>
      </w:r>
      <w:r w:rsidRPr="00504BCA">
        <w:rPr>
          <w:rtl/>
        </w:rPr>
        <w:t xml:space="preserve"> </w:t>
      </w:r>
      <w:r w:rsidRPr="00504BCA">
        <w:rPr>
          <w:rFonts w:hint="eastAsia"/>
          <w:rtl/>
        </w:rPr>
        <w:t>ממשלתיות</w:t>
      </w:r>
      <w:r w:rsidRPr="009E23F6">
        <w:rPr>
          <w:rtl/>
        </w:rPr>
        <w:t xml:space="preserve">, בהן </w:t>
      </w:r>
      <w:r w:rsidRPr="009E23F6">
        <w:rPr>
          <w:rFonts w:hint="eastAsia"/>
          <w:rtl/>
        </w:rPr>
        <w:t>חברת</w:t>
      </w:r>
      <w:r w:rsidRPr="009E23F6">
        <w:rPr>
          <w:rtl/>
        </w:rPr>
        <w:t xml:space="preserve"> </w:t>
      </w:r>
      <w:r w:rsidRPr="009E23F6">
        <w:rPr>
          <w:rFonts w:hint="eastAsia"/>
          <w:rtl/>
        </w:rPr>
        <w:t>נת</w:t>
      </w:r>
      <w:r w:rsidRPr="009E23F6">
        <w:rPr>
          <w:rtl/>
        </w:rPr>
        <w:t xml:space="preserve">"ע וחברת כביש </w:t>
      </w:r>
      <w:r w:rsidRPr="009E23F6">
        <w:rPr>
          <w:rFonts w:hint="eastAsia"/>
          <w:rtl/>
        </w:rPr>
        <w:t>חוצה</w:t>
      </w:r>
      <w:r w:rsidRPr="009E23F6">
        <w:rPr>
          <w:rtl/>
        </w:rPr>
        <w:t xml:space="preserve"> </w:t>
      </w:r>
      <w:r w:rsidRPr="009E23F6">
        <w:rPr>
          <w:rFonts w:hint="eastAsia"/>
          <w:rtl/>
        </w:rPr>
        <w:t>ישראל</w:t>
      </w:r>
      <w:r w:rsidRPr="009E23F6">
        <w:rPr>
          <w:rtl/>
        </w:rPr>
        <w:t xml:space="preserve"> בע"מ. </w:t>
      </w:r>
      <w:r>
        <w:rPr>
          <w:rFonts w:hint="cs"/>
          <w:rtl/>
        </w:rPr>
        <w:t xml:space="preserve">רשויות מקומיות מבצעות גם הן </w:t>
      </w:r>
      <w:r w:rsidRPr="00BD2E45">
        <w:rPr>
          <w:rtl/>
        </w:rPr>
        <w:t>פרויקטים</w:t>
      </w:r>
      <w:r>
        <w:rPr>
          <w:rFonts w:hint="cs"/>
          <w:rtl/>
        </w:rPr>
        <w:t xml:space="preserve"> </w:t>
      </w:r>
      <w:r w:rsidRPr="00BD2E45">
        <w:rPr>
          <w:rtl/>
        </w:rPr>
        <w:t xml:space="preserve">בשיטת </w:t>
      </w:r>
      <w:r w:rsidRPr="007824DB">
        <w:t>PPP</w:t>
      </w:r>
      <w:r w:rsidRPr="007824DB">
        <w:rPr>
          <w:rtl/>
        </w:rPr>
        <w:t xml:space="preserve"> </w:t>
      </w:r>
      <w:r>
        <w:rPr>
          <w:rFonts w:hint="cs"/>
          <w:rtl/>
        </w:rPr>
        <w:t xml:space="preserve">אך </w:t>
      </w:r>
      <w:r w:rsidRPr="00BD2E45">
        <w:rPr>
          <w:rtl/>
        </w:rPr>
        <w:t>בהיקפים קטנים יותר</w:t>
      </w:r>
      <w:r w:rsidRPr="007824DB">
        <w:rPr>
          <w:rtl/>
        </w:rPr>
        <w:t>.</w:t>
      </w:r>
    </w:p>
    <w:p w14:paraId="0E4C27D2" w14:textId="77777777" w:rsidR="00823E3A" w:rsidRPr="00133651" w:rsidRDefault="00823E3A" w:rsidP="00752433">
      <w:pPr>
        <w:pStyle w:val="100"/>
        <w:rPr>
          <w:rtl/>
        </w:rPr>
      </w:pPr>
      <w:r w:rsidRPr="00133651">
        <w:rPr>
          <w:rFonts w:hint="cs"/>
          <w:rtl/>
        </w:rPr>
        <w:t>בתרשים 5 מובאים נתונים על ה</w:t>
      </w:r>
      <w:r w:rsidRPr="00133651">
        <w:rPr>
          <w:rtl/>
        </w:rPr>
        <w:t>השקעה בפרויקטים בשיתוף המגזר הפרטי</w:t>
      </w:r>
      <w:r w:rsidRPr="00133651">
        <w:rPr>
          <w:rStyle w:val="FootnoteReference"/>
          <w:rtl/>
        </w:rPr>
        <w:footnoteReference w:id="12"/>
      </w:r>
      <w:r w:rsidRPr="00133651">
        <w:rPr>
          <w:rtl/>
        </w:rPr>
        <w:t xml:space="preserve"> ליום 31.12.18 </w:t>
      </w:r>
      <w:r w:rsidRPr="00133651">
        <w:rPr>
          <w:rFonts w:hint="cs"/>
          <w:rtl/>
        </w:rPr>
        <w:t xml:space="preserve">המסתכמת בסך של </w:t>
      </w:r>
      <w:r>
        <w:rPr>
          <w:rFonts w:hint="cs"/>
          <w:rtl/>
        </w:rPr>
        <w:t>כ-</w:t>
      </w:r>
      <w:r w:rsidRPr="00133651">
        <w:rPr>
          <w:rFonts w:hint="cs"/>
          <w:rtl/>
        </w:rPr>
        <w:t xml:space="preserve">32.2 מיליארדי ש"ח, </w:t>
      </w:r>
      <w:r w:rsidRPr="00133651">
        <w:rPr>
          <w:rtl/>
        </w:rPr>
        <w:t xml:space="preserve">לפי </w:t>
      </w:r>
      <w:r w:rsidRPr="00133651">
        <w:rPr>
          <w:rFonts w:hint="cs"/>
          <w:rtl/>
        </w:rPr>
        <w:t>ה</w:t>
      </w:r>
      <w:r w:rsidRPr="00133651">
        <w:rPr>
          <w:rtl/>
        </w:rPr>
        <w:t xml:space="preserve">גוף </w:t>
      </w:r>
      <w:r w:rsidRPr="00133651">
        <w:rPr>
          <w:rFonts w:hint="cs"/>
          <w:rtl/>
        </w:rPr>
        <w:t>ה</w:t>
      </w:r>
      <w:r w:rsidRPr="00133651">
        <w:rPr>
          <w:rtl/>
        </w:rPr>
        <w:t>מבצע ובחלוקה למגזרים</w:t>
      </w:r>
      <w:r w:rsidRPr="00133651">
        <w:rPr>
          <w:rStyle w:val="FootnoteReference"/>
          <w:rtl/>
        </w:rPr>
        <w:footnoteReference w:id="13"/>
      </w:r>
      <w:r w:rsidRPr="00133651">
        <w:rPr>
          <w:rFonts w:hint="cs"/>
          <w:rtl/>
        </w:rPr>
        <w:t>.</w:t>
      </w:r>
    </w:p>
    <w:p w14:paraId="4B456C5D" w14:textId="7B40555E" w:rsidR="00823E3A" w:rsidRPr="00752433" w:rsidRDefault="00823E3A" w:rsidP="00752433">
      <w:pPr>
        <w:pStyle w:val="aa"/>
      </w:pPr>
      <w:r>
        <w:rPr>
          <w:rtl/>
        </w:rPr>
        <w:br w:type="page"/>
      </w:r>
      <w:r w:rsidRPr="00744BFC">
        <w:rPr>
          <w:rFonts w:hint="cs"/>
          <w:rtl/>
        </w:rPr>
        <w:lastRenderedPageBreak/>
        <w:t xml:space="preserve">תרשים </w:t>
      </w:r>
      <w:r>
        <w:rPr>
          <w:rFonts w:hint="cs"/>
          <w:rtl/>
        </w:rPr>
        <w:t xml:space="preserve">5: </w:t>
      </w:r>
      <w:r w:rsidRPr="00752433">
        <w:rPr>
          <w:rFonts w:hint="cs"/>
          <w:b/>
          <w:bCs/>
          <w:rtl/>
        </w:rPr>
        <w:t>ההשקעה בפרויקטים בשיתוף המגזר הפרטי ליום 31.12.18 לפי הגוף המבצע, בחלוקה למגזרים</w:t>
      </w:r>
      <w:r>
        <w:rPr>
          <w:rStyle w:val="FootnoteReference"/>
          <w:b/>
          <w:bCs/>
        </w:rPr>
        <w:footnoteReference w:id="14"/>
      </w:r>
    </w:p>
    <w:p w14:paraId="415B0BD8" w14:textId="77777777" w:rsidR="00823E3A" w:rsidRPr="00744BFC" w:rsidRDefault="00823E3A" w:rsidP="00823E3A">
      <w:pPr>
        <w:spacing w:line="269" w:lineRule="auto"/>
      </w:pPr>
      <w:r>
        <w:rPr>
          <w:noProof/>
        </w:rPr>
        <w:drawing>
          <wp:inline distT="0" distB="0" distL="0" distR="0" wp14:anchorId="6624536A" wp14:editId="1AA0FAA7">
            <wp:extent cx="5219700" cy="2473325"/>
            <wp:effectExtent l="19050" t="19050" r="19050" b="22225"/>
            <wp:docPr id="14"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473325"/>
                    </a:xfrm>
                    <a:prstGeom prst="rect">
                      <a:avLst/>
                    </a:prstGeom>
                    <a:noFill/>
                    <a:ln>
                      <a:solidFill>
                        <a:schemeClr val="tx1"/>
                      </a:solidFill>
                    </a:ln>
                  </pic:spPr>
                </pic:pic>
              </a:graphicData>
            </a:graphic>
          </wp:inline>
        </w:drawing>
      </w:r>
    </w:p>
    <w:p w14:paraId="5CE23210" w14:textId="77777777" w:rsidR="00823E3A" w:rsidRPr="004269CB" w:rsidRDefault="00823E3A" w:rsidP="00752433">
      <w:pPr>
        <w:pStyle w:val="ac"/>
        <w:rPr>
          <w:rtl/>
        </w:rPr>
      </w:pPr>
      <w:r w:rsidRPr="004269CB">
        <w:rPr>
          <w:rFonts w:hint="cs"/>
          <w:rtl/>
        </w:rPr>
        <w:t>המקור: הדוחות הכספיים המאוחדים של הממשלה לשנת 2018, בעיבוד משרד מבקר המדינה</w:t>
      </w:r>
    </w:p>
    <w:p w14:paraId="625A2A1C" w14:textId="77777777" w:rsidR="00752433" w:rsidRDefault="00752433" w:rsidP="00752433">
      <w:pPr>
        <w:pStyle w:val="100"/>
        <w:rPr>
          <w:rtl/>
        </w:rPr>
      </w:pPr>
    </w:p>
    <w:p w14:paraId="6DF7588D" w14:textId="77777777" w:rsidR="00823E3A" w:rsidRDefault="00823E3A" w:rsidP="00752433">
      <w:pPr>
        <w:pStyle w:val="100"/>
        <w:rPr>
          <w:rtl/>
        </w:rPr>
      </w:pPr>
      <w:r>
        <w:rPr>
          <w:rFonts w:hint="cs"/>
          <w:rtl/>
        </w:rPr>
        <w:t xml:space="preserve">הסכמים בשיטת </w:t>
      </w:r>
      <w:r>
        <w:t>PPP</w:t>
      </w:r>
      <w:r>
        <w:rPr>
          <w:rFonts w:hint="cs"/>
          <w:rtl/>
        </w:rPr>
        <w:t xml:space="preserve"> הם הסכמים ארוכי טווח</w:t>
      </w:r>
      <w:r>
        <w:rPr>
          <w:rStyle w:val="FootnoteReference"/>
          <w:rtl/>
        </w:rPr>
        <w:footnoteReference w:id="15"/>
      </w:r>
      <w:r>
        <w:rPr>
          <w:rFonts w:hint="cs"/>
          <w:rtl/>
        </w:rPr>
        <w:t xml:space="preserve"> לשיתוף פעולה בין המגזר הציבורי למגזר הפרטי (לרוב רחבי היקף ומורכבים), לצורך אספקת תשתית, מוצר או שירות ציבורי באמצעות המגזר הפרטי, תוך ניצול יתרונם היחסי של השותפים על ידי הקצאה יעילה של סיכונים, מקורות ותגמולים כדי להשיא את איכות התשתית, המוצר או השירות במונחי עלות-תועלת</w:t>
      </w:r>
      <w:r>
        <w:rPr>
          <w:rStyle w:val="FootnoteReference"/>
          <w:rtl/>
        </w:rPr>
        <w:footnoteReference w:id="16"/>
      </w:r>
      <w:r>
        <w:rPr>
          <w:rFonts w:hint="cs"/>
          <w:rtl/>
        </w:rPr>
        <w:t xml:space="preserve">. שיטה זו מנסה לשלב את יתרונותיהם של כל אחד מהמגזרים, הפרטי והציבורי, ולחלק ביניהם את הסיכונים באופן מיטבי. למשל, המגזר הציבורי אחראי בדרך כלל להספקת הקרקעות ולסיכוני כוח עליון, והמגזר הפרטי אחראי לטכנולוגיה ולהקמת הפרויקטים. </w:t>
      </w:r>
      <w:r w:rsidRPr="00DE2B0E">
        <w:rPr>
          <w:rtl/>
        </w:rPr>
        <w:t>חלוקת סיכונים נכונה בין המגזר</w:t>
      </w:r>
      <w:r>
        <w:rPr>
          <w:rFonts w:hint="cs"/>
          <w:rtl/>
        </w:rPr>
        <w:t>ים</w:t>
      </w:r>
      <w:r w:rsidRPr="00DE2B0E">
        <w:rPr>
          <w:rtl/>
        </w:rPr>
        <w:t xml:space="preserve"> מאפשרת לכל צד לקבל על עצמו את הסיכונים </w:t>
      </w:r>
      <w:r>
        <w:rPr>
          <w:rFonts w:hint="cs"/>
          <w:rtl/>
        </w:rPr>
        <w:t>ש</w:t>
      </w:r>
      <w:r w:rsidRPr="00DE2B0E">
        <w:rPr>
          <w:rtl/>
        </w:rPr>
        <w:t>ביכולתו לנהל ב</w:t>
      </w:r>
      <w:r>
        <w:rPr>
          <w:rFonts w:hint="cs"/>
          <w:rtl/>
        </w:rPr>
        <w:t>דרך</w:t>
      </w:r>
      <w:r w:rsidRPr="00DE2B0E">
        <w:rPr>
          <w:rtl/>
        </w:rPr>
        <w:t xml:space="preserve"> הטובה </w:t>
      </w:r>
      <w:r>
        <w:rPr>
          <w:rFonts w:hint="cs"/>
          <w:rtl/>
        </w:rPr>
        <w:t>ביותר.</w:t>
      </w:r>
    </w:p>
    <w:p w14:paraId="22AC3B50" w14:textId="77777777" w:rsidR="00823E3A" w:rsidRDefault="00823E3A" w:rsidP="00752433">
      <w:pPr>
        <w:pStyle w:val="100"/>
        <w:rPr>
          <w:rtl/>
        </w:rPr>
      </w:pPr>
      <w:r>
        <w:rPr>
          <w:rFonts w:hint="cs"/>
          <w:rtl/>
        </w:rPr>
        <w:t xml:space="preserve">תרשים 6 מבהיר את מבנה ההתקשרות בשיטת </w:t>
      </w:r>
      <w:r>
        <w:t>PPP</w:t>
      </w:r>
      <w:r>
        <w:rPr>
          <w:rFonts w:hint="cs"/>
          <w:rtl/>
        </w:rPr>
        <w:t>.</w:t>
      </w:r>
    </w:p>
    <w:p w14:paraId="446C2B74" w14:textId="77777777" w:rsidR="00823E3A" w:rsidRDefault="00823E3A" w:rsidP="00823E3A">
      <w:pPr>
        <w:bidi w:val="0"/>
        <w:spacing w:after="200" w:line="276" w:lineRule="auto"/>
        <w:rPr>
          <w:szCs w:val="20"/>
          <w:rtl/>
        </w:rPr>
      </w:pPr>
      <w:r>
        <w:rPr>
          <w:rtl/>
        </w:rPr>
        <w:br w:type="page"/>
      </w:r>
    </w:p>
    <w:p w14:paraId="19B3F6D8" w14:textId="77777777" w:rsidR="00823E3A" w:rsidRPr="00752433" w:rsidRDefault="00823E3A" w:rsidP="00752433">
      <w:pPr>
        <w:pStyle w:val="aa"/>
        <w:rPr>
          <w:b/>
          <w:bCs/>
          <w:rtl/>
        </w:rPr>
      </w:pPr>
      <w:r w:rsidRPr="00926B5C">
        <w:rPr>
          <w:rFonts w:hint="cs"/>
          <w:rtl/>
        </w:rPr>
        <w:lastRenderedPageBreak/>
        <w:t>תרשים 6</w:t>
      </w:r>
      <w:r>
        <w:rPr>
          <w:rFonts w:hint="cs"/>
          <w:rtl/>
        </w:rPr>
        <w:t xml:space="preserve">: </w:t>
      </w:r>
      <w:r w:rsidRPr="00752433">
        <w:rPr>
          <w:rFonts w:hint="cs"/>
          <w:b/>
          <w:bCs/>
          <w:rtl/>
        </w:rPr>
        <w:t xml:space="preserve">מבנה ההתקשרות בשיטת </w:t>
      </w:r>
      <w:r w:rsidRPr="00752433">
        <w:rPr>
          <w:rFonts w:hint="cs"/>
          <w:b/>
          <w:bCs/>
        </w:rPr>
        <w:t>PPP</w:t>
      </w:r>
    </w:p>
    <w:p w14:paraId="28117989" w14:textId="77777777" w:rsidR="00823E3A" w:rsidRPr="001A063B" w:rsidRDefault="00823E3A" w:rsidP="00823E3A">
      <w:pPr>
        <w:spacing w:line="269" w:lineRule="auto"/>
        <w:jc w:val="center"/>
        <w:rPr>
          <w:b/>
          <w:bCs/>
          <w:sz w:val="24"/>
          <w:rtl/>
        </w:rPr>
      </w:pPr>
      <w:r w:rsidRPr="00616160">
        <w:rPr>
          <w:b/>
          <w:bCs/>
          <w:noProof/>
          <w:sz w:val="24"/>
          <w:rtl/>
        </w:rPr>
        <w:drawing>
          <wp:inline distT="0" distB="0" distL="0" distR="0" wp14:anchorId="2CBC96C9" wp14:editId="59F166BF">
            <wp:extent cx="5219700" cy="3813700"/>
            <wp:effectExtent l="0" t="0" r="0" b="0"/>
            <wp:docPr id="16" name="תמונה 26" descr="F:\Eco Division\Agaf_13\ביקורת בתהליך\70ג - פרויקטים בשיתוף המגזר הפרטי (מאזן)\אינפוגרפיקה\2\תרשים 2 סופ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81832" name="Picture 1" descr="F:\Eco Division\Agaf_13\ביקורת בתהליך\70ג - פרויקטים בשיתוף המגזר הפרטי (מאזן)\אינפוגרפיקה\2\תרשים 2 סופי.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219700" cy="3813700"/>
                    </a:xfrm>
                    <a:prstGeom prst="rect">
                      <a:avLst/>
                    </a:prstGeom>
                    <a:noFill/>
                    <a:ln>
                      <a:noFill/>
                    </a:ln>
                  </pic:spPr>
                </pic:pic>
              </a:graphicData>
            </a:graphic>
          </wp:inline>
        </w:drawing>
      </w:r>
    </w:p>
    <w:p w14:paraId="41705808" w14:textId="77777777" w:rsidR="00823E3A" w:rsidRDefault="00823E3A" w:rsidP="001E00C3">
      <w:pPr>
        <w:pStyle w:val="aff3"/>
        <w:rPr>
          <w:rtl/>
        </w:rPr>
      </w:pPr>
      <w:r>
        <w:rPr>
          <w:rFonts w:hint="cs"/>
          <w:rtl/>
        </w:rPr>
        <w:t>המקור: אתר חברת ענבל</w:t>
      </w:r>
      <w:r>
        <w:rPr>
          <w:rStyle w:val="FootnoteReference"/>
          <w:szCs w:val="20"/>
          <w:rtl/>
        </w:rPr>
        <w:footnoteReference w:id="17"/>
      </w:r>
      <w:r w:rsidRPr="00E93AF0">
        <w:rPr>
          <w:rFonts w:hint="cs"/>
          <w:rtl/>
        </w:rPr>
        <w:t>,</w:t>
      </w:r>
      <w:r>
        <w:rPr>
          <w:rFonts w:hint="cs"/>
          <w:b/>
          <w:bCs/>
          <w:rtl/>
        </w:rPr>
        <w:t xml:space="preserve"> </w:t>
      </w:r>
      <w:r>
        <w:rPr>
          <w:rFonts w:hint="cs"/>
          <w:rtl/>
        </w:rPr>
        <w:t>ב</w:t>
      </w:r>
      <w:r w:rsidRPr="009D4AA3">
        <w:rPr>
          <w:rFonts w:hint="cs"/>
          <w:rtl/>
        </w:rPr>
        <w:t>עיבוד משרד מבקר המדינה</w:t>
      </w:r>
    </w:p>
    <w:p w14:paraId="0DEE0DE4" w14:textId="0A36BAD8" w:rsidR="00823E3A" w:rsidRPr="00C02688" w:rsidRDefault="001E00C3" w:rsidP="001E00C3">
      <w:pPr>
        <w:pStyle w:val="aff3"/>
        <w:rPr>
          <w:rtl/>
        </w:rPr>
      </w:pPr>
      <w:r>
        <w:rPr>
          <w:rFonts w:hint="cs"/>
          <w:rtl/>
        </w:rPr>
        <w:t>(א)</w:t>
      </w:r>
      <w:r>
        <w:rPr>
          <w:rFonts w:hint="cs"/>
          <w:rtl/>
        </w:rPr>
        <w:tab/>
      </w:r>
      <w:r w:rsidR="00823E3A" w:rsidRPr="00C02688">
        <w:rPr>
          <w:rFonts w:hint="eastAsia"/>
          <w:rtl/>
        </w:rPr>
        <w:t>הגוף</w:t>
      </w:r>
      <w:r w:rsidR="00823E3A" w:rsidRPr="00C02688">
        <w:rPr>
          <w:rtl/>
        </w:rPr>
        <w:t xml:space="preserve"> </w:t>
      </w:r>
      <w:r w:rsidR="00823E3A" w:rsidRPr="00C02688">
        <w:rPr>
          <w:rFonts w:hint="eastAsia"/>
          <w:rtl/>
        </w:rPr>
        <w:t>הציבורי</w:t>
      </w:r>
      <w:r w:rsidR="00823E3A" w:rsidRPr="00C02688">
        <w:rPr>
          <w:rtl/>
        </w:rPr>
        <w:t xml:space="preserve"> </w:t>
      </w:r>
      <w:r w:rsidR="00823E3A" w:rsidRPr="00C02688">
        <w:rPr>
          <w:rFonts w:hint="eastAsia"/>
          <w:rtl/>
        </w:rPr>
        <w:t>המזמין</w:t>
      </w:r>
      <w:r w:rsidR="00823E3A" w:rsidRPr="00C02688">
        <w:rPr>
          <w:rtl/>
        </w:rPr>
        <w:t xml:space="preserve"> </w:t>
      </w:r>
      <w:r w:rsidR="00823E3A" w:rsidRPr="00C02688">
        <w:rPr>
          <w:rFonts w:hint="eastAsia"/>
          <w:rtl/>
        </w:rPr>
        <w:t>את</w:t>
      </w:r>
      <w:r w:rsidR="00823E3A" w:rsidRPr="00C02688">
        <w:rPr>
          <w:rtl/>
        </w:rPr>
        <w:t xml:space="preserve"> </w:t>
      </w:r>
      <w:r w:rsidR="00823E3A" w:rsidRPr="00C02688">
        <w:rPr>
          <w:rFonts w:hint="eastAsia"/>
          <w:rtl/>
        </w:rPr>
        <w:t>הפרויקט</w:t>
      </w:r>
      <w:r w:rsidR="00823E3A" w:rsidRPr="00C02688">
        <w:rPr>
          <w:rtl/>
        </w:rPr>
        <w:t xml:space="preserve"> </w:t>
      </w:r>
    </w:p>
    <w:p w14:paraId="00979549" w14:textId="46196F5D" w:rsidR="00823E3A" w:rsidRDefault="001E00C3" w:rsidP="001E00C3">
      <w:pPr>
        <w:pStyle w:val="aff3"/>
      </w:pPr>
      <w:r>
        <w:rPr>
          <w:rFonts w:hint="cs"/>
          <w:rtl/>
        </w:rPr>
        <w:t>(ב)</w:t>
      </w:r>
      <w:r>
        <w:rPr>
          <w:rFonts w:hint="cs"/>
          <w:rtl/>
        </w:rPr>
        <w:tab/>
      </w:r>
      <w:r w:rsidR="00823E3A">
        <w:rPr>
          <w:rFonts w:hint="cs"/>
          <w:rtl/>
        </w:rPr>
        <w:t>בעלי המניות של חברת הפרויקט</w:t>
      </w:r>
    </w:p>
    <w:p w14:paraId="5246C080" w14:textId="0F5BFAE7" w:rsidR="00823E3A" w:rsidRDefault="001E00C3" w:rsidP="001E00C3">
      <w:pPr>
        <w:pStyle w:val="aff3"/>
      </w:pPr>
      <w:r>
        <w:rPr>
          <w:rFonts w:hint="cs"/>
          <w:rtl/>
        </w:rPr>
        <w:t>(ג)</w:t>
      </w:r>
      <w:r>
        <w:rPr>
          <w:rFonts w:hint="cs"/>
          <w:rtl/>
        </w:rPr>
        <w:tab/>
      </w:r>
      <w:r w:rsidR="00823E3A" w:rsidRPr="00C02688">
        <w:rPr>
          <w:rFonts w:hint="eastAsia"/>
          <w:rtl/>
        </w:rPr>
        <w:t>מנהל</w:t>
      </w:r>
      <w:r w:rsidR="00823E3A" w:rsidRPr="00C02688">
        <w:rPr>
          <w:rtl/>
        </w:rPr>
        <w:t xml:space="preserve"> </w:t>
      </w:r>
      <w:r w:rsidR="00823E3A" w:rsidRPr="00C02688">
        <w:rPr>
          <w:rFonts w:hint="eastAsia"/>
          <w:rtl/>
        </w:rPr>
        <w:t>ההתקשרות</w:t>
      </w:r>
      <w:r w:rsidR="00823E3A" w:rsidRPr="00C02688">
        <w:rPr>
          <w:rtl/>
        </w:rPr>
        <w:t xml:space="preserve"> </w:t>
      </w:r>
      <w:r w:rsidR="00823E3A">
        <w:rPr>
          <w:rFonts w:hint="cs"/>
          <w:rtl/>
        </w:rPr>
        <w:t xml:space="preserve">עשוי </w:t>
      </w:r>
      <w:r w:rsidR="00823E3A" w:rsidRPr="00C02688">
        <w:rPr>
          <w:rFonts w:hint="eastAsia"/>
          <w:rtl/>
        </w:rPr>
        <w:t>להיות</w:t>
      </w:r>
      <w:r w:rsidR="00823E3A" w:rsidRPr="00C02688">
        <w:rPr>
          <w:rtl/>
        </w:rPr>
        <w:t xml:space="preserve"> </w:t>
      </w:r>
      <w:r w:rsidR="00823E3A" w:rsidRPr="00C02688">
        <w:rPr>
          <w:rFonts w:hint="eastAsia"/>
          <w:rtl/>
        </w:rPr>
        <w:t>חטיבת</w:t>
      </w:r>
      <w:r w:rsidR="00823E3A" w:rsidRPr="00C02688">
        <w:rPr>
          <w:rtl/>
        </w:rPr>
        <w:t xml:space="preserve"> </w:t>
      </w:r>
      <w:r w:rsidR="00823E3A" w:rsidRPr="00C02688">
        <w:rPr>
          <w:rFonts w:hint="eastAsia"/>
          <w:rtl/>
        </w:rPr>
        <w:t>תשתיות</w:t>
      </w:r>
      <w:r w:rsidR="00823E3A" w:rsidRPr="00C02688">
        <w:rPr>
          <w:rtl/>
        </w:rPr>
        <w:t xml:space="preserve"> </w:t>
      </w:r>
      <w:r w:rsidR="00823E3A" w:rsidRPr="00C02688">
        <w:rPr>
          <w:rFonts w:hint="eastAsia"/>
          <w:rtl/>
        </w:rPr>
        <w:t>ופרויקטים</w:t>
      </w:r>
      <w:r w:rsidR="00823E3A" w:rsidRPr="00C02688">
        <w:rPr>
          <w:rtl/>
        </w:rPr>
        <w:t xml:space="preserve">, </w:t>
      </w:r>
      <w:r w:rsidR="00823E3A" w:rsidRPr="00C02688">
        <w:rPr>
          <w:rFonts w:hint="eastAsia"/>
          <w:rtl/>
        </w:rPr>
        <w:t>מ</w:t>
      </w:r>
      <w:r w:rsidR="00823E3A">
        <w:rPr>
          <w:rFonts w:hint="cs"/>
          <w:rtl/>
        </w:rPr>
        <w:t>י</w:t>
      </w:r>
      <w:r w:rsidR="00823E3A" w:rsidRPr="00C02688">
        <w:rPr>
          <w:rFonts w:hint="eastAsia"/>
          <w:rtl/>
        </w:rPr>
        <w:t>נהלת</w:t>
      </w:r>
      <w:r w:rsidR="00823E3A" w:rsidRPr="00C02688">
        <w:rPr>
          <w:rtl/>
        </w:rPr>
        <w:t xml:space="preserve"> </w:t>
      </w:r>
      <w:r w:rsidR="00823E3A" w:rsidRPr="00C02688">
        <w:rPr>
          <w:rFonts w:hint="eastAsia"/>
          <w:rtl/>
        </w:rPr>
        <w:t>הבינוי</w:t>
      </w:r>
      <w:r w:rsidR="00823E3A" w:rsidRPr="00C02688">
        <w:rPr>
          <w:rtl/>
        </w:rPr>
        <w:t xml:space="preserve">, </w:t>
      </w:r>
      <w:r w:rsidR="00823E3A" w:rsidRPr="00C02688">
        <w:rPr>
          <w:rFonts w:hint="eastAsia"/>
          <w:rtl/>
        </w:rPr>
        <w:t>משרד</w:t>
      </w:r>
      <w:r w:rsidR="00823E3A" w:rsidRPr="00C02688">
        <w:rPr>
          <w:rtl/>
        </w:rPr>
        <w:t xml:space="preserve"> </w:t>
      </w:r>
      <w:r w:rsidR="00823E3A" w:rsidRPr="00C02688">
        <w:rPr>
          <w:rFonts w:hint="eastAsia"/>
          <w:rtl/>
        </w:rPr>
        <w:t>הביטחון</w:t>
      </w:r>
      <w:r w:rsidR="00823E3A" w:rsidRPr="00C02688">
        <w:rPr>
          <w:rtl/>
        </w:rPr>
        <w:t xml:space="preserve"> </w:t>
      </w:r>
      <w:r w:rsidR="00823E3A" w:rsidRPr="00C02688">
        <w:rPr>
          <w:rFonts w:hint="eastAsia"/>
          <w:rtl/>
        </w:rPr>
        <w:t>או</w:t>
      </w:r>
      <w:r w:rsidR="00823E3A" w:rsidRPr="00C02688">
        <w:rPr>
          <w:rtl/>
        </w:rPr>
        <w:t xml:space="preserve"> </w:t>
      </w:r>
      <w:r w:rsidR="00823E3A" w:rsidRPr="00C02688">
        <w:rPr>
          <w:rFonts w:hint="eastAsia"/>
          <w:rtl/>
        </w:rPr>
        <w:t>רשות</w:t>
      </w:r>
      <w:r w:rsidR="00823E3A" w:rsidRPr="00C02688">
        <w:rPr>
          <w:rtl/>
        </w:rPr>
        <w:t xml:space="preserve"> </w:t>
      </w:r>
      <w:r w:rsidR="00823E3A" w:rsidRPr="00C02688">
        <w:rPr>
          <w:rFonts w:hint="eastAsia"/>
          <w:rtl/>
        </w:rPr>
        <w:t>מקומית</w:t>
      </w:r>
    </w:p>
    <w:p w14:paraId="7F53C411" w14:textId="015D45DD" w:rsidR="00823E3A" w:rsidRDefault="001E00C3" w:rsidP="001E00C3">
      <w:pPr>
        <w:pStyle w:val="aff3"/>
      </w:pPr>
      <w:r>
        <w:rPr>
          <w:rFonts w:hint="cs"/>
          <w:rtl/>
        </w:rPr>
        <w:t>(ד)</w:t>
      </w:r>
      <w:r>
        <w:rPr>
          <w:rFonts w:hint="cs"/>
          <w:rtl/>
        </w:rPr>
        <w:tab/>
      </w:r>
      <w:r w:rsidR="00823E3A">
        <w:rPr>
          <w:rFonts w:hint="cs"/>
          <w:rtl/>
        </w:rPr>
        <w:t>גוף אסדרה מקצועי האמון על התחום האמור</w:t>
      </w:r>
    </w:p>
    <w:p w14:paraId="4B95B61D" w14:textId="4C2D7674" w:rsidR="00823E3A" w:rsidRPr="00CC3B8B" w:rsidRDefault="001E00C3" w:rsidP="001E00C3">
      <w:pPr>
        <w:pStyle w:val="aff3"/>
        <w:rPr>
          <w:rtl/>
        </w:rPr>
      </w:pPr>
      <w:r>
        <w:rPr>
          <w:rFonts w:hint="cs"/>
          <w:rtl/>
        </w:rPr>
        <w:t>(ה)</w:t>
      </w:r>
      <w:r>
        <w:rPr>
          <w:rFonts w:hint="cs"/>
          <w:rtl/>
        </w:rPr>
        <w:tab/>
      </w:r>
      <w:r w:rsidR="00823E3A" w:rsidRPr="00CC3B8B">
        <w:rPr>
          <w:rFonts w:hint="cs"/>
        </w:rPr>
        <w:t>SPC</w:t>
      </w:r>
      <w:r w:rsidR="00823E3A" w:rsidRPr="00CC3B8B">
        <w:rPr>
          <w:rFonts w:hint="cs"/>
          <w:rtl/>
        </w:rPr>
        <w:t xml:space="preserve"> - </w:t>
      </w:r>
      <w:r w:rsidR="00823E3A" w:rsidRPr="00CC3B8B">
        <w:rPr>
          <w:rFonts w:hint="cs"/>
        </w:rPr>
        <w:t>S</w:t>
      </w:r>
      <w:r w:rsidR="00823E3A" w:rsidRPr="00CC3B8B">
        <w:t>pecial Purpose Company</w:t>
      </w:r>
    </w:p>
    <w:p w14:paraId="49784CC7" w14:textId="3CE09AC4" w:rsidR="00823E3A" w:rsidRDefault="001E00C3" w:rsidP="001E00C3">
      <w:pPr>
        <w:pStyle w:val="aff3"/>
      </w:pPr>
      <w:r>
        <w:rPr>
          <w:rFonts w:hint="cs"/>
          <w:rtl/>
        </w:rPr>
        <w:t>(ו)</w:t>
      </w:r>
      <w:r>
        <w:rPr>
          <w:rFonts w:hint="cs"/>
          <w:rtl/>
        </w:rPr>
        <w:tab/>
      </w:r>
      <w:r w:rsidR="00823E3A">
        <w:rPr>
          <w:rFonts w:hint="cs"/>
        </w:rPr>
        <w:t>EPC</w:t>
      </w:r>
      <w:r w:rsidR="00823E3A">
        <w:rPr>
          <w:rFonts w:hint="cs"/>
          <w:rtl/>
        </w:rPr>
        <w:t xml:space="preserve"> - </w:t>
      </w:r>
      <w:r w:rsidR="00823E3A">
        <w:rPr>
          <w:rFonts w:hint="cs"/>
        </w:rPr>
        <w:t>E</w:t>
      </w:r>
      <w:r w:rsidR="00823E3A">
        <w:t>ngineering Procurement Construction</w:t>
      </w:r>
    </w:p>
    <w:p w14:paraId="27264AC2" w14:textId="12CD5B7E" w:rsidR="00823E3A" w:rsidRDefault="001E00C3" w:rsidP="001E00C3">
      <w:pPr>
        <w:pStyle w:val="aff3"/>
      </w:pPr>
      <w:r>
        <w:rPr>
          <w:rFonts w:hint="cs"/>
          <w:rtl/>
        </w:rPr>
        <w:t>(ז)</w:t>
      </w:r>
      <w:r>
        <w:rPr>
          <w:rFonts w:hint="cs"/>
          <w:rtl/>
        </w:rPr>
        <w:tab/>
      </w:r>
      <w:r w:rsidR="00823E3A">
        <w:rPr>
          <w:rFonts w:hint="cs"/>
          <w:rtl/>
        </w:rPr>
        <w:t>המזמין או הציבור</w:t>
      </w:r>
    </w:p>
    <w:p w14:paraId="6522C3BE" w14:textId="3E6DDEA1" w:rsidR="00823E3A" w:rsidRPr="009D4D73" w:rsidRDefault="001E00C3" w:rsidP="001E00C3">
      <w:pPr>
        <w:pStyle w:val="aff3"/>
        <w:rPr>
          <w:rtl/>
        </w:rPr>
      </w:pPr>
      <w:r>
        <w:rPr>
          <w:rFonts w:hint="cs"/>
          <w:rtl/>
        </w:rPr>
        <w:t>(ח)</w:t>
      </w:r>
      <w:r>
        <w:rPr>
          <w:rFonts w:hint="cs"/>
          <w:rtl/>
        </w:rPr>
        <w:tab/>
      </w:r>
      <w:r w:rsidR="00823E3A">
        <w:t>O&amp;M</w:t>
      </w:r>
      <w:r w:rsidR="00823E3A">
        <w:rPr>
          <w:rFonts w:hint="cs"/>
          <w:rtl/>
        </w:rPr>
        <w:t xml:space="preserve"> - </w:t>
      </w:r>
      <w:r w:rsidR="00823E3A">
        <w:rPr>
          <w:rFonts w:hint="cs"/>
        </w:rPr>
        <w:t>O</w:t>
      </w:r>
      <w:r w:rsidR="00823E3A">
        <w:t>peration and Maintenance</w:t>
      </w:r>
    </w:p>
    <w:p w14:paraId="01BC2B5E" w14:textId="77777777" w:rsidR="00823E3A" w:rsidRDefault="00823E3A" w:rsidP="001E00C3">
      <w:pPr>
        <w:pStyle w:val="100"/>
        <w:rPr>
          <w:rtl/>
        </w:rPr>
      </w:pPr>
      <w:r>
        <w:rPr>
          <w:rFonts w:hint="cs"/>
          <w:rtl/>
        </w:rPr>
        <w:t xml:space="preserve">במבנה התקשרות בשיטת </w:t>
      </w:r>
      <w:r>
        <w:rPr>
          <w:rFonts w:hint="cs"/>
        </w:rPr>
        <w:t>PPP</w:t>
      </w:r>
      <w:r>
        <w:rPr>
          <w:rFonts w:hint="cs"/>
          <w:rtl/>
        </w:rPr>
        <w:t xml:space="preserve"> המתואר בתרשים, חברת הפרויקט (</w:t>
      </w:r>
      <w:r>
        <w:rPr>
          <w:rFonts w:hint="cs"/>
        </w:rPr>
        <w:t>SPC</w:t>
      </w:r>
      <w:r>
        <w:rPr>
          <w:rFonts w:hint="cs"/>
          <w:rtl/>
        </w:rPr>
        <w:t>) - שהיא חברה ייעודית - מקבלת מהמדינה את הזיכיון לתכנן את הפרויקטים, לממנם, להקימם, להפעילם ולתחזק אותם לתקופה מוגדרת מראש של 20 - 35 שנה. חברת הפרויקט מתקשרת עם קבלני הקמה ותפעול והם מקבלים על עצמם את האחריות להקמת הפרויקט ולתפעולו. מבנה עסקי זה מאפשר להקצות ביעילות את הסיכונים ומספק הגנה מיטבית לגורמים המממנים.</w:t>
      </w:r>
    </w:p>
    <w:p w14:paraId="4B4F5281" w14:textId="77777777" w:rsidR="00823E3A" w:rsidRDefault="00823E3A" w:rsidP="003972E8">
      <w:pPr>
        <w:pStyle w:val="100"/>
        <w:rPr>
          <w:rtl/>
        </w:rPr>
      </w:pPr>
      <w:r>
        <w:rPr>
          <w:rFonts w:hint="cs"/>
          <w:rtl/>
        </w:rPr>
        <w:lastRenderedPageBreak/>
        <w:t xml:space="preserve">אלה המודלים המרכזיים הנהוגים בישראל לניהול התקשרות בשיטה של </w:t>
      </w:r>
      <w:r>
        <w:rPr>
          <w:rFonts w:hint="cs"/>
        </w:rPr>
        <w:t>PPP</w:t>
      </w:r>
      <w:r>
        <w:rPr>
          <w:rFonts w:hint="cs"/>
          <w:rtl/>
        </w:rPr>
        <w:t xml:space="preserve">: (א) הסכמים מסוג </w:t>
      </w:r>
      <w:r>
        <w:rPr>
          <w:rFonts w:hint="cs"/>
        </w:rPr>
        <w:t>P.F.I</w:t>
      </w:r>
      <w:r>
        <w:rPr>
          <w:rStyle w:val="FootnoteReference"/>
          <w:rtl/>
        </w:rPr>
        <w:footnoteReference w:id="18"/>
      </w:r>
      <w:r>
        <w:rPr>
          <w:rFonts w:hint="cs"/>
          <w:rtl/>
        </w:rPr>
        <w:t xml:space="preserve"> - הזכיין מתכנן ומממן את הפרויקט, בונה ומתפעל את התשתית, את המוצר או את השירות לציבור לאורך כל תקופת הזיכיון ומקבל תשלומים בעיקר מהמדינה לפי קריטריונים המעוגנים בחוזה הזיכיון. בסיום תקופת הזיכיון הנכס מועבר לידי המדינה; (ב) הסכמים מסוג </w:t>
      </w:r>
      <w:r>
        <w:rPr>
          <w:rFonts w:hint="cs"/>
        </w:rPr>
        <w:t>B.O.T</w:t>
      </w:r>
      <w:r>
        <w:rPr>
          <w:rStyle w:val="FootnoteReference"/>
          <w:rtl/>
        </w:rPr>
        <w:footnoteReference w:id="19"/>
      </w:r>
      <w:r>
        <w:rPr>
          <w:rFonts w:hint="cs"/>
          <w:rtl/>
        </w:rPr>
        <w:t xml:space="preserve"> - הזכיין מתכנן, מממן, בונה ומתפעל את התשתית, את המוצר או את השירות לציבור לאורך כל תקופת הזיכיון ומקבל תשלומים בעיקר מהמשתמשים בשירות (אך גם מהמדינה) לפי קריטריונים המעוגנים בחוזה הזיכיון. בסיום תקופת הזיכיון הנכס מועבר לידי המדינה; (ג) הסכמים מסוג </w:t>
      </w:r>
      <w:r>
        <w:rPr>
          <w:rFonts w:hint="cs"/>
        </w:rPr>
        <w:t>B.O.O</w:t>
      </w:r>
      <w:r>
        <w:rPr>
          <w:rStyle w:val="FootnoteReference"/>
          <w:rtl/>
        </w:rPr>
        <w:footnoteReference w:id="20"/>
      </w:r>
      <w:r>
        <w:rPr>
          <w:rFonts w:hint="cs"/>
          <w:rtl/>
        </w:rPr>
        <w:t xml:space="preserve"> - הזכיין מתכנן, מממן, בונה ומתפעל את התשתית, את המוצר או את השירות לציבור לאורך כל תקופת הזיכיון ומקבל תשלומים בעיקר מהמשתמשים בשירות (אך גם מהמדינה) לפי קריטריונים המעוגנים בחוזה הזיכיון. לעיתים הזכיין מעמיד את הקרקע לשימוש המיזם. בסיום תקופת הזיכיון הנכס נשאר בבעלות הזכיין.</w:t>
      </w:r>
    </w:p>
    <w:p w14:paraId="1E71E10D" w14:textId="77777777" w:rsidR="00823E3A" w:rsidRDefault="00823E3A" w:rsidP="003972E8">
      <w:pPr>
        <w:pStyle w:val="100"/>
        <w:rPr>
          <w:rtl/>
        </w:rPr>
      </w:pPr>
      <w:r>
        <w:rPr>
          <w:rFonts w:hint="cs"/>
          <w:rtl/>
        </w:rPr>
        <w:t>לוח 1 להלן מסכם את ההבדלים בין סוגי חוזי הזיכיון השונים:</w:t>
      </w:r>
    </w:p>
    <w:p w14:paraId="79CD1C71" w14:textId="77777777" w:rsidR="00823E3A" w:rsidRPr="00FC5544" w:rsidRDefault="00823E3A" w:rsidP="003972E8">
      <w:pPr>
        <w:pStyle w:val="aa"/>
        <w:rPr>
          <w:rtl/>
        </w:rPr>
      </w:pPr>
      <w:r w:rsidRPr="00FC5544">
        <w:rPr>
          <w:rFonts w:hint="eastAsia"/>
          <w:rtl/>
        </w:rPr>
        <w:t>לוח</w:t>
      </w:r>
      <w:r w:rsidRPr="00FC5544">
        <w:rPr>
          <w:rtl/>
        </w:rPr>
        <w:t xml:space="preserve"> 1: </w:t>
      </w:r>
      <w:r w:rsidRPr="003972E8">
        <w:rPr>
          <w:rFonts w:hint="eastAsia"/>
          <w:b/>
          <w:bCs/>
          <w:rtl/>
        </w:rPr>
        <w:t>הסוגים</w:t>
      </w:r>
      <w:r w:rsidRPr="003972E8">
        <w:rPr>
          <w:b/>
          <w:bCs/>
          <w:rtl/>
        </w:rPr>
        <w:t xml:space="preserve"> </w:t>
      </w:r>
      <w:r w:rsidRPr="003972E8">
        <w:rPr>
          <w:rFonts w:hint="eastAsia"/>
          <w:b/>
          <w:bCs/>
          <w:rtl/>
        </w:rPr>
        <w:t>של</w:t>
      </w:r>
      <w:r w:rsidRPr="003972E8">
        <w:rPr>
          <w:b/>
          <w:bCs/>
          <w:rtl/>
        </w:rPr>
        <w:t xml:space="preserve"> חוזי זיכיון</w:t>
      </w:r>
    </w:p>
    <w:tbl>
      <w:tblPr>
        <w:tblStyle w:val="GridTable4-Accent11"/>
        <w:bidiVisu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12"/>
        <w:gridCol w:w="1443"/>
        <w:gridCol w:w="1515"/>
        <w:gridCol w:w="1767"/>
        <w:gridCol w:w="2394"/>
      </w:tblGrid>
      <w:tr w:rsidR="00823E3A" w:rsidRPr="00676850" w14:paraId="67BB6456" w14:textId="77777777" w:rsidTr="003972E8">
        <w:trPr>
          <w:cnfStyle w:val="100000000000" w:firstRow="1" w:lastRow="0" w:firstColumn="0" w:lastColumn="0" w:oddVBand="0" w:evenVBand="0" w:oddHBand="0" w:evenHBand="0" w:firstRowFirstColumn="0" w:firstRowLastColumn="0" w:lastRowFirstColumn="0" w:lastRowLastColumn="0"/>
          <w:trHeight w:val="260"/>
        </w:trPr>
        <w:tc>
          <w:tcPr>
            <w:tcW w:w="0" w:type="auto"/>
            <w:tcBorders>
              <w:top w:val="none" w:sz="0" w:space="0" w:color="auto"/>
              <w:left w:val="none" w:sz="0" w:space="0" w:color="auto"/>
              <w:bottom w:val="none" w:sz="0" w:space="0" w:color="auto"/>
              <w:right w:val="none" w:sz="0" w:space="0" w:color="auto"/>
            </w:tcBorders>
            <w:shd w:val="clear" w:color="auto" w:fill="C6D9F1"/>
            <w:hideMark/>
          </w:tcPr>
          <w:p w14:paraId="4CC907B2" w14:textId="77777777" w:rsidR="00823E3A" w:rsidRPr="00676850" w:rsidRDefault="00823E3A" w:rsidP="003972E8">
            <w:pPr>
              <w:pStyle w:val="af1"/>
              <w:rPr>
                <w:b/>
                <w:bCs/>
              </w:rPr>
            </w:pPr>
            <w:r w:rsidRPr="00676850">
              <w:rPr>
                <w:rFonts w:hint="cs"/>
                <w:b/>
                <w:bCs/>
                <w:rtl/>
              </w:rPr>
              <w:t>סוג החוזה</w:t>
            </w:r>
          </w:p>
        </w:tc>
        <w:tc>
          <w:tcPr>
            <w:tcW w:w="0" w:type="auto"/>
            <w:tcBorders>
              <w:top w:val="none" w:sz="0" w:space="0" w:color="auto"/>
              <w:left w:val="none" w:sz="0" w:space="0" w:color="auto"/>
              <w:bottom w:val="none" w:sz="0" w:space="0" w:color="auto"/>
              <w:right w:val="none" w:sz="0" w:space="0" w:color="auto"/>
            </w:tcBorders>
            <w:shd w:val="clear" w:color="auto" w:fill="C6D9F1"/>
            <w:hideMark/>
          </w:tcPr>
          <w:p w14:paraId="57392030" w14:textId="77777777" w:rsidR="00823E3A" w:rsidRPr="00676850" w:rsidRDefault="00823E3A" w:rsidP="003972E8">
            <w:pPr>
              <w:pStyle w:val="af1"/>
              <w:rPr>
                <w:b/>
                <w:bCs/>
                <w:rtl/>
              </w:rPr>
            </w:pPr>
            <w:r w:rsidRPr="00676850">
              <w:rPr>
                <w:rFonts w:hint="cs"/>
                <w:b/>
                <w:bCs/>
                <w:rtl/>
              </w:rPr>
              <w:t>זהות הגורם המשלם</w:t>
            </w:r>
          </w:p>
        </w:tc>
        <w:tc>
          <w:tcPr>
            <w:tcW w:w="0" w:type="auto"/>
            <w:tcBorders>
              <w:top w:val="none" w:sz="0" w:space="0" w:color="auto"/>
              <w:left w:val="none" w:sz="0" w:space="0" w:color="auto"/>
              <w:bottom w:val="none" w:sz="0" w:space="0" w:color="auto"/>
              <w:right w:val="none" w:sz="0" w:space="0" w:color="auto"/>
            </w:tcBorders>
            <w:shd w:val="clear" w:color="auto" w:fill="C6D9F1"/>
            <w:hideMark/>
          </w:tcPr>
          <w:p w14:paraId="4594BA30" w14:textId="77777777" w:rsidR="00823E3A" w:rsidRPr="00676850" w:rsidRDefault="00823E3A" w:rsidP="003972E8">
            <w:pPr>
              <w:pStyle w:val="af1"/>
              <w:rPr>
                <w:b/>
                <w:bCs/>
                <w:rtl/>
              </w:rPr>
            </w:pPr>
            <w:r w:rsidRPr="00676850">
              <w:rPr>
                <w:rFonts w:hint="cs"/>
                <w:b/>
                <w:bCs/>
                <w:rtl/>
              </w:rPr>
              <w:t>הגוף הנושא בסיכוני הביקוש</w:t>
            </w:r>
          </w:p>
        </w:tc>
        <w:tc>
          <w:tcPr>
            <w:tcW w:w="0" w:type="auto"/>
            <w:tcBorders>
              <w:top w:val="none" w:sz="0" w:space="0" w:color="auto"/>
              <w:left w:val="none" w:sz="0" w:space="0" w:color="auto"/>
              <w:bottom w:val="none" w:sz="0" w:space="0" w:color="auto"/>
              <w:right w:val="none" w:sz="0" w:space="0" w:color="auto"/>
            </w:tcBorders>
            <w:shd w:val="clear" w:color="auto" w:fill="C6D9F1"/>
            <w:hideMark/>
          </w:tcPr>
          <w:p w14:paraId="75B79ABA" w14:textId="77777777" w:rsidR="00823E3A" w:rsidRPr="00676850" w:rsidRDefault="00823E3A" w:rsidP="003972E8">
            <w:pPr>
              <w:pStyle w:val="af1"/>
              <w:rPr>
                <w:b/>
                <w:bCs/>
                <w:rtl/>
              </w:rPr>
            </w:pPr>
            <w:r w:rsidRPr="00676850">
              <w:rPr>
                <w:rFonts w:hint="cs"/>
                <w:b/>
                <w:bCs/>
                <w:rtl/>
              </w:rPr>
              <w:t>בעלי הנכס בסוף ההתקשרות</w:t>
            </w:r>
          </w:p>
        </w:tc>
        <w:tc>
          <w:tcPr>
            <w:tcW w:w="0" w:type="auto"/>
            <w:tcBorders>
              <w:top w:val="none" w:sz="0" w:space="0" w:color="auto"/>
              <w:left w:val="none" w:sz="0" w:space="0" w:color="auto"/>
              <w:bottom w:val="none" w:sz="0" w:space="0" w:color="auto"/>
              <w:right w:val="none" w:sz="0" w:space="0" w:color="auto"/>
            </w:tcBorders>
            <w:shd w:val="clear" w:color="auto" w:fill="C6D9F1"/>
            <w:hideMark/>
          </w:tcPr>
          <w:p w14:paraId="1FB7C2DD" w14:textId="77777777" w:rsidR="00823E3A" w:rsidRPr="00676850" w:rsidRDefault="00823E3A" w:rsidP="003972E8">
            <w:pPr>
              <w:pStyle w:val="af1"/>
              <w:rPr>
                <w:b/>
                <w:bCs/>
                <w:rtl/>
              </w:rPr>
            </w:pPr>
            <w:r w:rsidRPr="00676850">
              <w:rPr>
                <w:rFonts w:hint="cs"/>
                <w:b/>
                <w:bCs/>
                <w:rtl/>
              </w:rPr>
              <w:t>דוגמאות</w:t>
            </w:r>
          </w:p>
        </w:tc>
      </w:tr>
      <w:tr w:rsidR="00823E3A" w:rsidRPr="00760A71" w14:paraId="5F8A8A12" w14:textId="77777777" w:rsidTr="00BC7178">
        <w:trPr>
          <w:cnfStyle w:val="000000100000" w:firstRow="0" w:lastRow="0" w:firstColumn="0" w:lastColumn="0" w:oddVBand="0" w:evenVBand="0" w:oddHBand="1" w:evenHBand="0" w:firstRowFirstColumn="0" w:firstRowLastColumn="0" w:lastRowFirstColumn="0" w:lastRowLastColumn="0"/>
          <w:trHeight w:val="260"/>
        </w:trPr>
        <w:tc>
          <w:tcPr>
            <w:tcW w:w="0" w:type="auto"/>
            <w:shd w:val="clear" w:color="auto" w:fill="auto"/>
            <w:hideMark/>
          </w:tcPr>
          <w:p w14:paraId="1B051F18" w14:textId="77777777" w:rsidR="00823E3A" w:rsidRPr="00760A71" w:rsidRDefault="00823E3A" w:rsidP="003972E8">
            <w:pPr>
              <w:pStyle w:val="R"/>
              <w:rPr>
                <w:rtl/>
              </w:rPr>
            </w:pPr>
            <w:r w:rsidRPr="00760A71">
              <w:rPr>
                <w:rFonts w:hint="cs"/>
              </w:rPr>
              <w:t>BOT</w:t>
            </w:r>
          </w:p>
          <w:p w14:paraId="2E86AC1E" w14:textId="77777777" w:rsidR="00823E3A" w:rsidRPr="00760A71" w:rsidRDefault="00823E3A" w:rsidP="003972E8">
            <w:pPr>
              <w:pStyle w:val="R"/>
              <w:rPr>
                <w:rtl/>
              </w:rPr>
            </w:pPr>
            <w:r w:rsidRPr="00760A71">
              <w:t> </w:t>
            </w:r>
            <w:r w:rsidRPr="00760A71">
              <w:rPr>
                <w:rFonts w:hint="cs"/>
              </w:rPr>
              <w:t>Build-Operate-Transfer</w:t>
            </w:r>
          </w:p>
        </w:tc>
        <w:tc>
          <w:tcPr>
            <w:tcW w:w="0" w:type="auto"/>
            <w:shd w:val="clear" w:color="auto" w:fill="auto"/>
            <w:hideMark/>
          </w:tcPr>
          <w:p w14:paraId="7F85D0EA" w14:textId="77777777" w:rsidR="00823E3A" w:rsidRPr="00760A71" w:rsidRDefault="00823E3A" w:rsidP="003972E8">
            <w:pPr>
              <w:pStyle w:val="R"/>
              <w:rPr>
                <w:rtl/>
              </w:rPr>
            </w:pPr>
            <w:r w:rsidRPr="00760A71">
              <w:rPr>
                <w:rFonts w:hint="cs"/>
                <w:rtl/>
              </w:rPr>
              <w:t>הציבור והממשלה*</w:t>
            </w:r>
          </w:p>
        </w:tc>
        <w:tc>
          <w:tcPr>
            <w:tcW w:w="0" w:type="auto"/>
            <w:shd w:val="clear" w:color="auto" w:fill="auto"/>
            <w:hideMark/>
          </w:tcPr>
          <w:p w14:paraId="4BAC8EED" w14:textId="77777777" w:rsidR="00823E3A" w:rsidRPr="00760A71" w:rsidRDefault="00823E3A" w:rsidP="003972E8">
            <w:pPr>
              <w:pStyle w:val="R"/>
              <w:rPr>
                <w:rtl/>
              </w:rPr>
            </w:pPr>
            <w:r w:rsidRPr="00760A71">
              <w:rPr>
                <w:rFonts w:hint="cs"/>
                <w:rtl/>
              </w:rPr>
              <w:t>היזם</w:t>
            </w:r>
          </w:p>
        </w:tc>
        <w:tc>
          <w:tcPr>
            <w:tcW w:w="0" w:type="auto"/>
            <w:shd w:val="clear" w:color="auto" w:fill="auto"/>
            <w:hideMark/>
          </w:tcPr>
          <w:p w14:paraId="35F405EC" w14:textId="77777777" w:rsidR="00823E3A" w:rsidRPr="00760A71" w:rsidRDefault="00823E3A" w:rsidP="003972E8">
            <w:pPr>
              <w:pStyle w:val="R"/>
              <w:rPr>
                <w:rtl/>
              </w:rPr>
            </w:pPr>
            <w:r w:rsidRPr="00760A71">
              <w:rPr>
                <w:rFonts w:hint="cs"/>
                <w:rtl/>
              </w:rPr>
              <w:t>הממשלה</w:t>
            </w:r>
          </w:p>
        </w:tc>
        <w:tc>
          <w:tcPr>
            <w:tcW w:w="0" w:type="auto"/>
            <w:shd w:val="clear" w:color="auto" w:fill="auto"/>
            <w:hideMark/>
          </w:tcPr>
          <w:p w14:paraId="6D93F0D2" w14:textId="77777777" w:rsidR="00823E3A" w:rsidRPr="00760A71" w:rsidRDefault="00823E3A" w:rsidP="003972E8">
            <w:pPr>
              <w:pStyle w:val="R"/>
              <w:rPr>
                <w:rtl/>
              </w:rPr>
            </w:pPr>
            <w:r w:rsidRPr="00760A71">
              <w:rPr>
                <w:rFonts w:hint="cs"/>
                <w:rtl/>
              </w:rPr>
              <w:t>מתקני ההתפלה באשקלון, כביש חוצה ישראל צפון, רק"ל ירושלים</w:t>
            </w:r>
          </w:p>
        </w:tc>
      </w:tr>
      <w:tr w:rsidR="00823E3A" w:rsidRPr="00760A71" w14:paraId="734DC502" w14:textId="77777777" w:rsidTr="00BC7178">
        <w:trPr>
          <w:trHeight w:val="260"/>
        </w:trPr>
        <w:tc>
          <w:tcPr>
            <w:tcW w:w="0" w:type="auto"/>
            <w:shd w:val="clear" w:color="auto" w:fill="auto"/>
            <w:hideMark/>
          </w:tcPr>
          <w:p w14:paraId="60DFB006" w14:textId="77777777" w:rsidR="00823E3A" w:rsidRPr="00760A71" w:rsidRDefault="00823E3A" w:rsidP="003972E8">
            <w:pPr>
              <w:pStyle w:val="R"/>
              <w:rPr>
                <w:rtl/>
              </w:rPr>
            </w:pPr>
            <w:r w:rsidRPr="00760A71">
              <w:rPr>
                <w:rFonts w:hint="cs"/>
              </w:rPr>
              <w:t>BOO</w:t>
            </w:r>
          </w:p>
          <w:p w14:paraId="0070CE12" w14:textId="77777777" w:rsidR="00823E3A" w:rsidRPr="00760A71" w:rsidRDefault="00823E3A" w:rsidP="003972E8">
            <w:pPr>
              <w:pStyle w:val="R"/>
              <w:rPr>
                <w:rtl/>
              </w:rPr>
            </w:pPr>
            <w:r w:rsidRPr="00760A71">
              <w:rPr>
                <w:rFonts w:hint="cs"/>
              </w:rPr>
              <w:t>Build-Own-Operate</w:t>
            </w:r>
          </w:p>
        </w:tc>
        <w:tc>
          <w:tcPr>
            <w:tcW w:w="0" w:type="auto"/>
            <w:shd w:val="clear" w:color="auto" w:fill="auto"/>
            <w:hideMark/>
          </w:tcPr>
          <w:p w14:paraId="029E2DA2" w14:textId="77777777" w:rsidR="00823E3A" w:rsidRPr="00760A71" w:rsidRDefault="00823E3A" w:rsidP="003972E8">
            <w:pPr>
              <w:pStyle w:val="R"/>
              <w:rPr>
                <w:rtl/>
              </w:rPr>
            </w:pPr>
            <w:r w:rsidRPr="00760A71">
              <w:rPr>
                <w:rFonts w:hint="cs"/>
                <w:rtl/>
              </w:rPr>
              <w:t>הציבור והממשלה*</w:t>
            </w:r>
          </w:p>
        </w:tc>
        <w:tc>
          <w:tcPr>
            <w:tcW w:w="0" w:type="auto"/>
            <w:shd w:val="clear" w:color="auto" w:fill="auto"/>
            <w:hideMark/>
          </w:tcPr>
          <w:p w14:paraId="09494FF6" w14:textId="77777777" w:rsidR="00823E3A" w:rsidRPr="00760A71" w:rsidRDefault="00823E3A" w:rsidP="003972E8">
            <w:pPr>
              <w:pStyle w:val="R"/>
              <w:rPr>
                <w:rtl/>
              </w:rPr>
            </w:pPr>
            <w:r w:rsidRPr="00760A71">
              <w:rPr>
                <w:rFonts w:hint="cs"/>
                <w:rtl/>
              </w:rPr>
              <w:t>היזם</w:t>
            </w:r>
          </w:p>
        </w:tc>
        <w:tc>
          <w:tcPr>
            <w:tcW w:w="0" w:type="auto"/>
            <w:shd w:val="clear" w:color="auto" w:fill="auto"/>
            <w:hideMark/>
          </w:tcPr>
          <w:p w14:paraId="5C8D4081" w14:textId="77777777" w:rsidR="00823E3A" w:rsidRPr="00760A71" w:rsidRDefault="00823E3A" w:rsidP="003972E8">
            <w:pPr>
              <w:pStyle w:val="R"/>
              <w:rPr>
                <w:rtl/>
              </w:rPr>
            </w:pPr>
            <w:r w:rsidRPr="00760A71">
              <w:rPr>
                <w:rFonts w:hint="cs"/>
                <w:rtl/>
              </w:rPr>
              <w:t>פרטי</w:t>
            </w:r>
          </w:p>
        </w:tc>
        <w:tc>
          <w:tcPr>
            <w:tcW w:w="0" w:type="auto"/>
            <w:shd w:val="clear" w:color="auto" w:fill="auto"/>
            <w:hideMark/>
          </w:tcPr>
          <w:p w14:paraId="31F085E7" w14:textId="77777777" w:rsidR="00823E3A" w:rsidRPr="00760A71" w:rsidRDefault="00823E3A" w:rsidP="003972E8">
            <w:pPr>
              <w:pStyle w:val="R"/>
              <w:rPr>
                <w:rtl/>
              </w:rPr>
            </w:pPr>
            <w:r w:rsidRPr="00760A71">
              <w:rPr>
                <w:rFonts w:hint="cs"/>
                <w:rtl/>
              </w:rPr>
              <w:t>מתקן התפלה פלמחים</w:t>
            </w:r>
          </w:p>
        </w:tc>
      </w:tr>
      <w:tr w:rsidR="00823E3A" w:rsidRPr="00760A71" w14:paraId="1AA6D4B1" w14:textId="77777777" w:rsidTr="003972E8">
        <w:trPr>
          <w:cnfStyle w:val="000000100000" w:firstRow="0" w:lastRow="0" w:firstColumn="0" w:lastColumn="0" w:oddVBand="0" w:evenVBand="0" w:oddHBand="1" w:evenHBand="0" w:firstRowFirstColumn="0" w:firstRowLastColumn="0" w:lastRowFirstColumn="0" w:lastRowLastColumn="0"/>
          <w:trHeight w:val="1476"/>
        </w:trPr>
        <w:tc>
          <w:tcPr>
            <w:tcW w:w="0" w:type="auto"/>
            <w:shd w:val="clear" w:color="auto" w:fill="auto"/>
            <w:hideMark/>
          </w:tcPr>
          <w:p w14:paraId="098BD29E" w14:textId="77777777" w:rsidR="00823E3A" w:rsidRPr="00760A71" w:rsidRDefault="00823E3A" w:rsidP="003972E8">
            <w:pPr>
              <w:pStyle w:val="R"/>
              <w:rPr>
                <w:rtl/>
              </w:rPr>
            </w:pPr>
            <w:r w:rsidRPr="00760A71">
              <w:rPr>
                <w:rFonts w:hint="cs"/>
              </w:rPr>
              <w:t>PFI</w:t>
            </w:r>
          </w:p>
          <w:p w14:paraId="46880D40" w14:textId="1615ED3D" w:rsidR="00823E3A" w:rsidRPr="00760A71" w:rsidRDefault="00823E3A" w:rsidP="003972E8">
            <w:pPr>
              <w:pStyle w:val="R"/>
              <w:rPr>
                <w:rtl/>
              </w:rPr>
            </w:pPr>
            <w:r w:rsidRPr="00760A71">
              <w:rPr>
                <w:rFonts w:hint="cs"/>
              </w:rPr>
              <w:t>Private finance initiative</w:t>
            </w:r>
          </w:p>
        </w:tc>
        <w:tc>
          <w:tcPr>
            <w:tcW w:w="0" w:type="auto"/>
            <w:shd w:val="clear" w:color="auto" w:fill="auto"/>
            <w:hideMark/>
          </w:tcPr>
          <w:p w14:paraId="6C7132A1" w14:textId="77777777" w:rsidR="00823E3A" w:rsidRPr="00760A71" w:rsidRDefault="00823E3A" w:rsidP="003972E8">
            <w:pPr>
              <w:pStyle w:val="R"/>
              <w:rPr>
                <w:rtl/>
              </w:rPr>
            </w:pPr>
            <w:r w:rsidRPr="00760A71">
              <w:rPr>
                <w:rFonts w:hint="cs"/>
                <w:rtl/>
              </w:rPr>
              <w:t>הממשלה</w:t>
            </w:r>
          </w:p>
        </w:tc>
        <w:tc>
          <w:tcPr>
            <w:tcW w:w="0" w:type="auto"/>
            <w:shd w:val="clear" w:color="auto" w:fill="auto"/>
            <w:hideMark/>
          </w:tcPr>
          <w:p w14:paraId="4DB03749" w14:textId="77777777" w:rsidR="00823E3A" w:rsidRPr="00760A71" w:rsidRDefault="00823E3A" w:rsidP="003972E8">
            <w:pPr>
              <w:pStyle w:val="R"/>
              <w:rPr>
                <w:rtl/>
              </w:rPr>
            </w:pPr>
            <w:r w:rsidRPr="00760A71">
              <w:rPr>
                <w:rFonts w:hint="cs"/>
                <w:rtl/>
              </w:rPr>
              <w:t>הממשלה</w:t>
            </w:r>
          </w:p>
        </w:tc>
        <w:tc>
          <w:tcPr>
            <w:tcW w:w="0" w:type="auto"/>
            <w:shd w:val="clear" w:color="auto" w:fill="auto"/>
            <w:hideMark/>
          </w:tcPr>
          <w:p w14:paraId="7C45BB77" w14:textId="77777777" w:rsidR="00823E3A" w:rsidRPr="00760A71" w:rsidRDefault="00823E3A" w:rsidP="003972E8">
            <w:pPr>
              <w:pStyle w:val="R"/>
              <w:rPr>
                <w:rtl/>
              </w:rPr>
            </w:pPr>
            <w:r w:rsidRPr="00760A71">
              <w:rPr>
                <w:rFonts w:hint="cs"/>
                <w:rtl/>
              </w:rPr>
              <w:t>הממשלה</w:t>
            </w:r>
          </w:p>
        </w:tc>
        <w:tc>
          <w:tcPr>
            <w:tcW w:w="0" w:type="auto"/>
            <w:shd w:val="clear" w:color="auto" w:fill="auto"/>
            <w:hideMark/>
          </w:tcPr>
          <w:p w14:paraId="1A35BD2B" w14:textId="4A62B775" w:rsidR="00823E3A" w:rsidRPr="00760A71" w:rsidRDefault="00823E3A" w:rsidP="003972E8">
            <w:pPr>
              <w:pStyle w:val="R"/>
              <w:rPr>
                <w:rtl/>
              </w:rPr>
            </w:pPr>
            <w:r w:rsidRPr="00760A71">
              <w:rPr>
                <w:rFonts w:hint="cs"/>
                <w:rtl/>
              </w:rPr>
              <w:t xml:space="preserve">קריית ההדרכה של צה"ל, </w:t>
            </w:r>
            <w:r w:rsidR="004177C6">
              <w:rPr>
                <w:rFonts w:hint="cs"/>
                <w:rtl/>
              </w:rPr>
              <w:t>מרכז</w:t>
            </w:r>
            <w:r w:rsidRPr="00760A71">
              <w:rPr>
                <w:rFonts w:hint="cs"/>
                <w:rtl/>
              </w:rPr>
              <w:t xml:space="preserve"> ההדרכה של</w:t>
            </w:r>
            <w:r w:rsidRPr="00760A71">
              <w:rPr>
                <w:rFonts w:hint="cs"/>
              </w:rPr>
              <w:t xml:space="preserve"> </w:t>
            </w:r>
            <w:r w:rsidRPr="00760A71">
              <w:rPr>
                <w:rFonts w:hint="cs"/>
                <w:rtl/>
              </w:rPr>
              <w:t>משטרת ישראל, כביש 431</w:t>
            </w:r>
          </w:p>
        </w:tc>
      </w:tr>
    </w:tbl>
    <w:p w14:paraId="12D039E2" w14:textId="77777777" w:rsidR="00823E3A" w:rsidRDefault="00823E3A" w:rsidP="003972E8">
      <w:pPr>
        <w:pStyle w:val="aff3"/>
      </w:pPr>
      <w:r>
        <w:rPr>
          <w:rFonts w:hint="cs"/>
          <w:rtl/>
        </w:rPr>
        <w:t>המקור: אתר חברת ענבל</w:t>
      </w:r>
      <w:r>
        <w:rPr>
          <w:rStyle w:val="FootnoteReference"/>
          <w:szCs w:val="20"/>
          <w:rtl/>
        </w:rPr>
        <w:footnoteReference w:id="21"/>
      </w:r>
      <w:r>
        <w:rPr>
          <w:rFonts w:hint="cs"/>
          <w:rtl/>
        </w:rPr>
        <w:t>, ב</w:t>
      </w:r>
      <w:r w:rsidRPr="009D4AA3">
        <w:rPr>
          <w:rFonts w:hint="cs"/>
          <w:rtl/>
        </w:rPr>
        <w:t>עיבוד משרד מבקר המדינה</w:t>
      </w:r>
    </w:p>
    <w:p w14:paraId="18321D4D" w14:textId="623AECF6" w:rsidR="003972E8" w:rsidRDefault="00823E3A" w:rsidP="003972E8">
      <w:pPr>
        <w:pStyle w:val="aff3"/>
        <w:rPr>
          <w:rtl/>
        </w:rPr>
      </w:pPr>
      <w:r w:rsidRPr="00577728">
        <w:rPr>
          <w:rFonts w:hint="cs"/>
          <w:rtl/>
        </w:rPr>
        <w:t xml:space="preserve">* </w:t>
      </w:r>
      <w:r>
        <w:rPr>
          <w:rFonts w:hint="cs"/>
          <w:rtl/>
        </w:rPr>
        <w:t xml:space="preserve">יש </w:t>
      </w:r>
      <w:r w:rsidRPr="00577728">
        <w:rPr>
          <w:rFonts w:hint="cs"/>
          <w:rtl/>
        </w:rPr>
        <w:t xml:space="preserve">מנגנוני הגנה על הזכיין שנועדו להבטיח הכנסות. </w:t>
      </w:r>
    </w:p>
    <w:p w14:paraId="5A481DEA" w14:textId="77777777" w:rsidR="00823E3A" w:rsidRPr="00345332" w:rsidRDefault="00823E3A" w:rsidP="003972E8">
      <w:pPr>
        <w:pStyle w:val="100"/>
        <w:rPr>
          <w:rtl/>
        </w:rPr>
      </w:pPr>
      <w:r>
        <w:rPr>
          <w:rFonts w:hint="cs"/>
          <w:rtl/>
        </w:rPr>
        <w:lastRenderedPageBreak/>
        <w:t xml:space="preserve">בשיטת </w:t>
      </w:r>
      <w:r>
        <w:rPr>
          <w:rFonts w:hint="cs"/>
        </w:rPr>
        <w:t>PPP</w:t>
      </w:r>
      <w:r>
        <w:rPr>
          <w:rFonts w:hint="cs"/>
          <w:rtl/>
        </w:rPr>
        <w:t xml:space="preserve"> שלובים זה בזה יתרונות וחסרונות המשמשים בסיס בעת ההחלטה על בחירת השיטה. אלה יתרונות השיטה: (א) האחריות לביצוע הפרויקט על כל שלביו לרבות התכנון המפורט, ההקמה והתפעול, מוטלת על המגזר הפרטי; (ב) </w:t>
      </w:r>
      <w:r w:rsidRPr="00D9481A">
        <w:rPr>
          <w:rFonts w:hint="cs"/>
          <w:rtl/>
        </w:rPr>
        <w:t xml:space="preserve">התייעלות באמצעות חיסכון והפחתת </w:t>
      </w:r>
      <w:r>
        <w:rPr>
          <w:rFonts w:hint="cs"/>
          <w:rtl/>
        </w:rPr>
        <w:t>ה</w:t>
      </w:r>
      <w:r w:rsidRPr="00D9481A">
        <w:rPr>
          <w:rFonts w:hint="cs"/>
          <w:rtl/>
        </w:rPr>
        <w:t>עלויות ב</w:t>
      </w:r>
      <w:r>
        <w:rPr>
          <w:rFonts w:hint="cs"/>
          <w:rtl/>
        </w:rPr>
        <w:t xml:space="preserve">זכות </w:t>
      </w:r>
      <w:r w:rsidRPr="00D9481A">
        <w:rPr>
          <w:rFonts w:hint="cs"/>
          <w:rtl/>
        </w:rPr>
        <w:t>הצעת מחיר בראייה כוללת לכל אורך חיי הפרויקט</w:t>
      </w:r>
      <w:r>
        <w:rPr>
          <w:rFonts w:hint="cs"/>
          <w:rtl/>
        </w:rPr>
        <w:t>. התמורה ליזם תלויה באיכות השירות ועל פי רוב גם בהיקף השימוש בפרויקט. בשילוב זה מושגת בנייה מיטבית של הנכס בזכות הידע של הזכיין, מומחיותו, ניסיונו ויעילותו, ובפרט בשל התמריץ של הזכיין להשקיע בתכנון איכותי ובבנייה הממזערת את עלויות התחזוקה והתפעול לטווח הארוך החלות עליו</w:t>
      </w:r>
      <w:r>
        <w:rPr>
          <w:rStyle w:val="FootnoteReference"/>
          <w:rtl/>
        </w:rPr>
        <w:footnoteReference w:id="22"/>
      </w:r>
      <w:r>
        <w:rPr>
          <w:rFonts w:hint="cs"/>
          <w:rtl/>
        </w:rPr>
        <w:t xml:space="preserve">; (ג) </w:t>
      </w:r>
      <w:r w:rsidRPr="00D9481A">
        <w:rPr>
          <w:rFonts w:hint="cs"/>
          <w:rtl/>
        </w:rPr>
        <w:t xml:space="preserve">הפחתת מעורבות הממשלה במקומות </w:t>
      </w:r>
      <w:r>
        <w:rPr>
          <w:rFonts w:hint="cs"/>
          <w:rtl/>
        </w:rPr>
        <w:t>ש</w:t>
      </w:r>
      <w:r w:rsidRPr="00D9481A">
        <w:rPr>
          <w:rFonts w:hint="cs"/>
          <w:rtl/>
        </w:rPr>
        <w:t>בהם יש יתרון למגזר הפרטי</w:t>
      </w:r>
      <w:r>
        <w:rPr>
          <w:rFonts w:hint="cs"/>
          <w:rtl/>
        </w:rPr>
        <w:t>;</w:t>
      </w:r>
      <w:r w:rsidRPr="00D9481A">
        <w:rPr>
          <w:rFonts w:hint="cs"/>
          <w:rtl/>
        </w:rPr>
        <w:t xml:space="preserve"> </w:t>
      </w:r>
      <w:r>
        <w:rPr>
          <w:rFonts w:hint="cs"/>
          <w:rtl/>
        </w:rPr>
        <w:t>(ד) אימוץ</w:t>
      </w:r>
      <w:r w:rsidRPr="00D9481A">
        <w:rPr>
          <w:rFonts w:hint="cs"/>
          <w:rtl/>
        </w:rPr>
        <w:t xml:space="preserve"> טכנולוגיות </w:t>
      </w:r>
      <w:r w:rsidRPr="00345332">
        <w:rPr>
          <w:rFonts w:hint="cs"/>
          <w:rtl/>
        </w:rPr>
        <w:t>מתקדמות</w:t>
      </w:r>
      <w:r>
        <w:rPr>
          <w:rFonts w:hint="cs"/>
          <w:rtl/>
        </w:rPr>
        <w:t xml:space="preserve"> ויישומן</w:t>
      </w:r>
      <w:r w:rsidRPr="00345332">
        <w:rPr>
          <w:rFonts w:hint="cs"/>
          <w:rtl/>
        </w:rPr>
        <w:t xml:space="preserve"> ו</w:t>
      </w:r>
      <w:r>
        <w:rPr>
          <w:rFonts w:hint="cs"/>
          <w:rtl/>
        </w:rPr>
        <w:t>אימוץ ה</w:t>
      </w:r>
      <w:r w:rsidRPr="00345332">
        <w:rPr>
          <w:rFonts w:hint="cs"/>
          <w:rtl/>
        </w:rPr>
        <w:t>ניסיון ש</w:t>
      </w:r>
      <w:r>
        <w:rPr>
          <w:rFonts w:hint="cs"/>
          <w:rtl/>
        </w:rPr>
        <w:t>נ</w:t>
      </w:r>
      <w:r w:rsidRPr="00345332">
        <w:rPr>
          <w:rFonts w:hint="cs"/>
          <w:rtl/>
        </w:rPr>
        <w:t xml:space="preserve">צבר </w:t>
      </w:r>
      <w:r>
        <w:rPr>
          <w:rFonts w:hint="cs"/>
          <w:rtl/>
        </w:rPr>
        <w:t>ב</w:t>
      </w:r>
      <w:r w:rsidRPr="00345332">
        <w:rPr>
          <w:rFonts w:hint="cs"/>
          <w:rtl/>
        </w:rPr>
        <w:t>סקטור הפרטי;</w:t>
      </w:r>
      <w:r w:rsidRPr="00345332">
        <w:t xml:space="preserve"> </w:t>
      </w:r>
      <w:r w:rsidRPr="00345332">
        <w:rPr>
          <w:rFonts w:hint="cs"/>
          <w:rtl/>
        </w:rPr>
        <w:t>(</w:t>
      </w:r>
      <w:r>
        <w:rPr>
          <w:rFonts w:hint="cs"/>
          <w:rtl/>
        </w:rPr>
        <w:t>ה</w:t>
      </w:r>
      <w:r w:rsidRPr="00345332">
        <w:rPr>
          <w:rFonts w:hint="cs"/>
          <w:rtl/>
        </w:rPr>
        <w:t xml:space="preserve">) חלוקת סיכונים </w:t>
      </w:r>
      <w:r>
        <w:rPr>
          <w:rFonts w:hint="cs"/>
          <w:rtl/>
        </w:rPr>
        <w:t xml:space="preserve">מיטבית </w:t>
      </w:r>
      <w:r w:rsidRPr="00345332">
        <w:rPr>
          <w:rFonts w:hint="cs"/>
          <w:rtl/>
        </w:rPr>
        <w:t>בין המדינה ל</w:t>
      </w:r>
      <w:r>
        <w:rPr>
          <w:rFonts w:hint="cs"/>
          <w:rtl/>
        </w:rPr>
        <w:t>בין ה</w:t>
      </w:r>
      <w:r w:rsidRPr="00345332">
        <w:rPr>
          <w:rFonts w:hint="cs"/>
          <w:rtl/>
        </w:rPr>
        <w:t>זכיין</w:t>
      </w:r>
      <w:r>
        <w:rPr>
          <w:rStyle w:val="FootnoteReference"/>
          <w:rtl/>
        </w:rPr>
        <w:footnoteReference w:id="23"/>
      </w:r>
      <w:r w:rsidRPr="00345332">
        <w:rPr>
          <w:rFonts w:hint="cs"/>
          <w:rtl/>
        </w:rPr>
        <w:t>; (</w:t>
      </w:r>
      <w:r>
        <w:rPr>
          <w:rFonts w:hint="cs"/>
          <w:rtl/>
        </w:rPr>
        <w:t>ו</w:t>
      </w:r>
      <w:r w:rsidRPr="00345332">
        <w:rPr>
          <w:rFonts w:hint="cs"/>
          <w:rtl/>
        </w:rPr>
        <w:t xml:space="preserve">) עידוד </w:t>
      </w:r>
      <w:r>
        <w:rPr>
          <w:rFonts w:hint="cs"/>
          <w:rtl/>
        </w:rPr>
        <w:t>ה</w:t>
      </w:r>
      <w:r w:rsidRPr="00345332">
        <w:rPr>
          <w:rFonts w:hint="cs"/>
          <w:rtl/>
        </w:rPr>
        <w:t xml:space="preserve">צמיחה ללא הגדלת הגירעון הממשלתי (בטווח הקצר). </w:t>
      </w:r>
    </w:p>
    <w:p w14:paraId="5E21FD6E" w14:textId="77777777" w:rsidR="00823E3A" w:rsidRDefault="00823E3A" w:rsidP="003972E8">
      <w:pPr>
        <w:pStyle w:val="100"/>
        <w:rPr>
          <w:rtl/>
        </w:rPr>
      </w:pPr>
      <w:r w:rsidRPr="00345332">
        <w:rPr>
          <w:rFonts w:hint="cs"/>
          <w:rtl/>
        </w:rPr>
        <w:t>מנגד, לשיטה חסרונות שונים ובהם: (א) עלויות תהליך ה</w:t>
      </w:r>
      <w:r>
        <w:rPr>
          <w:rFonts w:hint="cs"/>
          <w:rtl/>
        </w:rPr>
        <w:t>מכרז (כסף וזמן) גבוהות מהעלויות</w:t>
      </w:r>
      <w:r w:rsidRPr="00345332">
        <w:rPr>
          <w:rFonts w:hint="cs"/>
          <w:rtl/>
        </w:rPr>
        <w:t xml:space="preserve"> במכרזים רגילים, בעיקר בשל המורכבות הכרוכה בפרויקטים אלה; (ב) עלויות מימון גבוהות - עלויות המימון של המגזר הפרטי</w:t>
      </w:r>
      <w:r w:rsidRPr="00CA009B">
        <w:rPr>
          <w:rFonts w:hint="cs"/>
          <w:rtl/>
        </w:rPr>
        <w:t xml:space="preserve"> </w:t>
      </w:r>
      <w:r>
        <w:rPr>
          <w:rFonts w:hint="cs"/>
          <w:rtl/>
        </w:rPr>
        <w:t>גבוהות מאלה של הממשלה; (ג) אובדן גמישות בתקציב בשל הקשחת תקציב המדינה לאורך חיי הפרויקט - מכיוון שהתשלום של הממשלה עבור הפרויקטים נפרש לאורך כמה עשורים, זמן רב מעבר לאופק התקציבי השוטף, פרויקטים מסוג זה עשויים ליצור התחייבויות רב-שנתיות בהיקף ניכר בלא שיוכפפו בשקיפות לדיון הציבורי והפרלמנטרי על סדרי העדיפויות. זאת מפני שהדיון מתמקד בפרויקט עצמו ולא בשימושים החלופיים של המקורות בתקופה שבה ימומשו התשלומים לזכיינים</w:t>
      </w:r>
      <w:r>
        <w:rPr>
          <w:rStyle w:val="FootnoteReference"/>
          <w:rtl/>
        </w:rPr>
        <w:footnoteReference w:id="24"/>
      </w:r>
      <w:r>
        <w:rPr>
          <w:rFonts w:hint="cs"/>
          <w:rtl/>
        </w:rPr>
        <w:t xml:space="preserve">; (ד) גמישות מעטה לשינויים - </w:t>
      </w:r>
      <w:r w:rsidRPr="00DC0E10">
        <w:rPr>
          <w:rFonts w:hint="cs"/>
          <w:rtl/>
        </w:rPr>
        <w:t>שינויים לאורך חיי הפרויקט מצר</w:t>
      </w:r>
      <w:r>
        <w:rPr>
          <w:rFonts w:hint="cs"/>
          <w:rtl/>
        </w:rPr>
        <w:t>יכים הליך של הוראת שינוי ולרוב גם משא ומתן</w:t>
      </w:r>
      <w:r w:rsidRPr="00DC0E10">
        <w:rPr>
          <w:rFonts w:hint="cs"/>
          <w:rtl/>
        </w:rPr>
        <w:t xml:space="preserve"> עם הזכי</w:t>
      </w:r>
      <w:r>
        <w:rPr>
          <w:rFonts w:hint="cs"/>
          <w:rtl/>
        </w:rPr>
        <w:t>ין.</w:t>
      </w:r>
    </w:p>
    <w:p w14:paraId="656FD55E" w14:textId="16E68F37" w:rsidR="00823E3A" w:rsidRPr="00E93AF0" w:rsidRDefault="00823E3A" w:rsidP="003972E8">
      <w:pPr>
        <w:pStyle w:val="100"/>
        <w:rPr>
          <w:rtl/>
        </w:rPr>
      </w:pPr>
      <w:r>
        <w:rPr>
          <w:rFonts w:hint="cs"/>
          <w:rtl/>
        </w:rPr>
        <w:t xml:space="preserve">תרשים 7 להלן מתאר את השלבים המרכזיים בפרויקט בשיטת </w:t>
      </w:r>
      <w:r>
        <w:t>PPP</w:t>
      </w:r>
      <w:r>
        <w:rPr>
          <w:rFonts w:hint="cs"/>
          <w:rtl/>
        </w:rPr>
        <w:t>.</w:t>
      </w:r>
    </w:p>
    <w:p w14:paraId="0E5961B3" w14:textId="77777777" w:rsidR="00823E3A" w:rsidRDefault="00823E3A" w:rsidP="003972E8">
      <w:pPr>
        <w:pStyle w:val="aa"/>
        <w:rPr>
          <w:rtl/>
        </w:rPr>
      </w:pPr>
      <w:r w:rsidRPr="003859F6">
        <w:rPr>
          <w:rFonts w:hint="cs"/>
          <w:rtl/>
        </w:rPr>
        <w:t xml:space="preserve">תרשים </w:t>
      </w:r>
      <w:r>
        <w:rPr>
          <w:rFonts w:hint="cs"/>
          <w:rtl/>
        </w:rPr>
        <w:t xml:space="preserve">7: </w:t>
      </w:r>
      <w:r w:rsidRPr="003972E8">
        <w:rPr>
          <w:rFonts w:hint="cs"/>
          <w:b/>
          <w:bCs/>
          <w:rtl/>
        </w:rPr>
        <w:t xml:space="preserve">השלבים המרכזיים בפרויקט בשיטת </w:t>
      </w:r>
      <w:r w:rsidRPr="003972E8">
        <w:rPr>
          <w:rFonts w:hint="cs"/>
          <w:b/>
          <w:bCs/>
        </w:rPr>
        <w:t>PPP</w:t>
      </w:r>
    </w:p>
    <w:p w14:paraId="1605CEBF" w14:textId="77777777" w:rsidR="00823E3A" w:rsidRPr="0060298D" w:rsidRDefault="00823E3A" w:rsidP="00823E3A">
      <w:pPr>
        <w:spacing w:line="269" w:lineRule="auto"/>
        <w:jc w:val="center"/>
        <w:rPr>
          <w:b/>
          <w:bCs/>
          <w:rtl/>
        </w:rPr>
      </w:pPr>
      <w:r>
        <w:rPr>
          <w:noProof/>
          <w:sz w:val="32"/>
          <w:szCs w:val="32"/>
          <w:rtl/>
        </w:rPr>
        <w:drawing>
          <wp:inline distT="0" distB="0" distL="0" distR="0" wp14:anchorId="1CFFA367" wp14:editId="0E36F6D6">
            <wp:extent cx="5223164" cy="1143000"/>
            <wp:effectExtent l="0" t="0" r="0" b="0"/>
            <wp:docPr id="1722310935" name="דיאגרמה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7D92A22" w14:textId="77777777" w:rsidR="00823E3A" w:rsidRDefault="00823E3A" w:rsidP="003972E8">
      <w:pPr>
        <w:pStyle w:val="ac"/>
      </w:pPr>
      <w:r w:rsidRPr="00A617F1">
        <w:rPr>
          <w:rFonts w:hint="cs"/>
          <w:rtl/>
        </w:rPr>
        <w:t>המקור: אתר התשתיות הממשלתי</w:t>
      </w:r>
      <w:r w:rsidRPr="00A617F1">
        <w:rPr>
          <w:rStyle w:val="FootnoteReference"/>
          <w:szCs w:val="20"/>
          <w:rtl/>
        </w:rPr>
        <w:footnoteReference w:id="25"/>
      </w:r>
      <w:r w:rsidRPr="00A617F1">
        <w:rPr>
          <w:rFonts w:hint="cs"/>
          <w:rtl/>
        </w:rPr>
        <w:t>,</w:t>
      </w:r>
      <w:r w:rsidRPr="00A617F1">
        <w:rPr>
          <w:rFonts w:hint="cs"/>
          <w:b/>
          <w:bCs/>
          <w:rtl/>
        </w:rPr>
        <w:t xml:space="preserve"> </w:t>
      </w:r>
      <w:r w:rsidRPr="00A617F1">
        <w:rPr>
          <w:rFonts w:hint="cs"/>
          <w:rtl/>
        </w:rPr>
        <w:t>בעיבוד משרד מבקר המדינה</w:t>
      </w:r>
    </w:p>
    <w:p w14:paraId="6310D39C" w14:textId="242BFEDF" w:rsidR="00823E3A" w:rsidRDefault="00573595" w:rsidP="00573595">
      <w:pPr>
        <w:pStyle w:val="100"/>
        <w:ind w:left="720" w:hanging="720"/>
      </w:pPr>
      <w:r>
        <w:rPr>
          <w:rFonts w:hint="cs"/>
          <w:rtl/>
        </w:rPr>
        <w:lastRenderedPageBreak/>
        <w:t>(א)</w:t>
      </w:r>
      <w:r>
        <w:rPr>
          <w:rFonts w:hint="cs"/>
          <w:rtl/>
        </w:rPr>
        <w:tab/>
      </w:r>
      <w:r w:rsidR="00823E3A">
        <w:rPr>
          <w:rFonts w:hint="cs"/>
          <w:rtl/>
        </w:rPr>
        <w:t>בדיקת התאמה - בדיקה ליישום המתווה של שותפות ציבורית-פרטית הבוחנת מהי שיטת הביצוע המיטבית להקמה ולתפעול של פרויקט מבחינת החיסכון, היעילות והתועלת של שימוש בכספי ציבור.</w:t>
      </w:r>
    </w:p>
    <w:p w14:paraId="1792E33D" w14:textId="6A755EC2" w:rsidR="00823E3A" w:rsidRDefault="00573595" w:rsidP="00573595">
      <w:pPr>
        <w:pStyle w:val="100"/>
        <w:ind w:left="720" w:hanging="720"/>
      </w:pPr>
      <w:r>
        <w:rPr>
          <w:rFonts w:hint="cs"/>
          <w:rtl/>
        </w:rPr>
        <w:t>(ב)</w:t>
      </w:r>
      <w:r>
        <w:rPr>
          <w:rFonts w:hint="cs"/>
          <w:rtl/>
        </w:rPr>
        <w:tab/>
      </w:r>
      <w:r w:rsidR="00823E3A" w:rsidRPr="00A62E51">
        <w:rPr>
          <w:rFonts w:hint="cs"/>
          <w:rtl/>
        </w:rPr>
        <w:t xml:space="preserve">מיון מוקדם - שלב מקדים להליך המכרז, </w:t>
      </w:r>
      <w:r w:rsidR="00823E3A">
        <w:rPr>
          <w:rFonts w:hint="cs"/>
          <w:rtl/>
        </w:rPr>
        <w:t>ו</w:t>
      </w:r>
      <w:r w:rsidR="00823E3A" w:rsidRPr="00A62E51">
        <w:rPr>
          <w:rFonts w:hint="cs"/>
          <w:rtl/>
        </w:rPr>
        <w:t xml:space="preserve">בו </w:t>
      </w:r>
      <w:r w:rsidR="00823E3A">
        <w:rPr>
          <w:rFonts w:hint="cs"/>
          <w:rtl/>
        </w:rPr>
        <w:t>פונים אל</w:t>
      </w:r>
      <w:r w:rsidR="00823E3A" w:rsidRPr="00A62E51">
        <w:rPr>
          <w:rFonts w:hint="cs"/>
          <w:rtl/>
        </w:rPr>
        <w:t xml:space="preserve"> </w:t>
      </w:r>
      <w:r w:rsidR="00823E3A">
        <w:rPr>
          <w:rFonts w:hint="cs"/>
          <w:rtl/>
        </w:rPr>
        <w:t>ה</w:t>
      </w:r>
      <w:r w:rsidR="00823E3A" w:rsidRPr="00A62E51">
        <w:rPr>
          <w:rFonts w:hint="cs"/>
          <w:rtl/>
        </w:rPr>
        <w:t>שוק</w:t>
      </w:r>
      <w:r w:rsidR="00823E3A">
        <w:rPr>
          <w:rFonts w:hint="cs"/>
          <w:rtl/>
        </w:rPr>
        <w:t xml:space="preserve"> הפרטי.</w:t>
      </w:r>
      <w:r w:rsidR="00823E3A" w:rsidRPr="00A62E51">
        <w:rPr>
          <w:rFonts w:hint="cs"/>
          <w:rtl/>
        </w:rPr>
        <w:t xml:space="preserve"> בסיומו נבחרים המתמודדים הכשירים להגשת הצעות במכרז, כלומר מתמודדים שעמדו בתנאי הסף המקצועיים והפיננסיים הנדרשים במכרז.</w:t>
      </w:r>
    </w:p>
    <w:p w14:paraId="79244D49" w14:textId="15522C47" w:rsidR="00823E3A" w:rsidRPr="00424CCF" w:rsidRDefault="00573595" w:rsidP="00573595">
      <w:pPr>
        <w:pStyle w:val="100"/>
        <w:ind w:left="720" w:hanging="720"/>
      </w:pPr>
      <w:r>
        <w:rPr>
          <w:rFonts w:hint="cs"/>
          <w:rtl/>
        </w:rPr>
        <w:t>(ג)</w:t>
      </w:r>
      <w:r>
        <w:rPr>
          <w:rFonts w:hint="cs"/>
          <w:rtl/>
        </w:rPr>
        <w:tab/>
      </w:r>
      <w:r w:rsidR="00823E3A">
        <w:rPr>
          <w:rFonts w:hint="cs"/>
          <w:rtl/>
        </w:rPr>
        <w:t xml:space="preserve">סגירה פיננסית - הזכיין </w:t>
      </w:r>
      <w:r w:rsidR="00823E3A" w:rsidRPr="00A62E51">
        <w:rPr>
          <w:rFonts w:hint="cs"/>
          <w:rtl/>
        </w:rPr>
        <w:t xml:space="preserve">מגייס </w:t>
      </w:r>
      <w:r w:rsidR="00823E3A">
        <w:rPr>
          <w:rFonts w:hint="cs"/>
          <w:rtl/>
        </w:rPr>
        <w:t xml:space="preserve">מגופים מממנים </w:t>
      </w:r>
      <w:r w:rsidR="00823E3A" w:rsidRPr="00A62E51">
        <w:rPr>
          <w:rFonts w:hint="cs"/>
          <w:rtl/>
        </w:rPr>
        <w:t>את המימון הנדרש להקמת הפרויקט ומגבש הסכמי מימון בין בעלי המניות, הגופים המממנים והמדינה</w:t>
      </w:r>
      <w:r w:rsidR="00823E3A">
        <w:rPr>
          <w:rFonts w:hint="cs"/>
          <w:rtl/>
        </w:rPr>
        <w:t>; המדינה</w:t>
      </w:r>
      <w:r w:rsidR="00823E3A" w:rsidRPr="00A62E51">
        <w:rPr>
          <w:rFonts w:hint="cs"/>
          <w:rtl/>
        </w:rPr>
        <w:t xml:space="preserve"> מאשרת את ההסכמים. בשלב זה חותם הזכיין על הסכמים עם קבלני הקמה והפעלה של הפרויקט, בהתאם להצעתו במכרז.</w:t>
      </w:r>
    </w:p>
    <w:p w14:paraId="5B0E2FD2" w14:textId="77777777" w:rsidR="00823E3A" w:rsidRPr="00345332" w:rsidRDefault="00823E3A" w:rsidP="00573595">
      <w:pPr>
        <w:pStyle w:val="100"/>
        <w:rPr>
          <w:rtl/>
        </w:rPr>
      </w:pPr>
      <w:r w:rsidRPr="00571BAA">
        <w:rPr>
          <w:rFonts w:hint="eastAsia"/>
          <w:rtl/>
        </w:rPr>
        <w:t>משרד</w:t>
      </w:r>
      <w:r w:rsidRPr="0035637F">
        <w:rPr>
          <w:rtl/>
        </w:rPr>
        <w:t xml:space="preserve"> מבקר המדינה בחן את </w:t>
      </w:r>
      <w:r w:rsidRPr="0035637F">
        <w:rPr>
          <w:rFonts w:hint="eastAsia"/>
          <w:rtl/>
        </w:rPr>
        <w:t>השלבים</w:t>
      </w:r>
      <w:r w:rsidRPr="0035637F">
        <w:rPr>
          <w:rtl/>
        </w:rPr>
        <w:t xml:space="preserve"> </w:t>
      </w:r>
      <w:r w:rsidRPr="00345332">
        <w:rPr>
          <w:rFonts w:hint="eastAsia"/>
          <w:rtl/>
        </w:rPr>
        <w:t>המרכזיים</w:t>
      </w:r>
      <w:r w:rsidRPr="00345332">
        <w:rPr>
          <w:rtl/>
        </w:rPr>
        <w:t xml:space="preserve"> </w:t>
      </w:r>
      <w:r w:rsidRPr="00345332">
        <w:rPr>
          <w:rFonts w:hint="eastAsia"/>
          <w:rtl/>
        </w:rPr>
        <w:t>בהקמת</w:t>
      </w:r>
      <w:r w:rsidRPr="00345332">
        <w:rPr>
          <w:rtl/>
        </w:rPr>
        <w:t xml:space="preserve"> </w:t>
      </w:r>
      <w:r w:rsidRPr="00345332">
        <w:rPr>
          <w:rFonts w:hint="eastAsia"/>
          <w:rtl/>
        </w:rPr>
        <w:t>פרויקטים</w:t>
      </w:r>
      <w:r w:rsidRPr="00345332">
        <w:rPr>
          <w:rtl/>
        </w:rPr>
        <w:t xml:space="preserve"> </w:t>
      </w:r>
      <w:r w:rsidRPr="00345332">
        <w:rPr>
          <w:rFonts w:hint="eastAsia"/>
          <w:rtl/>
        </w:rPr>
        <w:t>במתווה</w:t>
      </w:r>
      <w:r w:rsidRPr="00345332">
        <w:rPr>
          <w:rtl/>
        </w:rPr>
        <w:t xml:space="preserve"> </w:t>
      </w:r>
      <w:r w:rsidRPr="00345332">
        <w:rPr>
          <w:rFonts w:hint="eastAsia"/>
          <w:rtl/>
        </w:rPr>
        <w:t>ה</w:t>
      </w:r>
      <w:r w:rsidRPr="00345332">
        <w:rPr>
          <w:rtl/>
        </w:rPr>
        <w:t>-</w:t>
      </w:r>
      <w:r w:rsidRPr="00345332">
        <w:t>PPP</w:t>
      </w:r>
      <w:r w:rsidRPr="00345332">
        <w:rPr>
          <w:rtl/>
        </w:rPr>
        <w:t xml:space="preserve">. ככלל מדובר בתהליך </w:t>
      </w:r>
      <w:r w:rsidRPr="00345332">
        <w:rPr>
          <w:rFonts w:hint="cs"/>
          <w:rtl/>
        </w:rPr>
        <w:t>סדור</w:t>
      </w:r>
      <w:r w:rsidRPr="00571BAA">
        <w:rPr>
          <w:rtl/>
        </w:rPr>
        <w:t xml:space="preserve"> </w:t>
      </w:r>
      <w:r w:rsidRPr="00345332">
        <w:rPr>
          <w:rFonts w:hint="cs"/>
          <w:rtl/>
        </w:rPr>
        <w:t>ש</w:t>
      </w:r>
      <w:r w:rsidRPr="00345332">
        <w:rPr>
          <w:rFonts w:hint="eastAsia"/>
          <w:rtl/>
        </w:rPr>
        <w:t>מושקע</w:t>
      </w:r>
      <w:r>
        <w:rPr>
          <w:rFonts w:hint="cs"/>
          <w:rtl/>
        </w:rPr>
        <w:t>ים</w:t>
      </w:r>
      <w:r w:rsidRPr="00345332">
        <w:rPr>
          <w:rtl/>
        </w:rPr>
        <w:t xml:space="preserve"> </w:t>
      </w:r>
      <w:r w:rsidRPr="00345332">
        <w:rPr>
          <w:rFonts w:hint="cs"/>
          <w:rtl/>
        </w:rPr>
        <w:t xml:space="preserve">בו </w:t>
      </w:r>
      <w:r w:rsidRPr="00345332">
        <w:rPr>
          <w:rFonts w:hint="eastAsia"/>
          <w:rtl/>
        </w:rPr>
        <w:t>תשומות</w:t>
      </w:r>
      <w:r w:rsidRPr="00345332">
        <w:rPr>
          <w:rtl/>
        </w:rPr>
        <w:t xml:space="preserve"> </w:t>
      </w:r>
      <w:r w:rsidRPr="00345332">
        <w:rPr>
          <w:rFonts w:hint="eastAsia"/>
          <w:rtl/>
        </w:rPr>
        <w:t>ומשאבים</w:t>
      </w:r>
      <w:r w:rsidRPr="00345332">
        <w:rPr>
          <w:rtl/>
        </w:rPr>
        <w:t xml:space="preserve"> </w:t>
      </w:r>
      <w:r w:rsidRPr="00345332">
        <w:rPr>
          <w:rFonts w:hint="eastAsia"/>
          <w:rtl/>
        </w:rPr>
        <w:t>רבים</w:t>
      </w:r>
      <w:r w:rsidRPr="00571BAA">
        <w:rPr>
          <w:rtl/>
        </w:rPr>
        <w:t>,</w:t>
      </w:r>
      <w:r w:rsidRPr="0035637F">
        <w:rPr>
          <w:rtl/>
        </w:rPr>
        <w:t xml:space="preserve"> </w:t>
      </w:r>
      <w:r w:rsidRPr="00345332">
        <w:rPr>
          <w:rFonts w:hint="cs"/>
          <w:rtl/>
        </w:rPr>
        <w:t>מ</w:t>
      </w:r>
      <w:r w:rsidRPr="00571BAA">
        <w:rPr>
          <w:rFonts w:hint="eastAsia"/>
          <w:rtl/>
        </w:rPr>
        <w:t>תוך</w:t>
      </w:r>
      <w:r w:rsidRPr="0035637F">
        <w:rPr>
          <w:rtl/>
        </w:rPr>
        <w:t xml:space="preserve"> </w:t>
      </w:r>
      <w:r w:rsidRPr="0035637F">
        <w:rPr>
          <w:rFonts w:hint="eastAsia"/>
          <w:rtl/>
        </w:rPr>
        <w:t>ניסיון</w:t>
      </w:r>
      <w:r w:rsidRPr="0035637F">
        <w:rPr>
          <w:rtl/>
        </w:rPr>
        <w:t xml:space="preserve"> </w:t>
      </w:r>
      <w:r w:rsidRPr="00345332">
        <w:rPr>
          <w:rFonts w:hint="eastAsia"/>
          <w:rtl/>
        </w:rPr>
        <w:t>לשמירה</w:t>
      </w:r>
      <w:r w:rsidRPr="00345332">
        <w:rPr>
          <w:rtl/>
        </w:rPr>
        <w:t xml:space="preserve"> על </w:t>
      </w:r>
      <w:r w:rsidRPr="00345332">
        <w:rPr>
          <w:rFonts w:hint="eastAsia"/>
          <w:rtl/>
        </w:rPr>
        <w:t>האינטרס</w:t>
      </w:r>
      <w:r w:rsidRPr="00345332">
        <w:rPr>
          <w:rtl/>
        </w:rPr>
        <w:t xml:space="preserve"> </w:t>
      </w:r>
      <w:r w:rsidRPr="00345332">
        <w:rPr>
          <w:rFonts w:hint="eastAsia"/>
          <w:rtl/>
        </w:rPr>
        <w:t>הציבורי</w:t>
      </w:r>
      <w:r w:rsidRPr="00345332">
        <w:rPr>
          <w:rtl/>
        </w:rPr>
        <w:t xml:space="preserve">. יחד עם זאת העלתה הביקורת ליקויים </w:t>
      </w:r>
      <w:r w:rsidRPr="00345332">
        <w:rPr>
          <w:rFonts w:hint="eastAsia"/>
          <w:rtl/>
        </w:rPr>
        <w:t>אשר</w:t>
      </w:r>
      <w:r w:rsidRPr="00345332">
        <w:rPr>
          <w:rtl/>
        </w:rPr>
        <w:t xml:space="preserve"> </w:t>
      </w:r>
      <w:r w:rsidRPr="00345332">
        <w:rPr>
          <w:rFonts w:hint="eastAsia"/>
          <w:rtl/>
        </w:rPr>
        <w:t>תיקונם</w:t>
      </w:r>
      <w:r w:rsidRPr="00345332">
        <w:rPr>
          <w:rtl/>
        </w:rPr>
        <w:t xml:space="preserve"> </w:t>
      </w:r>
      <w:r w:rsidRPr="00345332">
        <w:rPr>
          <w:rFonts w:hint="eastAsia"/>
          <w:rtl/>
        </w:rPr>
        <w:t>עשוי</w:t>
      </w:r>
      <w:r w:rsidRPr="00345332">
        <w:rPr>
          <w:rtl/>
        </w:rPr>
        <w:t xml:space="preserve"> </w:t>
      </w:r>
      <w:r w:rsidRPr="00345332">
        <w:rPr>
          <w:rFonts w:hint="eastAsia"/>
          <w:rtl/>
        </w:rPr>
        <w:t>לטייב</w:t>
      </w:r>
      <w:r w:rsidRPr="00345332">
        <w:rPr>
          <w:rtl/>
        </w:rPr>
        <w:t xml:space="preserve"> </w:t>
      </w:r>
      <w:r w:rsidRPr="00345332">
        <w:rPr>
          <w:rFonts w:hint="eastAsia"/>
          <w:rtl/>
        </w:rPr>
        <w:t>את</w:t>
      </w:r>
      <w:r w:rsidRPr="00345332">
        <w:rPr>
          <w:rtl/>
        </w:rPr>
        <w:t xml:space="preserve"> התהליך.</w:t>
      </w:r>
    </w:p>
    <w:p w14:paraId="192CFD99" w14:textId="77777777" w:rsidR="00823E3A" w:rsidRDefault="00823E3A" w:rsidP="00573595">
      <w:pPr>
        <w:pStyle w:val="218"/>
        <w:rPr>
          <w:rtl/>
        </w:rPr>
      </w:pPr>
      <w:r>
        <w:rPr>
          <w:rFonts w:hint="cs"/>
          <w:rtl/>
        </w:rPr>
        <w:t>היבטים</w:t>
      </w:r>
      <w:r w:rsidRPr="00345332">
        <w:rPr>
          <w:rFonts w:hint="cs"/>
          <w:rtl/>
        </w:rPr>
        <w:t xml:space="preserve"> רוחביים בקידום פרויקטים</w:t>
      </w:r>
      <w:r>
        <w:rPr>
          <w:rFonts w:hint="cs"/>
          <w:rtl/>
        </w:rPr>
        <w:t xml:space="preserve"> ובהקמתם</w:t>
      </w:r>
    </w:p>
    <w:p w14:paraId="6E098DCD" w14:textId="77777777" w:rsidR="00823E3A" w:rsidRDefault="00823E3A" w:rsidP="00573595">
      <w:pPr>
        <w:pStyle w:val="316"/>
        <w:rPr>
          <w:rtl/>
        </w:rPr>
      </w:pPr>
      <w:r w:rsidRPr="00075F2C">
        <w:rPr>
          <w:rFonts w:hint="cs"/>
          <w:rtl/>
        </w:rPr>
        <w:t>ה</w:t>
      </w:r>
      <w:r>
        <w:rPr>
          <w:rFonts w:hint="cs"/>
          <w:rtl/>
        </w:rPr>
        <w:t>י</w:t>
      </w:r>
      <w:r w:rsidRPr="00075F2C">
        <w:rPr>
          <w:rFonts w:hint="cs"/>
          <w:rtl/>
        </w:rPr>
        <w:t xml:space="preserve">עדר אסטרטגיית השקעה </w:t>
      </w:r>
      <w:r>
        <w:rPr>
          <w:rFonts w:hint="cs"/>
          <w:rtl/>
        </w:rPr>
        <w:t>לאומית</w:t>
      </w:r>
    </w:p>
    <w:p w14:paraId="137D501C" w14:textId="39981C3A" w:rsidR="00823E3A" w:rsidRDefault="00823E3A" w:rsidP="00573595">
      <w:pPr>
        <w:pStyle w:val="100"/>
        <w:rPr>
          <w:rtl/>
        </w:rPr>
      </w:pPr>
      <w:r>
        <w:rPr>
          <w:rFonts w:hint="cs"/>
          <w:rtl/>
        </w:rPr>
        <w:t>תוכנית לאומית אפקטיבית להשקעה בתשתיות מספקת תועלת מרבית באמצעות התאמתו של פיתוח התשתיות ליעדים הכלכליים-חברתיים של הממשלה. תוכנית אפקטיבית מחייבת לגבש אסטרטגיית פיתוח לאומית אשר מנחה את מאמצי הפיתוח של הסקטורים השונים, ומשרדי הממשלה מגבשים רשימת יוזמות פוטנציאליות הנובעות מהאסטרטגיה. הערכת יוזמות אלה וסדר עדיפותן נקבעים על פי כדאיותן הכלכלית-חברתית ועל פי מידת התאמתן ליעדים הלאומיים</w:t>
      </w:r>
      <w:r>
        <w:rPr>
          <w:rStyle w:val="FootnoteReference"/>
          <w:rtl/>
        </w:rPr>
        <w:footnoteReference w:id="26"/>
      </w:r>
      <w:r>
        <w:rPr>
          <w:rFonts w:hint="cs"/>
          <w:rtl/>
        </w:rPr>
        <w:t>.</w:t>
      </w:r>
    </w:p>
    <w:p w14:paraId="7505441A" w14:textId="09FE23D5" w:rsidR="00823E3A" w:rsidRDefault="00823E3A" w:rsidP="00573595">
      <w:pPr>
        <w:pStyle w:val="100"/>
        <w:rPr>
          <w:rtl/>
        </w:rPr>
      </w:pPr>
      <w:r>
        <w:rPr>
          <w:rFonts w:hint="cs"/>
          <w:rtl/>
        </w:rPr>
        <w:t>מסקירה של</w:t>
      </w:r>
      <w:r>
        <w:rPr>
          <w:rFonts w:hint="cs"/>
        </w:rPr>
        <w:t xml:space="preserve"> </w:t>
      </w:r>
      <w:r>
        <w:rPr>
          <w:rFonts w:hint="cs"/>
          <w:rtl/>
        </w:rPr>
        <w:t xml:space="preserve">ארגון </w:t>
      </w:r>
      <w:r>
        <w:t>OECD</w:t>
      </w:r>
      <w:r>
        <w:rPr>
          <w:rFonts w:hint="cs"/>
          <w:rtl/>
        </w:rPr>
        <w:t xml:space="preserve"> על שיטת </w:t>
      </w:r>
      <w:r>
        <w:rPr>
          <w:rFonts w:hint="cs"/>
        </w:rPr>
        <w:t>PPP</w:t>
      </w:r>
      <w:r>
        <w:rPr>
          <w:rFonts w:hint="cs"/>
          <w:rtl/>
        </w:rPr>
        <w:t xml:space="preserve"> בבריטניה</w:t>
      </w:r>
      <w:r>
        <w:rPr>
          <w:rStyle w:val="FootnoteReference"/>
          <w:rtl/>
        </w:rPr>
        <w:footnoteReference w:id="27"/>
      </w:r>
      <w:r>
        <w:rPr>
          <w:rFonts w:hint="cs"/>
          <w:rtl/>
        </w:rPr>
        <w:t xml:space="preserve"> עולה כי אחד העקרונות במסגרת המוסדית של שוק ה-</w:t>
      </w:r>
      <w:r>
        <w:t>PPP</w:t>
      </w:r>
      <w:r>
        <w:rPr>
          <w:rFonts w:hint="cs"/>
          <w:rtl/>
        </w:rPr>
        <w:t xml:space="preserve"> במדינה זו</w:t>
      </w:r>
      <w:r>
        <w:rPr>
          <w:rStyle w:val="FootnoteReference"/>
          <w:rtl/>
        </w:rPr>
        <w:footnoteReference w:id="28"/>
      </w:r>
      <w:r>
        <w:rPr>
          <w:rFonts w:hint="cs"/>
          <w:rtl/>
        </w:rPr>
        <w:t xml:space="preserve"> הוא שכל הפרויקטים להשקעה צריכים להיות מתועדפים ברמה פוליטית בכירה, כאשר </w:t>
      </w:r>
      <w:r w:rsidRPr="009A7932">
        <w:rPr>
          <w:rtl/>
        </w:rPr>
        <w:t xml:space="preserve">ההחלטה </w:t>
      </w:r>
      <w:r>
        <w:rPr>
          <w:rFonts w:hint="cs"/>
          <w:rtl/>
        </w:rPr>
        <w:t xml:space="preserve">של הממשלה </w:t>
      </w:r>
      <w:r w:rsidRPr="009A7932">
        <w:rPr>
          <w:rtl/>
        </w:rPr>
        <w:t xml:space="preserve">להשקיע צריכה להתבסס על נקודת מבט ממשלתית </w:t>
      </w:r>
      <w:r>
        <w:rPr>
          <w:rFonts w:hint="cs"/>
          <w:rtl/>
        </w:rPr>
        <w:t>כוללת, בנפרד</w:t>
      </w:r>
      <w:r w:rsidRPr="009A7932">
        <w:rPr>
          <w:rtl/>
        </w:rPr>
        <w:t xml:space="preserve"> מדרך </w:t>
      </w:r>
      <w:r>
        <w:rPr>
          <w:rFonts w:hint="cs"/>
          <w:rtl/>
        </w:rPr>
        <w:t>ביצוע</w:t>
      </w:r>
      <w:r w:rsidRPr="009A7932">
        <w:rPr>
          <w:rtl/>
        </w:rPr>
        <w:t xml:space="preserve"> הפרויקט ו</w:t>
      </w:r>
      <w:r>
        <w:rPr>
          <w:rFonts w:hint="cs"/>
          <w:rtl/>
        </w:rPr>
        <w:t>מ</w:t>
      </w:r>
      <w:r w:rsidRPr="009A7932">
        <w:rPr>
          <w:rtl/>
        </w:rPr>
        <w:t>מימונו.</w:t>
      </w:r>
    </w:p>
    <w:p w14:paraId="7083BF28" w14:textId="31EC4510" w:rsidR="00823E3A" w:rsidRDefault="00823E3A" w:rsidP="00573595">
      <w:pPr>
        <w:pStyle w:val="100"/>
        <w:rPr>
          <w:rtl/>
        </w:rPr>
      </w:pPr>
      <w:r>
        <w:rPr>
          <w:rFonts w:hint="cs"/>
          <w:rtl/>
        </w:rPr>
        <w:lastRenderedPageBreak/>
        <w:t>התוכנית הלאומית לתשתית בבריטניה לשנים 2016 - 2021</w:t>
      </w:r>
      <w:r>
        <w:rPr>
          <w:rStyle w:val="FootnoteReference"/>
          <w:rtl/>
        </w:rPr>
        <w:footnoteReference w:id="29"/>
      </w:r>
      <w:r>
        <w:rPr>
          <w:rFonts w:hint="cs"/>
          <w:rtl/>
        </w:rPr>
        <w:t xml:space="preserve"> מציגה את פרויקטי התשתית שהממשלה מייחסת להם עדיפות ובכללם 40 הפרויקטים המועדפים שנבחרו על פי קריטריונים אלה: (א) פרויקטים חשובים מבחינה לאומית המספקים תשתית חדשה או תחליף לתשתית קיימת והמשפרים את האיכות, את הקיימו</w:t>
      </w:r>
      <w:r>
        <w:rPr>
          <w:rFonts w:hint="eastAsia"/>
          <w:rtl/>
        </w:rPr>
        <w:t>ּ</w:t>
      </w:r>
      <w:r>
        <w:rPr>
          <w:rFonts w:hint="cs"/>
          <w:rtl/>
        </w:rPr>
        <w:t xml:space="preserve">ת ואת הקיבולת; (ב) פרויקטים בעלי </w:t>
      </w:r>
      <w:r>
        <w:rPr>
          <w:rtl/>
        </w:rPr>
        <w:t xml:space="preserve">פוטנציאל להניע צמיחה כלכלית או </w:t>
      </w:r>
      <w:r>
        <w:rPr>
          <w:rFonts w:hint="cs"/>
          <w:rtl/>
        </w:rPr>
        <w:t>להוביל</w:t>
      </w:r>
      <w:r>
        <w:rPr>
          <w:rtl/>
        </w:rPr>
        <w:t xml:space="preserve"> השקעות פרטיות </w:t>
      </w:r>
      <w:r>
        <w:rPr>
          <w:rFonts w:hint="cs"/>
          <w:rtl/>
        </w:rPr>
        <w:t>בעלות חשיבות; (ג) פרויקטים ה</w:t>
      </w:r>
      <w:r>
        <w:rPr>
          <w:rtl/>
        </w:rPr>
        <w:t xml:space="preserve">תורמים </w:t>
      </w:r>
      <w:r>
        <w:rPr>
          <w:rFonts w:hint="cs"/>
          <w:rtl/>
        </w:rPr>
        <w:t xml:space="preserve">רבות </w:t>
      </w:r>
      <w:r>
        <w:rPr>
          <w:rtl/>
        </w:rPr>
        <w:t>ליעדיה האסטרטגיים של הממשלה</w:t>
      </w:r>
      <w:r>
        <w:rPr>
          <w:rFonts w:hint="cs"/>
          <w:rtl/>
        </w:rPr>
        <w:t xml:space="preserve">. </w:t>
      </w:r>
    </w:p>
    <w:p w14:paraId="094964A9" w14:textId="77777777" w:rsidR="00823E3A" w:rsidRDefault="00823E3A" w:rsidP="00573595">
      <w:pPr>
        <w:pStyle w:val="100"/>
        <w:rPr>
          <w:rtl/>
        </w:rPr>
      </w:pPr>
      <w:r>
        <w:rPr>
          <w:rFonts w:hint="cs"/>
          <w:rtl/>
        </w:rPr>
        <w:t>בהחלטת הממשלה 1838 משנת 2016 (להלן - החלטת ממשלה 1838)</w:t>
      </w:r>
      <w:r>
        <w:rPr>
          <w:rStyle w:val="FootnoteReference"/>
          <w:rtl/>
        </w:rPr>
        <w:footnoteReference w:id="30"/>
      </w:r>
      <w:r>
        <w:rPr>
          <w:rFonts w:hint="cs"/>
          <w:rtl/>
        </w:rPr>
        <w:t xml:space="preserve"> הוטל על משרד ראש הממשלה לגבש ולקדם תוכנית תשתיות רב-שנתית לעידוד הצמיחה</w:t>
      </w:r>
      <w:r w:rsidRPr="00D708A8">
        <w:rPr>
          <w:rFonts w:hint="cs"/>
          <w:rtl/>
        </w:rPr>
        <w:t xml:space="preserve"> </w:t>
      </w:r>
      <w:r>
        <w:rPr>
          <w:rFonts w:hint="cs"/>
          <w:rtl/>
        </w:rPr>
        <w:t>בתיאום עם משרד האוצר. עוד נקבע בהחלטה כי הרשימה שתכלול פרויקטים לביצוע ולמימון בשילוב עם המגזר הפרטי (</w:t>
      </w:r>
      <w:r>
        <w:rPr>
          <w:rFonts w:hint="cs"/>
        </w:rPr>
        <w:t>PPP</w:t>
      </w:r>
      <w:r>
        <w:rPr>
          <w:rFonts w:hint="cs"/>
          <w:rtl/>
        </w:rPr>
        <w:t xml:space="preserve">) תעודכן בכל שנה, ותכלול את הפרויקטים אשר תחילת ביצועם מתוכננת במהלך חמש השנים הקרובות. </w:t>
      </w:r>
    </w:p>
    <w:p w14:paraId="319DF6F6" w14:textId="77777777" w:rsidR="00823E3A" w:rsidRDefault="00823E3A" w:rsidP="00573595">
      <w:pPr>
        <w:pStyle w:val="100"/>
        <w:rPr>
          <w:rtl/>
        </w:rPr>
      </w:pPr>
      <w:r>
        <w:rPr>
          <w:rFonts w:hint="cs"/>
          <w:rtl/>
        </w:rPr>
        <w:t xml:space="preserve">באוגוסט 2017 פרסם משרד ראש הממשלה את התוכנית "תשתית לצמיחה 2017" (להלן - תוכנית התשתית מאוגוסט 2017), שהיא תוכנית רב-שנתית המרכזת את כלל פרויקטי התשתית המתוכננים בישראל לשנים 2017 - 2021, שעלות כל אחד מהם 100 מיליון ש"ח ויותר. התוכנית כוללת 147 פרויקטים בתחום התשתיות בעלות כוללת של 116 מיליארד ש"ח. בתוכנית צוין כי "ריכוז הפרויקטים הוא צעד ראשון לבחינה ממשלתית של הפרויקטים בראייה רחבה ואסטרטגית לצורך תיאום ושיפור בתכנון התשתיות בישראל ובביצוען". בהודעה של דוברות משרד ראש הממשלה בעניין זה צוין כי מיפוי הפרויקטים הוא צעד ראשון וחשוב בתהליכים לגיוס השקעות של גורמי חוץ בתשתיות, בהגדלת היקף ההשקעות ובפיתוח הכלכלה הישראלית, וכי התוכנית גובשה על סמך התובנות שעלו בפגישות עם גופי השקעה בין-לאומיים הרואים במדינת ישראל יעד מועדף להשקעות בתשתית. </w:t>
      </w:r>
    </w:p>
    <w:p w14:paraId="7A292CFA" w14:textId="77777777" w:rsidR="00823E3A" w:rsidRDefault="00823E3A" w:rsidP="00573595">
      <w:pPr>
        <w:pStyle w:val="100"/>
        <w:rPr>
          <w:rtl/>
        </w:rPr>
      </w:pPr>
      <w:r>
        <w:rPr>
          <w:rFonts w:hint="cs"/>
          <w:rtl/>
        </w:rPr>
        <w:t>החלטת הממשלה 3012 מספטמבר 2017 (להלן - החלטת ממשלה 3012)</w:t>
      </w:r>
      <w:r>
        <w:rPr>
          <w:rStyle w:val="FootnoteReference"/>
          <w:rtl/>
        </w:rPr>
        <w:footnoteReference w:id="31"/>
      </w:r>
      <w:r>
        <w:rPr>
          <w:rFonts w:hint="cs"/>
          <w:rtl/>
        </w:rPr>
        <w:t xml:space="preserve"> קבעה כי יש לפרסם אחת לשנה - על פי דיווחי המשרדים הרלוונטיים - עדכון לתוכנית הרב-שנתית לפיתוח תשתיות, הכולל את מיפוי פרויקטי התשתיות של הממשלה שהוצאו לביצוע בחמש השנים מעת פרסום העדכון, שכדאיותם הכלכלית נבדקה, שתקציבם אושר או שיש לגביהם החלטת ממשלה לאחר ינואר 2016, וכן שעלותם נאמדת בסכום העולה על 100 מיליון ש"ח. לעניין זה פרויקט תשתיות הוא כל פרויקט פיתוח פיזי, בביצועם של משרדי הממשלה, של יחידות הסמך ושל החברות הממשלתיות,</w:t>
      </w:r>
      <w:r w:rsidRPr="00A41C94">
        <w:rPr>
          <w:rFonts w:hint="cs"/>
          <w:rtl/>
        </w:rPr>
        <w:t xml:space="preserve"> </w:t>
      </w:r>
      <w:r>
        <w:rPr>
          <w:rFonts w:hint="cs"/>
          <w:rtl/>
        </w:rPr>
        <w:t>בתקצובם או באישורם.</w:t>
      </w:r>
    </w:p>
    <w:p w14:paraId="1B081F85" w14:textId="77777777" w:rsidR="00823E3A" w:rsidRPr="00075F2C" w:rsidRDefault="00823E3A" w:rsidP="00573595">
      <w:pPr>
        <w:pStyle w:val="100"/>
        <w:rPr>
          <w:rtl/>
        </w:rPr>
      </w:pPr>
      <w:r>
        <w:rPr>
          <w:rFonts w:hint="cs"/>
          <w:rtl/>
        </w:rPr>
        <w:t>בפברואר 2019 פרסם משרד ראש הממשלה את התוכנית "תשתית לצמיחה 2019" (להלן - תוכנית התשתית מפברואר 2019) המרכזת את כלל פרויקטי התשתית המתוכננים בישראל לשנים 2018 - 2022</w:t>
      </w:r>
      <w:r>
        <w:rPr>
          <w:rStyle w:val="FootnoteReference"/>
          <w:rtl/>
        </w:rPr>
        <w:footnoteReference w:id="32"/>
      </w:r>
      <w:r>
        <w:rPr>
          <w:rFonts w:hint="cs"/>
          <w:rtl/>
        </w:rPr>
        <w:t xml:space="preserve">. התוכנית כללה עדכון לתוכנית התשתית מאוגוסט 2017 ובכללה צירוף </w:t>
      </w:r>
      <w:r>
        <w:rPr>
          <w:rFonts w:hint="cs"/>
          <w:rtl/>
        </w:rPr>
        <w:lastRenderedPageBreak/>
        <w:t>של פרויקטי תשתית ממשרדים נוספים: הביטחון; האוצר; העבודה, הרווחה והשירותים החברתיים; החינוך; התקשורת.</w:t>
      </w:r>
    </w:p>
    <w:p w14:paraId="4F90EFD0" w14:textId="2F009168" w:rsidR="00823E3A" w:rsidRPr="005310E3" w:rsidRDefault="00823E3A" w:rsidP="00573595">
      <w:pPr>
        <w:pStyle w:val="100"/>
        <w:rPr>
          <w:rtl/>
        </w:rPr>
      </w:pPr>
      <w:r>
        <w:rPr>
          <w:rFonts w:hint="cs"/>
          <w:rtl/>
        </w:rPr>
        <w:t>ה</w:t>
      </w:r>
      <w:r w:rsidRPr="00F921B4">
        <w:rPr>
          <w:rFonts w:hint="cs"/>
          <w:rtl/>
        </w:rPr>
        <w:t>ת</w:t>
      </w:r>
      <w:r>
        <w:rPr>
          <w:rFonts w:hint="cs"/>
          <w:rtl/>
        </w:rPr>
        <w:t>ו</w:t>
      </w:r>
      <w:r w:rsidRPr="00F921B4">
        <w:rPr>
          <w:rFonts w:hint="cs"/>
          <w:rtl/>
        </w:rPr>
        <w:t>כנית האמורה משקפת את צבר הפרויקטים העתידי</w:t>
      </w:r>
      <w:r>
        <w:rPr>
          <w:rFonts w:hint="cs"/>
          <w:rtl/>
        </w:rPr>
        <w:t>, אך</w:t>
      </w:r>
      <w:r w:rsidRPr="00F921B4">
        <w:rPr>
          <w:rFonts w:hint="cs"/>
          <w:rtl/>
        </w:rPr>
        <w:t xml:space="preserve"> </w:t>
      </w:r>
      <w:r>
        <w:rPr>
          <w:rFonts w:hint="cs"/>
          <w:rtl/>
        </w:rPr>
        <w:t xml:space="preserve">חסר בה </w:t>
      </w:r>
      <w:r w:rsidRPr="00F921B4">
        <w:rPr>
          <w:rFonts w:hint="cs"/>
          <w:rtl/>
        </w:rPr>
        <w:t xml:space="preserve">סדר העדיפויות בין הפרויקטים השונים בהתאם לאסטרטגיה </w:t>
      </w:r>
      <w:r>
        <w:rPr>
          <w:rFonts w:hint="cs"/>
          <w:rtl/>
        </w:rPr>
        <w:t>ה</w:t>
      </w:r>
      <w:r w:rsidRPr="00F921B4">
        <w:rPr>
          <w:rFonts w:hint="cs"/>
          <w:rtl/>
        </w:rPr>
        <w:t>ממשלתית</w:t>
      </w:r>
      <w:r>
        <w:rPr>
          <w:rFonts w:hint="cs"/>
          <w:rtl/>
        </w:rPr>
        <w:t>,</w:t>
      </w:r>
      <w:r w:rsidRPr="00F921B4">
        <w:rPr>
          <w:rFonts w:hint="cs"/>
          <w:sz w:val="24"/>
          <w:rtl/>
        </w:rPr>
        <w:t xml:space="preserve"> </w:t>
      </w:r>
      <w:r>
        <w:rPr>
          <w:rFonts w:hint="cs"/>
          <w:sz w:val="24"/>
          <w:rtl/>
        </w:rPr>
        <w:t>החותרת ל</w:t>
      </w:r>
      <w:r w:rsidRPr="00F921B4">
        <w:rPr>
          <w:rFonts w:hint="cs"/>
          <w:sz w:val="24"/>
          <w:rtl/>
        </w:rPr>
        <w:t>קידום ו</w:t>
      </w:r>
      <w:r>
        <w:rPr>
          <w:rFonts w:hint="cs"/>
          <w:sz w:val="24"/>
          <w:rtl/>
        </w:rPr>
        <w:t>ל</w:t>
      </w:r>
      <w:r w:rsidRPr="00F921B4">
        <w:rPr>
          <w:rFonts w:hint="cs"/>
          <w:sz w:val="24"/>
          <w:rtl/>
        </w:rPr>
        <w:t>ייזום השקעות בפרויקטי תשתית לאומיים.</w:t>
      </w:r>
      <w:r w:rsidRPr="00F921B4">
        <w:rPr>
          <w:rFonts w:hint="cs"/>
          <w:rtl/>
        </w:rPr>
        <w:t xml:space="preserve"> </w:t>
      </w:r>
    </w:p>
    <w:p w14:paraId="4C813FD0" w14:textId="2DA2DABF" w:rsidR="00823E3A" w:rsidRDefault="00823E3A" w:rsidP="00573595">
      <w:pPr>
        <w:pStyle w:val="af5"/>
        <w:rPr>
          <w:rtl/>
        </w:rPr>
      </w:pPr>
      <w:r>
        <w:rPr>
          <w:rFonts w:hint="cs"/>
          <w:rtl/>
        </w:rPr>
        <w:t xml:space="preserve">משרד מבקר המדינה רואה בחיוב את הפעולות לגיבוש רשימת פרויקטי תשתית לאומיים עתידיים בהתאם להחלטת הממשלה. עם זאת, </w:t>
      </w:r>
      <w:r w:rsidRPr="00182BBF">
        <w:rPr>
          <w:rFonts w:hint="cs"/>
          <w:rtl/>
        </w:rPr>
        <w:t>היעדר אסטרטגיית השקעה לאומית</w:t>
      </w:r>
      <w:r>
        <w:rPr>
          <w:rFonts w:hint="cs"/>
          <w:rtl/>
        </w:rPr>
        <w:t>, הכוללת קביעת סדר עדיפויות בין הפרויקטים השונים</w:t>
      </w:r>
      <w:r w:rsidRPr="006D6805">
        <w:rPr>
          <w:rFonts w:hint="cs"/>
          <w:rtl/>
        </w:rPr>
        <w:t>,</w:t>
      </w:r>
      <w:r>
        <w:rPr>
          <w:rFonts w:hint="cs"/>
          <w:rtl/>
        </w:rPr>
        <w:t xml:space="preserve"> </w:t>
      </w:r>
      <w:r w:rsidRPr="00182BBF">
        <w:rPr>
          <w:rFonts w:hint="cs"/>
          <w:rtl/>
        </w:rPr>
        <w:t>פוגע ביכולת</w:t>
      </w:r>
      <w:r>
        <w:rPr>
          <w:rFonts w:hint="cs"/>
          <w:rtl/>
        </w:rPr>
        <w:t>ה</w:t>
      </w:r>
      <w:r w:rsidRPr="00182BBF">
        <w:rPr>
          <w:rFonts w:hint="cs"/>
          <w:rtl/>
        </w:rPr>
        <w:t xml:space="preserve"> של הממשלה ל</w:t>
      </w:r>
      <w:r>
        <w:rPr>
          <w:rFonts w:hint="cs"/>
          <w:rtl/>
        </w:rPr>
        <w:t xml:space="preserve">קדם </w:t>
      </w:r>
      <w:r w:rsidRPr="00182BBF">
        <w:rPr>
          <w:rFonts w:hint="cs"/>
          <w:rtl/>
        </w:rPr>
        <w:t>פ</w:t>
      </w:r>
      <w:r>
        <w:rPr>
          <w:rFonts w:hint="cs"/>
          <w:rtl/>
        </w:rPr>
        <w:t>י</w:t>
      </w:r>
      <w:r w:rsidRPr="00182BBF">
        <w:rPr>
          <w:rFonts w:hint="cs"/>
          <w:rtl/>
        </w:rPr>
        <w:t>ת</w:t>
      </w:r>
      <w:r>
        <w:rPr>
          <w:rFonts w:hint="cs"/>
          <w:rtl/>
        </w:rPr>
        <w:t>ו</w:t>
      </w:r>
      <w:r w:rsidRPr="00182BBF">
        <w:rPr>
          <w:rFonts w:hint="cs"/>
          <w:rtl/>
        </w:rPr>
        <w:t xml:space="preserve">ח </w:t>
      </w:r>
      <w:r>
        <w:rPr>
          <w:rFonts w:hint="cs"/>
          <w:rtl/>
        </w:rPr>
        <w:t>של תשתית ה</w:t>
      </w:r>
      <w:r w:rsidRPr="00182BBF">
        <w:rPr>
          <w:rFonts w:hint="cs"/>
          <w:rtl/>
        </w:rPr>
        <w:t xml:space="preserve">חיונית </w:t>
      </w:r>
      <w:r>
        <w:rPr>
          <w:rFonts w:hint="cs"/>
          <w:rtl/>
        </w:rPr>
        <w:t>ל</w:t>
      </w:r>
      <w:r w:rsidRPr="00182BBF">
        <w:rPr>
          <w:rFonts w:hint="cs"/>
          <w:rtl/>
        </w:rPr>
        <w:t xml:space="preserve">צמיחתה </w:t>
      </w:r>
      <w:r w:rsidRPr="00CF4EDB">
        <w:rPr>
          <w:rFonts w:hint="cs"/>
          <w:rtl/>
        </w:rPr>
        <w:t>הכלכלית של המדינה. לפיכך על משרד האוצר</w:t>
      </w:r>
      <w:r>
        <w:rPr>
          <w:rFonts w:hint="cs"/>
          <w:rtl/>
        </w:rPr>
        <w:t xml:space="preserve"> -</w:t>
      </w:r>
      <w:r w:rsidRPr="00CF4EDB">
        <w:rPr>
          <w:rFonts w:hint="cs"/>
          <w:rtl/>
        </w:rPr>
        <w:t xml:space="preserve"> בשיתוף משרדי הממשלה</w:t>
      </w:r>
      <w:r>
        <w:rPr>
          <w:rFonts w:hint="cs"/>
          <w:rtl/>
        </w:rPr>
        <w:t xml:space="preserve"> -</w:t>
      </w:r>
      <w:r w:rsidRPr="00CF4EDB">
        <w:rPr>
          <w:rFonts w:hint="cs"/>
          <w:rtl/>
        </w:rPr>
        <w:t xml:space="preserve"> לקדם גיבוש אסטרטגיית השקעה לאומית הכוללת סדרי עדיפויות מתאימים לצורך תמיכה בצמיחה </w:t>
      </w:r>
      <w:r>
        <w:rPr>
          <w:rFonts w:hint="cs"/>
          <w:rtl/>
        </w:rPr>
        <w:t>ה</w:t>
      </w:r>
      <w:r w:rsidRPr="00CF4EDB">
        <w:rPr>
          <w:rFonts w:hint="cs"/>
          <w:rtl/>
        </w:rPr>
        <w:t xml:space="preserve">כלכלית </w:t>
      </w:r>
      <w:r>
        <w:rPr>
          <w:rFonts w:hint="cs"/>
          <w:rtl/>
        </w:rPr>
        <w:t>ב</w:t>
      </w:r>
      <w:r w:rsidRPr="00CF4EDB">
        <w:rPr>
          <w:rFonts w:hint="cs"/>
          <w:rtl/>
        </w:rPr>
        <w:t xml:space="preserve">עתיד. </w:t>
      </w:r>
      <w:r>
        <w:rPr>
          <w:rFonts w:hint="cs"/>
          <w:rtl/>
        </w:rPr>
        <w:t xml:space="preserve">על סמך </w:t>
      </w:r>
      <w:r w:rsidRPr="00CF4EDB">
        <w:rPr>
          <w:rFonts w:hint="cs"/>
          <w:rtl/>
        </w:rPr>
        <w:t>אסטרטגיה זאת ת</w:t>
      </w:r>
      <w:r>
        <w:rPr>
          <w:rFonts w:hint="cs"/>
          <w:rtl/>
        </w:rPr>
        <w:t>יקבע</w:t>
      </w:r>
      <w:r w:rsidRPr="00CF4EDB">
        <w:rPr>
          <w:rFonts w:hint="cs"/>
          <w:rtl/>
        </w:rPr>
        <w:t xml:space="preserve"> ת</w:t>
      </w:r>
      <w:r>
        <w:rPr>
          <w:rFonts w:hint="cs"/>
          <w:rtl/>
        </w:rPr>
        <w:t>ו</w:t>
      </w:r>
      <w:r w:rsidRPr="00CF4EDB">
        <w:rPr>
          <w:rFonts w:hint="cs"/>
          <w:rtl/>
        </w:rPr>
        <w:t xml:space="preserve">כנית העבודה להשקעה בפרויקטי </w:t>
      </w:r>
      <w:r w:rsidRPr="00CF4EDB">
        <w:rPr>
          <w:rFonts w:hint="cs"/>
        </w:rPr>
        <w:t>PPP</w:t>
      </w:r>
      <w:r w:rsidRPr="00CF4EDB">
        <w:rPr>
          <w:rFonts w:hint="cs"/>
          <w:rtl/>
        </w:rPr>
        <w:t xml:space="preserve">, </w:t>
      </w:r>
      <w:r>
        <w:rPr>
          <w:rFonts w:hint="cs"/>
          <w:rtl/>
        </w:rPr>
        <w:t xml:space="preserve">והיא </w:t>
      </w:r>
      <w:r w:rsidRPr="00CF4EDB">
        <w:rPr>
          <w:rFonts w:hint="cs"/>
          <w:rtl/>
        </w:rPr>
        <w:t xml:space="preserve">תוצג </w:t>
      </w:r>
      <w:r>
        <w:rPr>
          <w:rFonts w:hint="cs"/>
          <w:rtl/>
        </w:rPr>
        <w:t>לממשלה אחת ל</w:t>
      </w:r>
      <w:r w:rsidRPr="00CF4EDB">
        <w:rPr>
          <w:rFonts w:hint="cs"/>
          <w:rtl/>
        </w:rPr>
        <w:t xml:space="preserve">שנה, לרבות </w:t>
      </w:r>
      <w:r>
        <w:rPr>
          <w:rFonts w:hint="cs"/>
          <w:rtl/>
        </w:rPr>
        <w:t>משמעויותיה מבחינת ה</w:t>
      </w:r>
      <w:r w:rsidRPr="00CF4EDB">
        <w:rPr>
          <w:rFonts w:hint="cs"/>
          <w:rtl/>
        </w:rPr>
        <w:t>תקציב.</w:t>
      </w:r>
    </w:p>
    <w:p w14:paraId="0422A312" w14:textId="38CE6E55" w:rsidR="00823E3A" w:rsidRPr="00AA6B9A" w:rsidRDefault="00823E3A" w:rsidP="00AA6B9A">
      <w:pPr>
        <w:pStyle w:val="100"/>
        <w:rPr>
          <w:rtl/>
        </w:rPr>
      </w:pPr>
      <w:r>
        <w:rPr>
          <w:rFonts w:hint="cs"/>
          <w:rtl/>
        </w:rPr>
        <w:t>בתשובתה של חטיבת תשתיות ופרויקטים למשרד מבקר המדינה מדצמבר 2019 (להלן - תשובת חטיבת תשתיות ופרויקטים) צוין כי המלצת המבקר מקובלת ועולה בקנה אחד עם המלצות דוח תשתיות 2030</w:t>
      </w:r>
      <w:r>
        <w:rPr>
          <w:rStyle w:val="FootnoteReference"/>
          <w:rtl/>
        </w:rPr>
        <w:footnoteReference w:id="33"/>
      </w:r>
      <w:r>
        <w:rPr>
          <w:rFonts w:hint="cs"/>
          <w:rtl/>
        </w:rPr>
        <w:t>.</w:t>
      </w:r>
    </w:p>
    <w:p w14:paraId="3FD6AC9A" w14:textId="77777777" w:rsidR="00823E3A" w:rsidRPr="00CF4EDB" w:rsidRDefault="00823E3A" w:rsidP="00AA6B9A">
      <w:pPr>
        <w:pStyle w:val="316"/>
      </w:pPr>
      <w:r w:rsidRPr="00CF4EDB">
        <w:rPr>
          <w:rFonts w:hint="cs"/>
          <w:rtl/>
        </w:rPr>
        <w:t>ה</w:t>
      </w:r>
      <w:r>
        <w:rPr>
          <w:rFonts w:hint="cs"/>
          <w:rtl/>
        </w:rPr>
        <w:t>י</w:t>
      </w:r>
      <w:r w:rsidRPr="00CF4EDB">
        <w:rPr>
          <w:rFonts w:hint="cs"/>
          <w:rtl/>
        </w:rPr>
        <w:t xml:space="preserve">עדר מידע שלם </w:t>
      </w:r>
      <w:r>
        <w:rPr>
          <w:rFonts w:hint="cs"/>
          <w:rtl/>
        </w:rPr>
        <w:t>ע</w:t>
      </w:r>
      <w:r w:rsidRPr="00CF4EDB">
        <w:rPr>
          <w:rFonts w:hint="cs"/>
          <w:rtl/>
        </w:rPr>
        <w:t>ל צבר עתידי לפרויקטים מתוכננים</w:t>
      </w:r>
    </w:p>
    <w:p w14:paraId="085696DB" w14:textId="53753B57" w:rsidR="00823E3A" w:rsidRDefault="00823E3A" w:rsidP="00AA6B9A">
      <w:pPr>
        <w:pStyle w:val="100"/>
        <w:rPr>
          <w:rtl/>
        </w:rPr>
      </w:pPr>
      <w:r w:rsidRPr="00CF4EDB">
        <w:rPr>
          <w:rFonts w:hint="cs"/>
          <w:rtl/>
        </w:rPr>
        <w:t>ת</w:t>
      </w:r>
      <w:r>
        <w:rPr>
          <w:rFonts w:hint="cs"/>
          <w:rtl/>
        </w:rPr>
        <w:t>ו</w:t>
      </w:r>
      <w:r w:rsidRPr="00CF4EDB">
        <w:rPr>
          <w:rFonts w:hint="cs"/>
          <w:rtl/>
        </w:rPr>
        <w:t xml:space="preserve">כנית </w:t>
      </w:r>
      <w:r>
        <w:rPr>
          <w:rFonts w:hint="cs"/>
          <w:rtl/>
        </w:rPr>
        <w:t>ה</w:t>
      </w:r>
      <w:r w:rsidRPr="00CF4EDB">
        <w:rPr>
          <w:rFonts w:hint="cs"/>
          <w:rtl/>
        </w:rPr>
        <w:t xml:space="preserve">תשתיות, המתפרסמת </w:t>
      </w:r>
      <w:r>
        <w:rPr>
          <w:rFonts w:hint="cs"/>
          <w:rtl/>
        </w:rPr>
        <w:t>ב</w:t>
      </w:r>
      <w:r w:rsidRPr="00CF4EDB">
        <w:rPr>
          <w:rFonts w:hint="cs"/>
          <w:rtl/>
        </w:rPr>
        <w:t>ציבור ו</w:t>
      </w:r>
      <w:r>
        <w:rPr>
          <w:rFonts w:hint="cs"/>
          <w:rtl/>
        </w:rPr>
        <w:t>ה</w:t>
      </w:r>
      <w:r w:rsidRPr="00CF4EDB">
        <w:rPr>
          <w:rFonts w:hint="cs"/>
          <w:rtl/>
        </w:rPr>
        <w:t>מתעדכנת תדיר, מאפשרת להציג ב</w:t>
      </w:r>
      <w:r>
        <w:rPr>
          <w:rFonts w:hint="cs"/>
          <w:rtl/>
        </w:rPr>
        <w:t>שקיפות</w:t>
      </w:r>
      <w:r w:rsidRPr="00CF4EDB">
        <w:rPr>
          <w:rFonts w:hint="cs"/>
          <w:rtl/>
        </w:rPr>
        <w:t xml:space="preserve"> ו</w:t>
      </w:r>
      <w:r>
        <w:rPr>
          <w:rFonts w:hint="cs"/>
          <w:rtl/>
        </w:rPr>
        <w:t>ב</w:t>
      </w:r>
      <w:r w:rsidRPr="00CF4EDB">
        <w:rPr>
          <w:rFonts w:hint="cs"/>
          <w:rtl/>
        </w:rPr>
        <w:t>מרוכז את כל</w:t>
      </w:r>
      <w:r>
        <w:rPr>
          <w:rFonts w:hint="cs"/>
          <w:rtl/>
        </w:rPr>
        <w:t xml:space="preserve"> ההשקעות הגדולות בתשתיות במדינה, את אופן מימונן וביצוען ואת לוחות הזמנים לביצוען. תוכנית זו </w:t>
      </w:r>
      <w:r w:rsidRPr="00947ED0">
        <w:rPr>
          <w:rtl/>
        </w:rPr>
        <w:t xml:space="preserve">מספקת מידע, ודאות ואופק ביצוע, </w:t>
      </w:r>
      <w:r>
        <w:rPr>
          <w:rFonts w:hint="cs"/>
          <w:rtl/>
        </w:rPr>
        <w:t xml:space="preserve">המעודדים </w:t>
      </w:r>
      <w:r w:rsidRPr="00947ED0">
        <w:rPr>
          <w:rtl/>
        </w:rPr>
        <w:t xml:space="preserve">השקעות </w:t>
      </w:r>
      <w:r>
        <w:rPr>
          <w:rFonts w:hint="cs"/>
          <w:rtl/>
        </w:rPr>
        <w:t>של גורמים שונים מהמדינה ומחוץ לה,</w:t>
      </w:r>
      <w:r w:rsidRPr="00947ED0">
        <w:rPr>
          <w:rtl/>
        </w:rPr>
        <w:t xml:space="preserve"> </w:t>
      </w:r>
      <w:r>
        <w:rPr>
          <w:rFonts w:hint="cs"/>
          <w:rtl/>
        </w:rPr>
        <w:t>ו</w:t>
      </w:r>
      <w:r w:rsidRPr="00947ED0">
        <w:rPr>
          <w:rtl/>
        </w:rPr>
        <w:t xml:space="preserve">כך </w:t>
      </w:r>
      <w:r>
        <w:rPr>
          <w:rFonts w:hint="cs"/>
          <w:rtl/>
        </w:rPr>
        <w:t xml:space="preserve">תגדל </w:t>
      </w:r>
      <w:r w:rsidRPr="00947ED0">
        <w:rPr>
          <w:rtl/>
        </w:rPr>
        <w:t>התחרות, איכות השירותים תשתפר ומחירם יפחת.</w:t>
      </w:r>
      <w:r>
        <w:rPr>
          <w:rFonts w:hint="cs"/>
          <w:rtl/>
        </w:rPr>
        <w:t xml:space="preserve"> </w:t>
      </w:r>
    </w:p>
    <w:p w14:paraId="22289E40" w14:textId="67CB434D" w:rsidR="00823E3A" w:rsidRDefault="00823E3A" w:rsidP="00AA6B9A">
      <w:pPr>
        <w:pStyle w:val="100"/>
        <w:rPr>
          <w:rtl/>
        </w:rPr>
      </w:pPr>
      <w:r>
        <w:rPr>
          <w:rFonts w:hint="cs"/>
          <w:rtl/>
        </w:rPr>
        <w:t xml:space="preserve">בסקירה של ארגון </w:t>
      </w:r>
      <w:r>
        <w:t>OECD</w:t>
      </w:r>
      <w:r>
        <w:rPr>
          <w:rFonts w:hint="cs"/>
          <w:rtl/>
        </w:rPr>
        <w:t xml:space="preserve"> על ה-</w:t>
      </w:r>
      <w:r>
        <w:rPr>
          <w:rFonts w:hint="cs"/>
        </w:rPr>
        <w:t>PPP</w:t>
      </w:r>
      <w:r>
        <w:rPr>
          <w:rFonts w:hint="cs"/>
          <w:rtl/>
        </w:rPr>
        <w:t xml:space="preserve"> בבריטניה</w:t>
      </w:r>
      <w:r>
        <w:rPr>
          <w:rStyle w:val="FootnoteReference"/>
          <w:rtl/>
        </w:rPr>
        <w:footnoteReference w:id="34"/>
      </w:r>
      <w:r>
        <w:rPr>
          <w:rFonts w:hint="cs"/>
          <w:rtl/>
        </w:rPr>
        <w:t xml:space="preserve"> מצוין כי בריטניה פיתחה לראשונה תוכנית תשתיות בשנת 2010, המציגה אחת לשנה רשימת פרויקטים פוטנציאליים בתחומי התשתית, ובהם פרויקטים במימון ממשלתי ופרויקטים במימון המגזר הפרטי. מטרת התוכנית הייתה בין היתר להביא לידי שקיפות של רשימת הפרויקטים ושל הפרויקטים המועדפים כדי להבטיח את קיומו של שוק המתנהל ברציפות ולאורך זמן. עוד צוין במסגרת הסקירה כי רשימת הפרויקטים הייתה יציבה זה עשרות שנים ותרמה להיווצרות תעשייה משגשגת בעלת המומחיות הנדרשת להבטחת מספר הצעות מספק להתנהלות תהליך תחרותי. </w:t>
      </w:r>
    </w:p>
    <w:p w14:paraId="73C18A7A" w14:textId="234ECF9C" w:rsidR="00823E3A" w:rsidRDefault="00823E3A" w:rsidP="00AA6B9A">
      <w:pPr>
        <w:pStyle w:val="100"/>
        <w:rPr>
          <w:rtl/>
        </w:rPr>
      </w:pPr>
      <w:r w:rsidRPr="006C3289">
        <w:rPr>
          <w:rFonts w:hint="cs"/>
          <w:rtl/>
        </w:rPr>
        <w:lastRenderedPageBreak/>
        <w:t xml:space="preserve">משרד האוצר </w:t>
      </w:r>
      <w:r>
        <w:rPr>
          <w:rFonts w:hint="cs"/>
          <w:rtl/>
        </w:rPr>
        <w:t>של בריטניה</w:t>
      </w:r>
      <w:r>
        <w:rPr>
          <w:rStyle w:val="FootnoteReference"/>
          <w:rtl/>
        </w:rPr>
        <w:footnoteReference w:id="35"/>
      </w:r>
      <w:r>
        <w:rPr>
          <w:rFonts w:hint="cs"/>
          <w:rtl/>
        </w:rPr>
        <w:t xml:space="preserve"> אומר כי המגזר הפרטי מייחס חשיבות לפרסום מידע על רשימת הפרויקטים לשם תכנון עסקי, ובהתאם לכך הממשלה פועלת להמשיך ולשפר את הפירוט של נתוני הפרויקטים, של איכותם ושל היקפם. היא אף מעדכנת אותם דרך קבע כדי להבטיח שהיא מספקת מידע עדכני ומדויק על תוכניותיה</w:t>
      </w:r>
      <w:r>
        <w:rPr>
          <w:rStyle w:val="FootnoteReference"/>
          <w:rtl/>
        </w:rPr>
        <w:footnoteReference w:id="36"/>
      </w:r>
      <w:r>
        <w:rPr>
          <w:rFonts w:hint="cs"/>
          <w:rtl/>
        </w:rPr>
        <w:t>.</w:t>
      </w:r>
    </w:p>
    <w:p w14:paraId="62EA6DAB" w14:textId="77777777" w:rsidR="00823E3A" w:rsidRDefault="00823E3A" w:rsidP="00AA6B9A">
      <w:pPr>
        <w:pStyle w:val="100"/>
        <w:rPr>
          <w:rtl/>
        </w:rPr>
      </w:pPr>
      <w:r>
        <w:rPr>
          <w:rFonts w:hint="cs"/>
          <w:rtl/>
        </w:rPr>
        <w:t>סעיף 13 להחלטת ממשלה 1838 קובע כי לצורך גיבוש תוכנית תשתיות רב-שנתית לעידוד הצמיחה ירכזו משרדי הממשלה ויחידות הסמך רשימה של פרויקטים בתחום אחריותם, בביצועם הישיר או באמצעות זרועות ביצוע מטעמם, אשר ביצועם צפוי להתחיל בחמש השנים הקרובות.</w:t>
      </w:r>
      <w:r>
        <w:rPr>
          <w:rStyle w:val="FootnoteReference"/>
        </w:rPr>
        <w:t xml:space="preserve"> </w:t>
      </w:r>
      <w:r>
        <w:rPr>
          <w:rFonts w:hint="cs"/>
          <w:rtl/>
        </w:rPr>
        <w:t xml:space="preserve">המידע על כל פרויקט יכלול את מאפייני הפרויקט לרבות אומדן עלותו, לוח זמנים למימושו בהתאם לאבני דרך חשובות ופירוט מקורות המימון לפרויקט - הכול על פי פורמט שיגבשו משרד ראש הממשלה, החשבת הכללית והממונה על התקציבים במשרד האוצר. רשימת הפרויקטים תרוכז בתוכנית תשתיות רב-שנתית לעידוד הצמיחה, תופץ לחברי הממשלה ותפורסם בציבור. </w:t>
      </w:r>
    </w:p>
    <w:p w14:paraId="40115D5D" w14:textId="77777777" w:rsidR="00823E3A" w:rsidRDefault="00823E3A" w:rsidP="00AA6B9A">
      <w:pPr>
        <w:pStyle w:val="af5"/>
        <w:rPr>
          <w:rtl/>
        </w:rPr>
      </w:pPr>
      <w:r w:rsidRPr="007A43D3">
        <w:rPr>
          <w:rFonts w:hint="cs"/>
          <w:rtl/>
        </w:rPr>
        <w:t xml:space="preserve">נמצא כי </w:t>
      </w:r>
      <w:r>
        <w:rPr>
          <w:rFonts w:hint="cs"/>
          <w:rtl/>
        </w:rPr>
        <w:t xml:space="preserve">אף שתוכנית התשתית מפברואר 2019 כללה הרחבה של כמה פרויקטים מתוכנית התשתית הקודמת ובכלל זה </w:t>
      </w:r>
      <w:r w:rsidRPr="009F1143">
        <w:rPr>
          <w:rFonts w:hint="cs"/>
          <w:rtl/>
        </w:rPr>
        <w:t>צירוף של פרויקטי</w:t>
      </w:r>
      <w:r>
        <w:rPr>
          <w:rFonts w:hint="cs"/>
          <w:rtl/>
        </w:rPr>
        <w:t xml:space="preserve">ם </w:t>
      </w:r>
      <w:r w:rsidRPr="009F1143">
        <w:rPr>
          <w:rFonts w:hint="cs"/>
          <w:rtl/>
        </w:rPr>
        <w:t>ממשרדים נוספים</w:t>
      </w:r>
      <w:r>
        <w:rPr>
          <w:rFonts w:hint="cs"/>
          <w:rtl/>
        </w:rPr>
        <w:t>,</w:t>
      </w:r>
      <w:r w:rsidRPr="009F1143">
        <w:rPr>
          <w:rFonts w:hint="cs"/>
          <w:rtl/>
        </w:rPr>
        <w:t xml:space="preserve"> </w:t>
      </w:r>
      <w:r>
        <w:rPr>
          <w:rFonts w:hint="cs"/>
          <w:rtl/>
        </w:rPr>
        <w:t>היא אינה כוללת את כל הנתונים הנדרשים בחלק מהפרויקטים, דבר העלול לפגוע בהשגת יעדיה לגיוס השקעות מגורמי חוץ לקידום התשתיות</w:t>
      </w:r>
      <w:r w:rsidRPr="00B350DE">
        <w:rPr>
          <w:rFonts w:hint="cs"/>
          <w:rtl/>
        </w:rPr>
        <w:t>.</w:t>
      </w:r>
      <w:r>
        <w:rPr>
          <w:rFonts w:hint="cs"/>
          <w:rtl/>
        </w:rPr>
        <w:t xml:space="preserve"> </w:t>
      </w:r>
    </w:p>
    <w:p w14:paraId="7000D5CB" w14:textId="77777777" w:rsidR="00823E3A" w:rsidRDefault="00823E3A" w:rsidP="00AA6B9A">
      <w:pPr>
        <w:pStyle w:val="100"/>
        <w:rPr>
          <w:rtl/>
        </w:rPr>
      </w:pPr>
      <w:r>
        <w:rPr>
          <w:rFonts w:hint="cs"/>
          <w:rtl/>
        </w:rPr>
        <w:t>לוח 2 להלן מציג את ריכוז הנתונים הכלולים בתוכנית התשתית מפברואר 2019 ואת הנתונים שאינם כלולים בה.</w:t>
      </w:r>
    </w:p>
    <w:p w14:paraId="5A9F8520" w14:textId="77777777" w:rsidR="009D4D73" w:rsidRDefault="009D4D73">
      <w:pPr>
        <w:bidi w:val="0"/>
        <w:spacing w:after="200" w:line="276" w:lineRule="auto"/>
        <w:rPr>
          <w:rFonts w:ascii="Tahoma" w:eastAsiaTheme="minorEastAsia" w:hAnsi="Tahoma" w:cs="Tahoma"/>
          <w:color w:val="365F91" w:themeColor="accent1" w:themeShade="BF"/>
          <w:szCs w:val="20"/>
          <w:rtl/>
        </w:rPr>
      </w:pPr>
      <w:r>
        <w:rPr>
          <w:rtl/>
        </w:rPr>
        <w:br w:type="page"/>
      </w:r>
    </w:p>
    <w:p w14:paraId="64B5D88A" w14:textId="2DBD84E1" w:rsidR="00823E3A" w:rsidRPr="00AA6B9A" w:rsidRDefault="00823E3A" w:rsidP="00AA6B9A">
      <w:pPr>
        <w:pStyle w:val="aa"/>
        <w:rPr>
          <w:b/>
          <w:bCs/>
          <w:rtl/>
        </w:rPr>
      </w:pPr>
      <w:r w:rsidRPr="00AC4967">
        <w:rPr>
          <w:rFonts w:hint="eastAsia"/>
          <w:rtl/>
        </w:rPr>
        <w:lastRenderedPageBreak/>
        <w:t>לוח</w:t>
      </w:r>
      <w:r w:rsidRPr="00AC4967">
        <w:rPr>
          <w:rtl/>
        </w:rPr>
        <w:t xml:space="preserve"> 2: </w:t>
      </w:r>
      <w:r w:rsidRPr="00AA6B9A">
        <w:rPr>
          <w:rFonts w:hint="eastAsia"/>
          <w:b/>
          <w:bCs/>
          <w:rtl/>
        </w:rPr>
        <w:t>הנתונים</w:t>
      </w:r>
      <w:r w:rsidRPr="00AA6B9A">
        <w:rPr>
          <w:b/>
          <w:bCs/>
          <w:rtl/>
        </w:rPr>
        <w:t xml:space="preserve"> </w:t>
      </w:r>
      <w:r w:rsidRPr="00AA6B9A">
        <w:rPr>
          <w:rFonts w:hint="eastAsia"/>
          <w:b/>
          <w:bCs/>
          <w:rtl/>
        </w:rPr>
        <w:t>הכלולים</w:t>
      </w:r>
      <w:r w:rsidRPr="00AA6B9A">
        <w:rPr>
          <w:b/>
          <w:bCs/>
          <w:rtl/>
        </w:rPr>
        <w:t xml:space="preserve"> </w:t>
      </w:r>
      <w:r w:rsidRPr="00AA6B9A">
        <w:rPr>
          <w:rFonts w:hint="eastAsia"/>
          <w:b/>
          <w:bCs/>
          <w:rtl/>
        </w:rPr>
        <w:t>ושאינם</w:t>
      </w:r>
      <w:r w:rsidRPr="00AA6B9A">
        <w:rPr>
          <w:b/>
          <w:bCs/>
          <w:rtl/>
        </w:rPr>
        <w:t xml:space="preserve"> </w:t>
      </w:r>
      <w:r w:rsidRPr="00AA6B9A">
        <w:rPr>
          <w:rFonts w:hint="eastAsia"/>
          <w:b/>
          <w:bCs/>
          <w:rtl/>
        </w:rPr>
        <w:t>כלולים</w:t>
      </w:r>
      <w:r w:rsidRPr="00AA6B9A">
        <w:rPr>
          <w:b/>
          <w:bCs/>
          <w:rtl/>
        </w:rPr>
        <w:t xml:space="preserve"> בת</w:t>
      </w:r>
      <w:r w:rsidRPr="00AA6B9A">
        <w:rPr>
          <w:rFonts w:hint="eastAsia"/>
          <w:b/>
          <w:bCs/>
          <w:rtl/>
        </w:rPr>
        <w:t>וכנית</w:t>
      </w:r>
      <w:r w:rsidRPr="00AA6B9A">
        <w:rPr>
          <w:b/>
          <w:bCs/>
          <w:rtl/>
        </w:rPr>
        <w:t xml:space="preserve"> </w:t>
      </w:r>
      <w:r w:rsidRPr="00AA6B9A">
        <w:rPr>
          <w:rFonts w:hint="eastAsia"/>
          <w:b/>
          <w:bCs/>
          <w:rtl/>
        </w:rPr>
        <w:t>התשתית</w:t>
      </w:r>
      <w:r w:rsidRPr="00AA6B9A">
        <w:rPr>
          <w:b/>
          <w:bCs/>
          <w:rtl/>
        </w:rPr>
        <w:t xml:space="preserve"> </w:t>
      </w:r>
      <w:r w:rsidRPr="00AA6B9A">
        <w:rPr>
          <w:rFonts w:hint="eastAsia"/>
          <w:b/>
          <w:bCs/>
          <w:rtl/>
        </w:rPr>
        <w:t>מפברואר</w:t>
      </w:r>
      <w:r w:rsidRPr="00AA6B9A">
        <w:rPr>
          <w:b/>
          <w:bCs/>
          <w:rtl/>
        </w:rPr>
        <w:t xml:space="preserve"> 2019</w:t>
      </w:r>
    </w:p>
    <w:tbl>
      <w:tblPr>
        <w:tblStyle w:val="GridTable4-Accent11"/>
        <w:bidiVisu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1"/>
        <w:gridCol w:w="4099"/>
      </w:tblGrid>
      <w:tr w:rsidR="00823E3A" w:rsidRPr="00B10E6B" w14:paraId="7156C2B3" w14:textId="77777777" w:rsidTr="00AA6B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Borders>
              <w:top w:val="none" w:sz="0" w:space="0" w:color="auto"/>
              <w:left w:val="none" w:sz="0" w:space="0" w:color="auto"/>
              <w:bottom w:val="none" w:sz="0" w:space="0" w:color="auto"/>
              <w:right w:val="none" w:sz="0" w:space="0" w:color="auto"/>
            </w:tcBorders>
            <w:shd w:val="clear" w:color="auto" w:fill="C6D9F1"/>
            <w:vAlign w:val="bottom"/>
          </w:tcPr>
          <w:p w14:paraId="2F41170D" w14:textId="77777777" w:rsidR="00823E3A" w:rsidRPr="00B10E6B" w:rsidRDefault="00823E3A" w:rsidP="009D4D73">
            <w:pPr>
              <w:pStyle w:val="af1"/>
              <w:rPr>
                <w:b/>
                <w:bCs/>
                <w:rtl/>
              </w:rPr>
            </w:pPr>
            <w:r w:rsidRPr="00B10E6B">
              <w:rPr>
                <w:rFonts w:hint="cs"/>
                <w:b/>
                <w:bCs/>
                <w:rtl/>
              </w:rPr>
              <w:t>הנתונים הכלולים בתוכנית</w:t>
            </w:r>
          </w:p>
        </w:tc>
        <w:tc>
          <w:tcPr>
            <w:tcW w:w="4099" w:type="dxa"/>
            <w:tcBorders>
              <w:top w:val="none" w:sz="0" w:space="0" w:color="auto"/>
              <w:left w:val="none" w:sz="0" w:space="0" w:color="auto"/>
              <w:bottom w:val="none" w:sz="0" w:space="0" w:color="auto"/>
              <w:right w:val="none" w:sz="0" w:space="0" w:color="auto"/>
            </w:tcBorders>
            <w:shd w:val="clear" w:color="auto" w:fill="C6D9F1"/>
            <w:vAlign w:val="bottom"/>
          </w:tcPr>
          <w:p w14:paraId="6F1E1D4B" w14:textId="77777777" w:rsidR="00823E3A" w:rsidRPr="00B10E6B" w:rsidRDefault="00823E3A" w:rsidP="009D4D73">
            <w:pPr>
              <w:pStyle w:val="af1"/>
              <w:cnfStyle w:val="100000000000" w:firstRow="1" w:lastRow="0" w:firstColumn="0" w:lastColumn="0" w:oddVBand="0" w:evenVBand="0" w:oddHBand="0" w:evenHBand="0" w:firstRowFirstColumn="0" w:firstRowLastColumn="0" w:lastRowFirstColumn="0" w:lastRowLastColumn="0"/>
              <w:rPr>
                <w:b/>
                <w:bCs/>
                <w:rtl/>
              </w:rPr>
            </w:pPr>
            <w:r w:rsidRPr="00B10E6B">
              <w:rPr>
                <w:rFonts w:hint="cs"/>
                <w:b/>
                <w:bCs/>
                <w:rtl/>
              </w:rPr>
              <w:t>הנתונים שאינם כלולים בתוכנית</w:t>
            </w:r>
          </w:p>
        </w:tc>
      </w:tr>
      <w:tr w:rsidR="00823E3A" w:rsidRPr="00760A71" w14:paraId="45F74F56" w14:textId="77777777" w:rsidTr="00BC7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shd w:val="clear" w:color="auto" w:fill="auto"/>
          </w:tcPr>
          <w:p w14:paraId="287841FE" w14:textId="77777777" w:rsidR="00823E3A" w:rsidRPr="00AA6B9A" w:rsidRDefault="00823E3A" w:rsidP="00AA6B9A">
            <w:pPr>
              <w:pStyle w:val="ListParagraph"/>
              <w:numPr>
                <w:ilvl w:val="0"/>
                <w:numId w:val="30"/>
              </w:numPr>
              <w:spacing w:line="269" w:lineRule="auto"/>
              <w:ind w:left="357"/>
              <w:contextualSpacing w:val="0"/>
              <w:jc w:val="left"/>
              <w:rPr>
                <w:rFonts w:ascii="Tahoma" w:hAnsi="Tahoma" w:cs="Tahoma"/>
                <w:szCs w:val="20"/>
                <w:vertAlign w:val="superscript"/>
                <w:rtl/>
              </w:rPr>
            </w:pPr>
            <w:r w:rsidRPr="00AA6B9A">
              <w:rPr>
                <w:rFonts w:ascii="Tahoma" w:hAnsi="Tahoma" w:cs="Tahoma"/>
                <w:b w:val="0"/>
                <w:bCs w:val="0"/>
                <w:szCs w:val="20"/>
                <w:rtl/>
              </w:rPr>
              <w:t>מצב הפרויקט</w:t>
            </w:r>
            <w:r w:rsidRPr="00AA6B9A">
              <w:rPr>
                <w:rFonts w:ascii="Tahoma" w:hAnsi="Tahoma" w:cs="Tahoma"/>
                <w:b w:val="0"/>
                <w:bCs w:val="0"/>
                <w:szCs w:val="20"/>
                <w:vertAlign w:val="superscript"/>
                <w:rtl/>
              </w:rPr>
              <w:t>(א)</w:t>
            </w:r>
          </w:p>
          <w:p w14:paraId="28887595" w14:textId="77777777" w:rsidR="00823E3A" w:rsidRPr="00AA6B9A" w:rsidRDefault="00823E3A" w:rsidP="00AA6B9A">
            <w:pPr>
              <w:pStyle w:val="ListParagraph"/>
              <w:numPr>
                <w:ilvl w:val="0"/>
                <w:numId w:val="30"/>
              </w:numPr>
              <w:spacing w:line="269" w:lineRule="auto"/>
              <w:ind w:left="357"/>
              <w:contextualSpacing w:val="0"/>
              <w:jc w:val="left"/>
              <w:rPr>
                <w:rFonts w:ascii="Tahoma" w:hAnsi="Tahoma" w:cs="Tahoma"/>
                <w:szCs w:val="20"/>
                <w:vertAlign w:val="superscript"/>
                <w:rtl/>
              </w:rPr>
            </w:pPr>
            <w:r w:rsidRPr="00AA6B9A">
              <w:rPr>
                <w:rFonts w:ascii="Tahoma" w:hAnsi="Tahoma" w:cs="Tahoma"/>
                <w:b w:val="0"/>
                <w:bCs w:val="0"/>
                <w:szCs w:val="20"/>
                <w:rtl/>
              </w:rPr>
              <w:t>הרשות או החברה המנהלת</w:t>
            </w:r>
          </w:p>
          <w:p w14:paraId="16139379" w14:textId="77777777" w:rsidR="00823E3A" w:rsidRPr="00AA6B9A" w:rsidRDefault="00823E3A" w:rsidP="00AA6B9A">
            <w:pPr>
              <w:pStyle w:val="ListParagraph"/>
              <w:numPr>
                <w:ilvl w:val="0"/>
                <w:numId w:val="30"/>
              </w:numPr>
              <w:spacing w:line="269" w:lineRule="auto"/>
              <w:ind w:left="357"/>
              <w:contextualSpacing w:val="0"/>
              <w:jc w:val="left"/>
              <w:rPr>
                <w:rFonts w:ascii="Tahoma" w:hAnsi="Tahoma" w:cs="Tahoma"/>
                <w:szCs w:val="20"/>
                <w:vertAlign w:val="superscript"/>
                <w:rtl/>
              </w:rPr>
            </w:pPr>
            <w:r w:rsidRPr="00AA6B9A">
              <w:rPr>
                <w:rFonts w:ascii="Tahoma" w:hAnsi="Tahoma" w:cs="Tahoma"/>
                <w:b w:val="0"/>
                <w:bCs w:val="0"/>
                <w:szCs w:val="20"/>
                <w:rtl/>
              </w:rPr>
              <w:t>תיאור הפרויקט ומיקומו</w:t>
            </w:r>
          </w:p>
          <w:p w14:paraId="080D413B" w14:textId="77777777" w:rsidR="00823E3A" w:rsidRPr="00AA6B9A" w:rsidRDefault="00823E3A" w:rsidP="00AA6B9A">
            <w:pPr>
              <w:pStyle w:val="ListParagraph"/>
              <w:numPr>
                <w:ilvl w:val="0"/>
                <w:numId w:val="30"/>
              </w:numPr>
              <w:spacing w:line="269" w:lineRule="auto"/>
              <w:ind w:left="357"/>
              <w:contextualSpacing w:val="0"/>
              <w:jc w:val="left"/>
              <w:rPr>
                <w:rFonts w:ascii="Tahoma" w:hAnsi="Tahoma" w:cs="Tahoma"/>
                <w:szCs w:val="20"/>
                <w:vertAlign w:val="superscript"/>
                <w:rtl/>
              </w:rPr>
            </w:pPr>
            <w:r w:rsidRPr="00AA6B9A">
              <w:rPr>
                <w:rFonts w:ascii="Tahoma" w:hAnsi="Tahoma" w:cs="Tahoma"/>
                <w:b w:val="0"/>
                <w:bCs w:val="0"/>
                <w:szCs w:val="20"/>
                <w:rtl/>
              </w:rPr>
              <w:t>אומדן עלויות ההקמה</w:t>
            </w:r>
          </w:p>
          <w:p w14:paraId="7F8C37B7" w14:textId="77777777" w:rsidR="00823E3A" w:rsidRPr="00AA6B9A" w:rsidRDefault="00823E3A" w:rsidP="00AA6B9A">
            <w:pPr>
              <w:pStyle w:val="ListParagraph"/>
              <w:numPr>
                <w:ilvl w:val="0"/>
                <w:numId w:val="30"/>
              </w:numPr>
              <w:spacing w:line="269" w:lineRule="auto"/>
              <w:ind w:left="357"/>
              <w:contextualSpacing w:val="0"/>
              <w:jc w:val="left"/>
              <w:rPr>
                <w:rFonts w:ascii="Tahoma" w:hAnsi="Tahoma" w:cs="Tahoma"/>
                <w:szCs w:val="20"/>
                <w:vertAlign w:val="superscript"/>
                <w:rtl/>
              </w:rPr>
            </w:pPr>
            <w:r w:rsidRPr="00AA6B9A">
              <w:rPr>
                <w:rFonts w:ascii="Tahoma" w:hAnsi="Tahoma" w:cs="Tahoma"/>
                <w:b w:val="0"/>
                <w:bCs w:val="0"/>
                <w:szCs w:val="20"/>
                <w:rtl/>
              </w:rPr>
              <w:t>המועד הצפוי לפרסום המכרז</w:t>
            </w:r>
          </w:p>
          <w:p w14:paraId="41426C07" w14:textId="77777777" w:rsidR="00823E3A" w:rsidRPr="00AA6B9A" w:rsidRDefault="00823E3A" w:rsidP="00AA6B9A">
            <w:pPr>
              <w:pStyle w:val="ListParagraph"/>
              <w:numPr>
                <w:ilvl w:val="0"/>
                <w:numId w:val="30"/>
              </w:numPr>
              <w:spacing w:line="269" w:lineRule="auto"/>
              <w:ind w:left="357"/>
              <w:contextualSpacing w:val="0"/>
              <w:jc w:val="left"/>
              <w:rPr>
                <w:rFonts w:ascii="Tahoma" w:hAnsi="Tahoma" w:cs="Tahoma"/>
                <w:szCs w:val="20"/>
                <w:vertAlign w:val="superscript"/>
                <w:rtl/>
              </w:rPr>
            </w:pPr>
            <w:r w:rsidRPr="00AA6B9A">
              <w:rPr>
                <w:rFonts w:ascii="Tahoma" w:hAnsi="Tahoma" w:cs="Tahoma"/>
                <w:b w:val="0"/>
                <w:bCs w:val="0"/>
                <w:szCs w:val="20"/>
                <w:rtl/>
              </w:rPr>
              <w:t>המועד הצפוי לתחילת ההקמה</w:t>
            </w:r>
          </w:p>
          <w:p w14:paraId="2C372ED2" w14:textId="77777777" w:rsidR="00823E3A" w:rsidRPr="00AA6B9A" w:rsidRDefault="00823E3A" w:rsidP="00AA6B9A">
            <w:pPr>
              <w:pStyle w:val="ListParagraph"/>
              <w:numPr>
                <w:ilvl w:val="0"/>
                <w:numId w:val="30"/>
              </w:numPr>
              <w:spacing w:line="269" w:lineRule="auto"/>
              <w:ind w:left="357"/>
              <w:contextualSpacing w:val="0"/>
              <w:jc w:val="left"/>
              <w:rPr>
                <w:rFonts w:ascii="Tahoma" w:hAnsi="Tahoma" w:cs="Tahoma"/>
                <w:szCs w:val="20"/>
                <w:vertAlign w:val="superscript"/>
                <w:rtl/>
              </w:rPr>
            </w:pPr>
            <w:r w:rsidRPr="00AA6B9A">
              <w:rPr>
                <w:rFonts w:ascii="Tahoma" w:hAnsi="Tahoma" w:cs="Tahoma"/>
                <w:b w:val="0"/>
                <w:bCs w:val="0"/>
                <w:szCs w:val="20"/>
                <w:rtl/>
              </w:rPr>
              <w:t>הערכה של שנות ההקמה הצפויות</w:t>
            </w:r>
          </w:p>
          <w:p w14:paraId="5C0C05CE" w14:textId="77777777" w:rsidR="00823E3A" w:rsidRPr="00AA6B9A" w:rsidRDefault="00823E3A" w:rsidP="00AA6B9A">
            <w:pPr>
              <w:pStyle w:val="ListParagraph"/>
              <w:numPr>
                <w:ilvl w:val="0"/>
                <w:numId w:val="30"/>
              </w:numPr>
              <w:spacing w:line="269" w:lineRule="auto"/>
              <w:ind w:left="357"/>
              <w:contextualSpacing w:val="0"/>
              <w:jc w:val="left"/>
              <w:rPr>
                <w:rFonts w:ascii="Tahoma" w:hAnsi="Tahoma" w:cs="Tahoma"/>
                <w:szCs w:val="20"/>
                <w:vertAlign w:val="superscript"/>
                <w:rtl/>
              </w:rPr>
            </w:pPr>
            <w:r w:rsidRPr="00AA6B9A">
              <w:rPr>
                <w:rFonts w:ascii="Tahoma" w:hAnsi="Tahoma" w:cs="Tahoma"/>
                <w:b w:val="0"/>
                <w:bCs w:val="0"/>
                <w:szCs w:val="20"/>
                <w:rtl/>
              </w:rPr>
              <w:t xml:space="preserve">ציון אם בוצעה בחינת התאמת הפרויקט לשיטת </w:t>
            </w:r>
            <w:r w:rsidRPr="00AA6B9A">
              <w:rPr>
                <w:rFonts w:ascii="Tahoma" w:hAnsi="Tahoma" w:cs="Tahoma"/>
                <w:b w:val="0"/>
                <w:bCs w:val="0"/>
                <w:szCs w:val="20"/>
              </w:rPr>
              <w:t>PPP</w:t>
            </w:r>
          </w:p>
          <w:p w14:paraId="54478FAB" w14:textId="77777777" w:rsidR="00823E3A" w:rsidRPr="00AA6B9A" w:rsidRDefault="00823E3A" w:rsidP="00AA6B9A">
            <w:pPr>
              <w:pStyle w:val="ListParagraph"/>
              <w:numPr>
                <w:ilvl w:val="0"/>
                <w:numId w:val="30"/>
              </w:numPr>
              <w:spacing w:line="269" w:lineRule="auto"/>
              <w:ind w:left="357"/>
              <w:contextualSpacing w:val="0"/>
              <w:jc w:val="left"/>
              <w:rPr>
                <w:rFonts w:ascii="Tahoma" w:hAnsi="Tahoma" w:cs="Tahoma"/>
                <w:szCs w:val="20"/>
                <w:vertAlign w:val="superscript"/>
                <w:rtl/>
              </w:rPr>
            </w:pPr>
            <w:r w:rsidRPr="00AA6B9A">
              <w:rPr>
                <w:rFonts w:ascii="Tahoma" w:hAnsi="Tahoma" w:cs="Tahoma"/>
                <w:b w:val="0"/>
                <w:bCs w:val="0"/>
                <w:szCs w:val="20"/>
                <w:rtl/>
              </w:rPr>
              <w:t>צורת הבעלות (ציבורית, פרטית, זכיינות)</w:t>
            </w:r>
          </w:p>
          <w:p w14:paraId="585F792C" w14:textId="77777777" w:rsidR="00823E3A" w:rsidRPr="00AA6B9A" w:rsidRDefault="00823E3A" w:rsidP="00AA6B9A">
            <w:pPr>
              <w:pStyle w:val="ListParagraph"/>
              <w:numPr>
                <w:ilvl w:val="0"/>
                <w:numId w:val="30"/>
              </w:numPr>
              <w:spacing w:line="269" w:lineRule="auto"/>
              <w:ind w:left="357"/>
              <w:contextualSpacing w:val="0"/>
              <w:jc w:val="left"/>
              <w:rPr>
                <w:rFonts w:ascii="Tahoma" w:hAnsi="Tahoma" w:cs="Tahoma"/>
                <w:szCs w:val="20"/>
                <w:vertAlign w:val="superscript"/>
                <w:rtl/>
              </w:rPr>
            </w:pPr>
            <w:r w:rsidRPr="00AA6B9A">
              <w:rPr>
                <w:rFonts w:ascii="Tahoma" w:hAnsi="Tahoma" w:cs="Tahoma"/>
                <w:b w:val="0"/>
                <w:bCs w:val="0"/>
                <w:szCs w:val="20"/>
                <w:rtl/>
              </w:rPr>
              <w:t>דרך המימון</w:t>
            </w:r>
            <w:r w:rsidRPr="00AA6B9A">
              <w:rPr>
                <w:rFonts w:ascii="Tahoma" w:hAnsi="Tahoma" w:cs="Tahoma"/>
                <w:b w:val="0"/>
                <w:bCs w:val="0"/>
                <w:szCs w:val="20"/>
                <w:vertAlign w:val="superscript"/>
                <w:rtl/>
              </w:rPr>
              <w:t xml:space="preserve"> (ב)</w:t>
            </w:r>
          </w:p>
          <w:p w14:paraId="61B875F5" w14:textId="77777777" w:rsidR="00823E3A" w:rsidRPr="00AA6B9A" w:rsidRDefault="00823E3A" w:rsidP="00AA6B9A">
            <w:pPr>
              <w:pStyle w:val="ListParagraph"/>
              <w:numPr>
                <w:ilvl w:val="0"/>
                <w:numId w:val="30"/>
              </w:numPr>
              <w:spacing w:line="269" w:lineRule="auto"/>
              <w:ind w:left="357"/>
              <w:contextualSpacing w:val="0"/>
              <w:jc w:val="left"/>
              <w:rPr>
                <w:rFonts w:ascii="Tahoma" w:hAnsi="Tahoma" w:cs="Tahoma"/>
                <w:szCs w:val="20"/>
                <w:vertAlign w:val="superscript"/>
              </w:rPr>
            </w:pPr>
            <w:r w:rsidRPr="00AA6B9A">
              <w:rPr>
                <w:rFonts w:ascii="Tahoma" w:hAnsi="Tahoma" w:cs="Tahoma"/>
                <w:b w:val="0"/>
                <w:bCs w:val="0"/>
                <w:szCs w:val="20"/>
                <w:rtl/>
              </w:rPr>
              <w:t>שיטת הביצוע הצפויה</w:t>
            </w:r>
            <w:r w:rsidRPr="00AA6B9A">
              <w:rPr>
                <w:rFonts w:ascii="Tahoma" w:hAnsi="Tahoma" w:cs="Tahoma"/>
                <w:b w:val="0"/>
                <w:bCs w:val="0"/>
                <w:szCs w:val="20"/>
                <w:vertAlign w:val="superscript"/>
                <w:rtl/>
              </w:rPr>
              <w:t>(ג)</w:t>
            </w:r>
          </w:p>
          <w:p w14:paraId="7C922432" w14:textId="77777777" w:rsidR="00823E3A" w:rsidRPr="00AA6B9A" w:rsidRDefault="00823E3A" w:rsidP="00AA6B9A">
            <w:pPr>
              <w:pStyle w:val="ListParagraph"/>
              <w:numPr>
                <w:ilvl w:val="0"/>
                <w:numId w:val="30"/>
              </w:numPr>
              <w:spacing w:line="269" w:lineRule="auto"/>
              <w:ind w:left="357"/>
              <w:contextualSpacing w:val="0"/>
              <w:jc w:val="left"/>
              <w:rPr>
                <w:rFonts w:ascii="Tahoma" w:hAnsi="Tahoma" w:cs="Tahoma"/>
                <w:szCs w:val="20"/>
                <w:vertAlign w:val="superscript"/>
                <w:rtl/>
              </w:rPr>
            </w:pPr>
            <w:r w:rsidRPr="00AA6B9A">
              <w:rPr>
                <w:rFonts w:ascii="Tahoma" w:hAnsi="Tahoma" w:cs="Tahoma"/>
                <w:b w:val="0"/>
                <w:bCs w:val="0"/>
                <w:szCs w:val="20"/>
                <w:rtl/>
              </w:rPr>
              <w:t>פרסום בשפה העברית ובשפה האנגלית</w:t>
            </w:r>
          </w:p>
        </w:tc>
        <w:tc>
          <w:tcPr>
            <w:tcW w:w="4099" w:type="dxa"/>
            <w:shd w:val="clear" w:color="auto" w:fill="auto"/>
          </w:tcPr>
          <w:p w14:paraId="0D839D76" w14:textId="77777777" w:rsidR="00823E3A" w:rsidRPr="00AA6B9A" w:rsidRDefault="00823E3A" w:rsidP="00AA6B9A">
            <w:pPr>
              <w:pStyle w:val="ListParagraph"/>
              <w:numPr>
                <w:ilvl w:val="0"/>
                <w:numId w:val="30"/>
              </w:numPr>
              <w:spacing w:line="269" w:lineRule="auto"/>
              <w:ind w:left="357"/>
              <w:contextualSpacing w:val="0"/>
              <w:jc w:val="left"/>
              <w:cnfStyle w:val="000000100000" w:firstRow="0" w:lastRow="0" w:firstColumn="0" w:lastColumn="0" w:oddVBand="0" w:evenVBand="0" w:oddHBand="1" w:evenHBand="0" w:firstRowFirstColumn="0" w:firstRowLastColumn="0" w:lastRowFirstColumn="0" w:lastRowLastColumn="0"/>
              <w:rPr>
                <w:rFonts w:ascii="Tahoma" w:hAnsi="Tahoma" w:cs="Tahoma"/>
                <w:szCs w:val="20"/>
                <w:rtl/>
              </w:rPr>
            </w:pPr>
            <w:r w:rsidRPr="00AA6B9A">
              <w:rPr>
                <w:rFonts w:ascii="Tahoma" w:hAnsi="Tahoma" w:cs="Tahoma"/>
                <w:szCs w:val="20"/>
                <w:rtl/>
              </w:rPr>
              <w:t>בחלק מן הפרויקטים טרם נקבעו מאפיינים אלה: אומדן עלויות ההקמה, לוחות הזמנים, אופן המימון ושיטת הביצוע הצפויה</w:t>
            </w:r>
          </w:p>
          <w:p w14:paraId="0D3C5EC2" w14:textId="77777777" w:rsidR="00823E3A" w:rsidRPr="00AA6B9A" w:rsidRDefault="00823E3A" w:rsidP="00AA6B9A">
            <w:pPr>
              <w:pStyle w:val="ListParagraph"/>
              <w:numPr>
                <w:ilvl w:val="0"/>
                <w:numId w:val="30"/>
              </w:numPr>
              <w:spacing w:line="269" w:lineRule="auto"/>
              <w:ind w:left="357"/>
              <w:contextualSpacing w:val="0"/>
              <w:jc w:val="left"/>
              <w:cnfStyle w:val="000000100000" w:firstRow="0" w:lastRow="0" w:firstColumn="0" w:lastColumn="0" w:oddVBand="0" w:evenVBand="0" w:oddHBand="1" w:evenHBand="0" w:firstRowFirstColumn="0" w:firstRowLastColumn="0" w:lastRowFirstColumn="0" w:lastRowLastColumn="0"/>
              <w:rPr>
                <w:rFonts w:ascii="Tahoma" w:hAnsi="Tahoma" w:cs="Tahoma"/>
                <w:szCs w:val="20"/>
                <w:rtl/>
              </w:rPr>
            </w:pPr>
            <w:r w:rsidRPr="00AA6B9A">
              <w:rPr>
                <w:rFonts w:ascii="Tahoma" w:hAnsi="Tahoma" w:cs="Tahoma"/>
                <w:szCs w:val="20"/>
                <w:rtl/>
              </w:rPr>
              <w:t>אין כלל נתונים עבור משרד החינוך ומשרד העבודה, הרווחה והשירותים החברתיים פרט לתחזית הרשאה להתחייב.</w:t>
            </w:r>
          </w:p>
          <w:p w14:paraId="600BF65E" w14:textId="77777777" w:rsidR="00823E3A" w:rsidRPr="00AA6B9A" w:rsidRDefault="00823E3A" w:rsidP="00AA6B9A">
            <w:pPr>
              <w:pStyle w:val="ListParagraph"/>
              <w:spacing w:line="269" w:lineRule="auto"/>
              <w:ind w:left="357"/>
              <w:contextualSpacing w:val="0"/>
              <w:jc w:val="left"/>
              <w:cnfStyle w:val="000000100000" w:firstRow="0" w:lastRow="0" w:firstColumn="0" w:lastColumn="0" w:oddVBand="0" w:evenVBand="0" w:oddHBand="1" w:evenHBand="0" w:firstRowFirstColumn="0" w:firstRowLastColumn="0" w:lastRowFirstColumn="0" w:lastRowLastColumn="0"/>
              <w:rPr>
                <w:rFonts w:ascii="Tahoma" w:hAnsi="Tahoma" w:cs="Tahoma"/>
                <w:szCs w:val="20"/>
                <w:rtl/>
              </w:rPr>
            </w:pPr>
          </w:p>
        </w:tc>
      </w:tr>
    </w:tbl>
    <w:p w14:paraId="3BAB7241" w14:textId="77777777" w:rsidR="00823E3A" w:rsidRDefault="00823E3A" w:rsidP="00AA6B9A">
      <w:pPr>
        <w:pStyle w:val="aff3"/>
        <w:rPr>
          <w:rtl/>
        </w:rPr>
      </w:pPr>
      <w:r>
        <w:rPr>
          <w:rFonts w:hint="cs"/>
          <w:rtl/>
        </w:rPr>
        <w:t>המקור: תוכנית התשתית מפברואר 2019</w:t>
      </w:r>
      <w:r>
        <w:rPr>
          <w:rFonts w:hint="cs"/>
          <w:b/>
          <w:bCs/>
          <w:rtl/>
        </w:rPr>
        <w:t xml:space="preserve">, </w:t>
      </w:r>
      <w:r>
        <w:rPr>
          <w:rFonts w:hint="cs"/>
          <w:rtl/>
        </w:rPr>
        <w:t>ב</w:t>
      </w:r>
      <w:r w:rsidRPr="009D4AA3">
        <w:rPr>
          <w:rFonts w:hint="cs"/>
          <w:rtl/>
        </w:rPr>
        <w:t>עיבוד משרד מבקר המדינה</w:t>
      </w:r>
    </w:p>
    <w:p w14:paraId="3B4B038D" w14:textId="77777777" w:rsidR="00823E3A" w:rsidRDefault="00823E3A" w:rsidP="00AA6B9A">
      <w:pPr>
        <w:pStyle w:val="aff3"/>
        <w:rPr>
          <w:rtl/>
        </w:rPr>
      </w:pPr>
      <w:r>
        <w:rPr>
          <w:rFonts w:hint="cs"/>
          <w:rtl/>
        </w:rPr>
        <w:t xml:space="preserve">(א) </w:t>
      </w:r>
      <w:r w:rsidRPr="00EC40A2">
        <w:rPr>
          <w:rFonts w:hint="eastAsia"/>
          <w:rtl/>
        </w:rPr>
        <w:t>השלב</w:t>
      </w:r>
      <w:r w:rsidRPr="00EC40A2">
        <w:rPr>
          <w:rtl/>
        </w:rPr>
        <w:t xml:space="preserve"> </w:t>
      </w:r>
      <w:r w:rsidRPr="00EC40A2">
        <w:rPr>
          <w:rFonts w:hint="eastAsia"/>
          <w:rtl/>
        </w:rPr>
        <w:t>שבו</w:t>
      </w:r>
      <w:r w:rsidRPr="00EC40A2">
        <w:rPr>
          <w:rtl/>
        </w:rPr>
        <w:t xml:space="preserve"> </w:t>
      </w:r>
      <w:r w:rsidRPr="00EC40A2">
        <w:rPr>
          <w:rFonts w:hint="eastAsia"/>
          <w:rtl/>
        </w:rPr>
        <w:t>מצוי</w:t>
      </w:r>
      <w:r w:rsidRPr="00EC40A2">
        <w:rPr>
          <w:rtl/>
        </w:rPr>
        <w:t xml:space="preserve"> </w:t>
      </w:r>
      <w:r w:rsidRPr="00EC40A2">
        <w:rPr>
          <w:rFonts w:hint="eastAsia"/>
          <w:rtl/>
        </w:rPr>
        <w:t>הפרויקט</w:t>
      </w:r>
      <w:r w:rsidRPr="00EC40A2">
        <w:rPr>
          <w:rtl/>
        </w:rPr>
        <w:t xml:space="preserve">: </w:t>
      </w:r>
      <w:r w:rsidRPr="00EC40A2">
        <w:rPr>
          <w:rFonts w:hint="eastAsia"/>
          <w:rtl/>
        </w:rPr>
        <w:t>ייזום</w:t>
      </w:r>
      <w:r w:rsidRPr="00EC40A2">
        <w:rPr>
          <w:rtl/>
        </w:rPr>
        <w:t xml:space="preserve">, </w:t>
      </w:r>
      <w:r w:rsidRPr="00EC40A2">
        <w:rPr>
          <w:rFonts w:hint="eastAsia"/>
          <w:rtl/>
        </w:rPr>
        <w:t>מכרז</w:t>
      </w:r>
      <w:r w:rsidRPr="00EC40A2">
        <w:rPr>
          <w:rtl/>
        </w:rPr>
        <w:t xml:space="preserve">, </w:t>
      </w:r>
      <w:r w:rsidRPr="00EC40A2">
        <w:rPr>
          <w:rFonts w:hint="eastAsia"/>
          <w:rtl/>
        </w:rPr>
        <w:t>תכנון</w:t>
      </w:r>
      <w:r w:rsidRPr="00EC40A2">
        <w:rPr>
          <w:rtl/>
        </w:rPr>
        <w:t xml:space="preserve"> </w:t>
      </w:r>
      <w:r w:rsidRPr="00EC40A2">
        <w:rPr>
          <w:rFonts w:hint="eastAsia"/>
          <w:rtl/>
        </w:rPr>
        <w:t>מפורט</w:t>
      </w:r>
      <w:r w:rsidRPr="00EC40A2">
        <w:rPr>
          <w:rtl/>
        </w:rPr>
        <w:t xml:space="preserve"> או </w:t>
      </w:r>
      <w:r w:rsidRPr="00EC40A2">
        <w:rPr>
          <w:rFonts w:hint="eastAsia"/>
          <w:rtl/>
        </w:rPr>
        <w:t>סגירה</w:t>
      </w:r>
      <w:r w:rsidRPr="00EC40A2">
        <w:rPr>
          <w:rtl/>
        </w:rPr>
        <w:t xml:space="preserve"> </w:t>
      </w:r>
      <w:r w:rsidRPr="00EC40A2">
        <w:rPr>
          <w:rFonts w:hint="eastAsia"/>
          <w:rtl/>
        </w:rPr>
        <w:t>פיננסית</w:t>
      </w:r>
      <w:r w:rsidRPr="00EC40A2">
        <w:rPr>
          <w:rtl/>
        </w:rPr>
        <w:t xml:space="preserve">, </w:t>
      </w:r>
      <w:r w:rsidRPr="00EC40A2">
        <w:rPr>
          <w:rFonts w:hint="eastAsia"/>
          <w:rtl/>
        </w:rPr>
        <w:t>הקמה</w:t>
      </w:r>
      <w:r w:rsidRPr="00EC40A2">
        <w:rPr>
          <w:rtl/>
        </w:rPr>
        <w:t>.</w:t>
      </w:r>
    </w:p>
    <w:p w14:paraId="47D40D31" w14:textId="77777777" w:rsidR="00823E3A" w:rsidRPr="005A0F19" w:rsidRDefault="00823E3A" w:rsidP="00AA6B9A">
      <w:pPr>
        <w:pStyle w:val="aff3"/>
        <w:rPr>
          <w:rtl/>
        </w:rPr>
      </w:pPr>
      <w:r>
        <w:rPr>
          <w:rFonts w:hint="cs"/>
          <w:rtl/>
        </w:rPr>
        <w:t xml:space="preserve">(ב) </w:t>
      </w:r>
      <w:r w:rsidRPr="00EC40A2">
        <w:rPr>
          <w:rFonts w:hint="eastAsia"/>
          <w:rtl/>
        </w:rPr>
        <w:t>המימון</w:t>
      </w:r>
      <w:r w:rsidRPr="00EC40A2">
        <w:rPr>
          <w:rtl/>
        </w:rPr>
        <w:t xml:space="preserve"> </w:t>
      </w:r>
      <w:r>
        <w:rPr>
          <w:rFonts w:hint="cs"/>
          <w:rtl/>
        </w:rPr>
        <w:t>עשוי</w:t>
      </w:r>
      <w:r w:rsidRPr="00EC40A2">
        <w:rPr>
          <w:rtl/>
        </w:rPr>
        <w:t xml:space="preserve"> </w:t>
      </w:r>
      <w:r w:rsidRPr="00EC40A2">
        <w:rPr>
          <w:rFonts w:hint="eastAsia"/>
          <w:rtl/>
        </w:rPr>
        <w:t>להיות</w:t>
      </w:r>
      <w:r w:rsidRPr="00EC40A2">
        <w:rPr>
          <w:rtl/>
        </w:rPr>
        <w:t xml:space="preserve"> </w:t>
      </w:r>
      <w:r w:rsidRPr="00EC40A2">
        <w:rPr>
          <w:rFonts w:hint="eastAsia"/>
          <w:rtl/>
        </w:rPr>
        <w:t>תקציבי</w:t>
      </w:r>
      <w:r w:rsidRPr="00EC40A2">
        <w:rPr>
          <w:rtl/>
        </w:rPr>
        <w:t xml:space="preserve">, </w:t>
      </w:r>
      <w:r w:rsidRPr="00EC40A2">
        <w:rPr>
          <w:rFonts w:hint="eastAsia"/>
          <w:rtl/>
        </w:rPr>
        <w:t>באמצעות</w:t>
      </w:r>
      <w:r w:rsidRPr="00EC40A2">
        <w:rPr>
          <w:rtl/>
        </w:rPr>
        <w:t xml:space="preserve"> </w:t>
      </w:r>
      <w:r w:rsidRPr="00EC40A2">
        <w:rPr>
          <w:rFonts w:hint="eastAsia"/>
          <w:rtl/>
        </w:rPr>
        <w:t>תעריף</w:t>
      </w:r>
      <w:r w:rsidRPr="00EC40A2">
        <w:rPr>
          <w:rtl/>
        </w:rPr>
        <w:t xml:space="preserve">, </w:t>
      </w:r>
      <w:r w:rsidRPr="00EC40A2">
        <w:rPr>
          <w:rFonts w:hint="eastAsia"/>
          <w:rtl/>
        </w:rPr>
        <w:t>פרטי</w:t>
      </w:r>
      <w:r w:rsidRPr="00EC40A2">
        <w:rPr>
          <w:rtl/>
        </w:rPr>
        <w:t xml:space="preserve">, </w:t>
      </w:r>
      <w:r w:rsidRPr="00EC40A2">
        <w:rPr>
          <w:rFonts w:hint="eastAsia"/>
          <w:rtl/>
        </w:rPr>
        <w:t>משולב</w:t>
      </w:r>
      <w:r w:rsidRPr="00EC40A2">
        <w:rPr>
          <w:rtl/>
        </w:rPr>
        <w:t xml:space="preserve"> (מהמגזר </w:t>
      </w:r>
      <w:r w:rsidRPr="00EC40A2">
        <w:rPr>
          <w:rFonts w:hint="eastAsia"/>
          <w:rtl/>
        </w:rPr>
        <w:t>הפרטי</w:t>
      </w:r>
      <w:r w:rsidRPr="00EC40A2">
        <w:rPr>
          <w:rtl/>
        </w:rPr>
        <w:t xml:space="preserve"> </w:t>
      </w:r>
      <w:r w:rsidRPr="00EC40A2">
        <w:rPr>
          <w:rFonts w:hint="eastAsia"/>
          <w:rtl/>
        </w:rPr>
        <w:t>והציבורי</w:t>
      </w:r>
      <w:r w:rsidRPr="00EC40A2">
        <w:rPr>
          <w:rtl/>
        </w:rPr>
        <w:t xml:space="preserve">) </w:t>
      </w:r>
      <w:r w:rsidRPr="00EC40A2">
        <w:rPr>
          <w:rFonts w:hint="eastAsia"/>
          <w:rtl/>
        </w:rPr>
        <w:t>או</w:t>
      </w:r>
      <w:r w:rsidRPr="00EC40A2">
        <w:rPr>
          <w:rtl/>
        </w:rPr>
        <w:t xml:space="preserve"> </w:t>
      </w:r>
      <w:r w:rsidRPr="00EC40A2">
        <w:rPr>
          <w:rFonts w:hint="eastAsia"/>
          <w:rtl/>
        </w:rPr>
        <w:t>אחר</w:t>
      </w:r>
      <w:r w:rsidRPr="00EC40A2">
        <w:rPr>
          <w:rtl/>
        </w:rPr>
        <w:t>.</w:t>
      </w:r>
    </w:p>
    <w:p w14:paraId="16BBA88C" w14:textId="417A65C5" w:rsidR="00823E3A" w:rsidRDefault="00823E3A" w:rsidP="00AA6B9A">
      <w:pPr>
        <w:pStyle w:val="aff3"/>
        <w:rPr>
          <w:rtl/>
        </w:rPr>
      </w:pPr>
      <w:r>
        <w:rPr>
          <w:rFonts w:hint="cs"/>
          <w:rtl/>
        </w:rPr>
        <w:t xml:space="preserve">(ג) </w:t>
      </w:r>
      <w:r w:rsidRPr="00EC40A2">
        <w:rPr>
          <w:rFonts w:hint="eastAsia"/>
          <w:rtl/>
        </w:rPr>
        <w:t>שיטת</w:t>
      </w:r>
      <w:r w:rsidRPr="00EC40A2">
        <w:rPr>
          <w:rtl/>
        </w:rPr>
        <w:t xml:space="preserve"> ביצוע צפויה </w:t>
      </w:r>
      <w:r>
        <w:rPr>
          <w:rFonts w:hint="cs"/>
          <w:rtl/>
        </w:rPr>
        <w:t>עשויה</w:t>
      </w:r>
      <w:r w:rsidRPr="00EC40A2">
        <w:rPr>
          <w:rtl/>
        </w:rPr>
        <w:t xml:space="preserve"> להיות מכרז קבלני, ביצוע עצמי, ביצוע עצמי וקבלני</w:t>
      </w:r>
      <w:r>
        <w:rPr>
          <w:rFonts w:hint="cs"/>
          <w:rtl/>
        </w:rPr>
        <w:t xml:space="preserve"> משולב</w:t>
      </w:r>
      <w:r w:rsidRPr="00EC40A2">
        <w:rPr>
          <w:rtl/>
        </w:rPr>
        <w:t xml:space="preserve">, </w:t>
      </w:r>
      <w:r w:rsidRPr="00EC40A2">
        <w:t>PPP</w:t>
      </w:r>
      <w:r w:rsidRPr="00EC40A2">
        <w:rPr>
          <w:rtl/>
        </w:rPr>
        <w:t xml:space="preserve">, </w:t>
      </w:r>
      <w:r w:rsidRPr="00EC40A2">
        <w:rPr>
          <w:rFonts w:hint="eastAsia"/>
          <w:rtl/>
        </w:rPr>
        <w:t>ביצוע</w:t>
      </w:r>
      <w:r w:rsidRPr="00EC40A2">
        <w:rPr>
          <w:rtl/>
        </w:rPr>
        <w:t xml:space="preserve"> </w:t>
      </w:r>
      <w:r w:rsidRPr="00EC40A2">
        <w:rPr>
          <w:rFonts w:hint="eastAsia"/>
          <w:rtl/>
        </w:rPr>
        <w:t>פרטי</w:t>
      </w:r>
      <w:r w:rsidRPr="00EC40A2">
        <w:rPr>
          <w:rtl/>
        </w:rPr>
        <w:t xml:space="preserve"> </w:t>
      </w:r>
      <w:r w:rsidRPr="00EC40A2">
        <w:rPr>
          <w:rFonts w:hint="eastAsia"/>
          <w:rtl/>
        </w:rPr>
        <w:t>או</w:t>
      </w:r>
      <w:r w:rsidRPr="00EC40A2">
        <w:rPr>
          <w:rtl/>
        </w:rPr>
        <w:t xml:space="preserve"> </w:t>
      </w:r>
      <w:r w:rsidRPr="00EC40A2">
        <w:rPr>
          <w:rFonts w:hint="eastAsia"/>
          <w:rtl/>
        </w:rPr>
        <w:t>אחר</w:t>
      </w:r>
      <w:r w:rsidR="00AA6B9A">
        <w:rPr>
          <w:rtl/>
        </w:rPr>
        <w:t>.</w:t>
      </w:r>
    </w:p>
    <w:p w14:paraId="34C31137" w14:textId="77777777" w:rsidR="009D4D73" w:rsidRDefault="009D4D73" w:rsidP="00AA6B9A">
      <w:pPr>
        <w:pStyle w:val="aff3"/>
        <w:rPr>
          <w:rtl/>
        </w:rPr>
      </w:pPr>
    </w:p>
    <w:p w14:paraId="32E4CEC7" w14:textId="395CDB9B" w:rsidR="00823E3A" w:rsidRDefault="00823E3A" w:rsidP="00AA6B9A">
      <w:pPr>
        <w:pStyle w:val="af5"/>
        <w:rPr>
          <w:rtl/>
        </w:rPr>
      </w:pPr>
      <w:r w:rsidRPr="00E31CE6">
        <w:rPr>
          <w:rFonts w:hint="cs"/>
          <w:rtl/>
        </w:rPr>
        <w:t xml:space="preserve">על משרד ראש הממשלה </w:t>
      </w:r>
      <w:r>
        <w:rPr>
          <w:rFonts w:hint="cs"/>
          <w:rtl/>
        </w:rPr>
        <w:t xml:space="preserve">- </w:t>
      </w:r>
      <w:r w:rsidRPr="00E31CE6">
        <w:rPr>
          <w:rFonts w:hint="cs"/>
          <w:rtl/>
        </w:rPr>
        <w:t>בשיתוף משרדי הממשלה הרלוונטיים</w:t>
      </w:r>
      <w:r>
        <w:rPr>
          <w:rFonts w:hint="cs"/>
          <w:rtl/>
        </w:rPr>
        <w:t xml:space="preserve"> - להשלים את </w:t>
      </w:r>
      <w:r w:rsidRPr="00E31CE6">
        <w:rPr>
          <w:rFonts w:hint="cs"/>
          <w:rtl/>
        </w:rPr>
        <w:t>הנתונים</w:t>
      </w:r>
      <w:r>
        <w:rPr>
          <w:rFonts w:hint="cs"/>
          <w:rtl/>
        </w:rPr>
        <w:t xml:space="preserve"> החסרים</w:t>
      </w:r>
      <w:r w:rsidRPr="00E31CE6">
        <w:rPr>
          <w:rFonts w:hint="cs"/>
          <w:rtl/>
        </w:rPr>
        <w:t xml:space="preserve"> המוצג</w:t>
      </w:r>
      <w:r>
        <w:rPr>
          <w:rFonts w:hint="cs"/>
          <w:rtl/>
        </w:rPr>
        <w:t>ים</w:t>
      </w:r>
      <w:r w:rsidRPr="00E31CE6">
        <w:rPr>
          <w:rFonts w:hint="cs"/>
          <w:rtl/>
        </w:rPr>
        <w:t xml:space="preserve"> בת</w:t>
      </w:r>
      <w:r>
        <w:rPr>
          <w:rFonts w:hint="cs"/>
          <w:rtl/>
        </w:rPr>
        <w:t>ו</w:t>
      </w:r>
      <w:r w:rsidRPr="00E31CE6">
        <w:rPr>
          <w:rFonts w:hint="cs"/>
          <w:rtl/>
        </w:rPr>
        <w:t>כנית התשתיו</w:t>
      </w:r>
      <w:r>
        <w:rPr>
          <w:rFonts w:hint="cs"/>
          <w:rtl/>
        </w:rPr>
        <w:t>ת. כמו כן על התוכנית לכלול את כל משרדי הממשלה, יחידות הסמך והחברות הממשלתיות.</w:t>
      </w:r>
    </w:p>
    <w:p w14:paraId="0EDD70E7" w14:textId="77777777" w:rsidR="00823E3A" w:rsidRDefault="00823E3A" w:rsidP="00AA6B9A">
      <w:pPr>
        <w:pStyle w:val="100"/>
      </w:pPr>
      <w:r w:rsidRPr="00BE44CC">
        <w:rPr>
          <w:rFonts w:hint="cs"/>
          <w:rtl/>
        </w:rPr>
        <w:t xml:space="preserve">במהלך </w:t>
      </w:r>
      <w:r>
        <w:rPr>
          <w:rFonts w:hint="cs"/>
          <w:rtl/>
        </w:rPr>
        <w:t>הביקורת</w:t>
      </w:r>
      <w:r w:rsidRPr="00BE44CC">
        <w:rPr>
          <w:rFonts w:hint="cs"/>
          <w:rtl/>
        </w:rPr>
        <w:t xml:space="preserve"> </w:t>
      </w:r>
      <w:r>
        <w:rPr>
          <w:rFonts w:hint="cs"/>
          <w:rtl/>
        </w:rPr>
        <w:t>הועלה למרשתת</w:t>
      </w:r>
      <w:r w:rsidRPr="00BE44CC">
        <w:rPr>
          <w:rFonts w:hint="cs"/>
          <w:rtl/>
        </w:rPr>
        <w:t xml:space="preserve"> אתר </w:t>
      </w:r>
      <w:r>
        <w:rPr>
          <w:rFonts w:hint="cs"/>
          <w:rtl/>
        </w:rPr>
        <w:t>חדש מטעם משרד ראש הממשלה המאגד בין היתר את התוכניות הרב-שנתיות לפיתוח תשתיות</w:t>
      </w:r>
      <w:r>
        <w:rPr>
          <w:rStyle w:val="FootnoteReference"/>
          <w:rtl/>
        </w:rPr>
        <w:footnoteReference w:id="37"/>
      </w:r>
      <w:r>
        <w:rPr>
          <w:rFonts w:hint="cs"/>
          <w:rtl/>
        </w:rPr>
        <w:t xml:space="preserve">. </w:t>
      </w:r>
      <w:r w:rsidRPr="00C74501">
        <w:rPr>
          <w:rFonts w:hint="cs"/>
          <w:rtl/>
        </w:rPr>
        <w:t xml:space="preserve">משיחות של נציגי משרד מבקר המדינה עם גופים פרטיים בשוק ובפרט </w:t>
      </w:r>
      <w:r>
        <w:rPr>
          <w:rFonts w:hint="cs"/>
          <w:rtl/>
        </w:rPr>
        <w:t xml:space="preserve">עם </w:t>
      </w:r>
      <w:r w:rsidRPr="00C74501">
        <w:rPr>
          <w:rFonts w:hint="cs"/>
          <w:rtl/>
        </w:rPr>
        <w:t xml:space="preserve">גופים </w:t>
      </w:r>
      <w:r>
        <w:rPr>
          <w:rFonts w:hint="cs"/>
          <w:rtl/>
        </w:rPr>
        <w:t>ה</w:t>
      </w:r>
      <w:r w:rsidRPr="00C74501">
        <w:rPr>
          <w:rFonts w:hint="cs"/>
          <w:rtl/>
        </w:rPr>
        <w:t>מממנים פרויקטי תשתיות עולה</w:t>
      </w:r>
      <w:r>
        <w:rPr>
          <w:rFonts w:hint="cs"/>
          <w:rtl/>
        </w:rPr>
        <w:t>,</w:t>
      </w:r>
      <w:r w:rsidRPr="00C74501">
        <w:rPr>
          <w:rFonts w:hint="cs"/>
          <w:rtl/>
        </w:rPr>
        <w:t xml:space="preserve"> כי </w:t>
      </w:r>
      <w:r>
        <w:rPr>
          <w:rFonts w:hint="cs"/>
          <w:rtl/>
        </w:rPr>
        <w:t xml:space="preserve">נודעת </w:t>
      </w:r>
      <w:r w:rsidRPr="00C74501">
        <w:rPr>
          <w:rFonts w:hint="cs"/>
          <w:rtl/>
        </w:rPr>
        <w:t xml:space="preserve">חשיבות </w:t>
      </w:r>
      <w:r>
        <w:rPr>
          <w:rFonts w:hint="cs"/>
          <w:rtl/>
        </w:rPr>
        <w:t xml:space="preserve">רבה </w:t>
      </w:r>
      <w:r w:rsidRPr="00C74501">
        <w:rPr>
          <w:rFonts w:hint="cs"/>
          <w:rtl/>
        </w:rPr>
        <w:t>להצגה מרוכזת</w:t>
      </w:r>
      <w:r>
        <w:rPr>
          <w:rFonts w:hint="cs"/>
          <w:rtl/>
        </w:rPr>
        <w:t>,</w:t>
      </w:r>
      <w:r w:rsidRPr="00C74501">
        <w:rPr>
          <w:rFonts w:hint="cs"/>
          <w:rtl/>
        </w:rPr>
        <w:t xml:space="preserve"> שקופה </w:t>
      </w:r>
      <w:r>
        <w:rPr>
          <w:rFonts w:hint="cs"/>
          <w:rtl/>
        </w:rPr>
        <w:t xml:space="preserve">ומעודכנת </w:t>
      </w:r>
      <w:r w:rsidRPr="00C74501">
        <w:rPr>
          <w:rFonts w:hint="cs"/>
          <w:rtl/>
        </w:rPr>
        <w:t>של צבר פרויקטי התשתית של הממשלה</w:t>
      </w:r>
      <w:r>
        <w:rPr>
          <w:rFonts w:hint="cs"/>
          <w:rtl/>
        </w:rPr>
        <w:t>. זאת</w:t>
      </w:r>
      <w:r w:rsidRPr="00C74501">
        <w:rPr>
          <w:rFonts w:hint="cs"/>
          <w:rtl/>
        </w:rPr>
        <w:t xml:space="preserve"> כדי ל</w:t>
      </w:r>
      <w:r>
        <w:rPr>
          <w:rFonts w:hint="cs"/>
          <w:rtl/>
        </w:rPr>
        <w:t xml:space="preserve">העמיד </w:t>
      </w:r>
      <w:r w:rsidRPr="00C74501">
        <w:rPr>
          <w:rFonts w:hint="cs"/>
          <w:rtl/>
        </w:rPr>
        <w:t>תנאים שווים לתחרות בין המתחרים השונים, וב</w:t>
      </w:r>
      <w:r>
        <w:rPr>
          <w:rFonts w:hint="cs"/>
          <w:rtl/>
        </w:rPr>
        <w:t>כללם גופי המימון השונים, לרבות גורמי חוץ, וכדי לשפר את יכולתם להתארגן</w:t>
      </w:r>
      <w:r>
        <w:rPr>
          <w:rStyle w:val="FootnoteReference"/>
          <w:rtl/>
        </w:rPr>
        <w:footnoteReference w:id="38"/>
      </w:r>
      <w:r>
        <w:rPr>
          <w:rFonts w:hint="cs"/>
          <w:rtl/>
        </w:rPr>
        <w:t>.</w:t>
      </w:r>
    </w:p>
    <w:p w14:paraId="11A147A2" w14:textId="3A618A32" w:rsidR="00823E3A" w:rsidRPr="00AA6B9A" w:rsidRDefault="00823E3A" w:rsidP="00AA6B9A">
      <w:pPr>
        <w:pStyle w:val="af5"/>
      </w:pPr>
      <w:r w:rsidRPr="00E2387A">
        <w:rPr>
          <w:rFonts w:hint="cs"/>
          <w:rtl/>
        </w:rPr>
        <w:t xml:space="preserve">משרד מבקר המדינה </w:t>
      </w:r>
      <w:r>
        <w:rPr>
          <w:rFonts w:hint="cs"/>
          <w:rtl/>
        </w:rPr>
        <w:t xml:space="preserve">רואה בחיוב את הנגשת התוכנית במרשתת ומדגיש את החשיבות של הצגת מידע מלא </w:t>
      </w:r>
      <w:r w:rsidRPr="00E2387A">
        <w:rPr>
          <w:rFonts w:hint="cs"/>
          <w:rtl/>
        </w:rPr>
        <w:t>ומעו</w:t>
      </w:r>
      <w:r>
        <w:rPr>
          <w:rFonts w:hint="cs"/>
          <w:rtl/>
        </w:rPr>
        <w:t xml:space="preserve">דכן </w:t>
      </w:r>
      <w:r w:rsidRPr="00E2387A">
        <w:rPr>
          <w:rFonts w:hint="cs"/>
          <w:rtl/>
        </w:rPr>
        <w:t>כדי ל</w:t>
      </w:r>
      <w:r>
        <w:rPr>
          <w:rFonts w:hint="cs"/>
          <w:rtl/>
        </w:rPr>
        <w:t xml:space="preserve">שמש כלי אפקטיבי לכניסתן של </w:t>
      </w:r>
      <w:r w:rsidRPr="008922F8">
        <w:rPr>
          <w:rFonts w:hint="cs"/>
          <w:rtl/>
        </w:rPr>
        <w:t xml:space="preserve">השקעות </w:t>
      </w:r>
      <w:r>
        <w:rPr>
          <w:rFonts w:hint="cs"/>
          <w:rtl/>
        </w:rPr>
        <w:t>מהמגזר הפרטי</w:t>
      </w:r>
      <w:r w:rsidRPr="008922F8">
        <w:rPr>
          <w:rFonts w:hint="cs"/>
          <w:rtl/>
        </w:rPr>
        <w:t xml:space="preserve"> מישראל ומהעולם. </w:t>
      </w:r>
    </w:p>
    <w:p w14:paraId="7345BB95" w14:textId="77777777" w:rsidR="00823E3A" w:rsidRPr="007D5DC0" w:rsidRDefault="00823E3A" w:rsidP="00AA6B9A">
      <w:pPr>
        <w:pStyle w:val="316"/>
        <w:rPr>
          <w:rtl/>
        </w:rPr>
      </w:pPr>
      <w:r w:rsidRPr="007D5DC0">
        <w:rPr>
          <w:rFonts w:hint="cs"/>
          <w:rtl/>
        </w:rPr>
        <w:lastRenderedPageBreak/>
        <w:t xml:space="preserve">היעדר </w:t>
      </w:r>
      <w:r>
        <w:rPr>
          <w:rFonts w:hint="cs"/>
          <w:rtl/>
        </w:rPr>
        <w:t xml:space="preserve">אחידות </w:t>
      </w:r>
      <w:r w:rsidRPr="007D5DC0">
        <w:rPr>
          <w:rFonts w:hint="cs"/>
          <w:rtl/>
        </w:rPr>
        <w:t>בתהליך ייזום פרויקטים</w:t>
      </w:r>
      <w:r>
        <w:rPr>
          <w:rFonts w:hint="cs"/>
          <w:rtl/>
        </w:rPr>
        <w:t xml:space="preserve"> ובתהליך הקמתם</w:t>
      </w:r>
    </w:p>
    <w:p w14:paraId="3835BA0B" w14:textId="77777777" w:rsidR="00823E3A" w:rsidRPr="007D5DC0" w:rsidRDefault="00823E3A" w:rsidP="00AA6B9A">
      <w:pPr>
        <w:pStyle w:val="100"/>
        <w:rPr>
          <w:rtl/>
        </w:rPr>
      </w:pPr>
      <w:r w:rsidRPr="008922F8">
        <w:rPr>
          <w:rFonts w:hint="cs"/>
          <w:rtl/>
        </w:rPr>
        <w:t xml:space="preserve">בסעיף 13 להחלטת ממשלה 1838 הוטל על המשרד הממשלתי הרלוונטי </w:t>
      </w:r>
      <w:r>
        <w:rPr>
          <w:rFonts w:hint="cs"/>
          <w:rtl/>
        </w:rPr>
        <w:t xml:space="preserve">בשיתוף </w:t>
      </w:r>
      <w:r w:rsidRPr="008922F8">
        <w:rPr>
          <w:rFonts w:hint="cs"/>
          <w:rtl/>
        </w:rPr>
        <w:t xml:space="preserve">החשבת הכללית והממונה על התקציבים לבחון </w:t>
      </w:r>
      <w:r>
        <w:rPr>
          <w:rFonts w:hint="cs"/>
          <w:rtl/>
        </w:rPr>
        <w:t>את ה</w:t>
      </w:r>
      <w:r w:rsidRPr="008922F8">
        <w:rPr>
          <w:rFonts w:hint="cs"/>
          <w:rtl/>
        </w:rPr>
        <w:t>התאמה של כל פרויקט</w:t>
      </w:r>
      <w:r>
        <w:rPr>
          <w:rFonts w:hint="cs"/>
          <w:rtl/>
        </w:rPr>
        <w:t>,</w:t>
      </w:r>
      <w:r w:rsidRPr="008922F8">
        <w:rPr>
          <w:rFonts w:hint="cs"/>
          <w:rtl/>
        </w:rPr>
        <w:t xml:space="preserve"> </w:t>
      </w:r>
      <w:r>
        <w:rPr>
          <w:rFonts w:hint="cs"/>
          <w:rtl/>
        </w:rPr>
        <w:t xml:space="preserve">שעלות הקמתו עולה על </w:t>
      </w:r>
      <w:r w:rsidRPr="008922F8">
        <w:rPr>
          <w:rFonts w:hint="cs"/>
          <w:rtl/>
        </w:rPr>
        <w:t>250 מיליוני ש"ח</w:t>
      </w:r>
      <w:r>
        <w:rPr>
          <w:rFonts w:hint="cs"/>
          <w:rtl/>
        </w:rPr>
        <w:t>,</w:t>
      </w:r>
      <w:r w:rsidRPr="008922F8">
        <w:rPr>
          <w:rFonts w:hint="cs"/>
          <w:rtl/>
        </w:rPr>
        <w:t xml:space="preserve"> לביצוע ולמימון בשילוב</w:t>
      </w:r>
      <w:r w:rsidRPr="007D5DC0">
        <w:rPr>
          <w:rFonts w:hint="cs"/>
          <w:rtl/>
        </w:rPr>
        <w:t xml:space="preserve"> המגזר הפרטי (</w:t>
      </w:r>
      <w:r w:rsidRPr="007D5DC0">
        <w:rPr>
          <w:rFonts w:hint="cs"/>
        </w:rPr>
        <w:t>PPP</w:t>
      </w:r>
      <w:r w:rsidRPr="007D5DC0">
        <w:rPr>
          <w:rFonts w:hint="cs"/>
          <w:rtl/>
        </w:rPr>
        <w:t>).</w:t>
      </w:r>
    </w:p>
    <w:p w14:paraId="2581D64F" w14:textId="77777777" w:rsidR="00823E3A" w:rsidRPr="007D5DC0" w:rsidRDefault="00823E3A" w:rsidP="00AA6B9A">
      <w:pPr>
        <w:pStyle w:val="100"/>
        <w:rPr>
          <w:rtl/>
        </w:rPr>
      </w:pPr>
      <w:r w:rsidRPr="008922F8">
        <w:rPr>
          <w:rFonts w:hint="cs"/>
          <w:rtl/>
        </w:rPr>
        <w:t>בהתאם</w:t>
      </w:r>
      <w:r>
        <w:rPr>
          <w:rFonts w:hint="cs"/>
          <w:rtl/>
        </w:rPr>
        <w:t xml:space="preserve"> לכך</w:t>
      </w:r>
      <w:r w:rsidRPr="008922F8">
        <w:rPr>
          <w:rFonts w:hint="cs"/>
          <w:rtl/>
        </w:rPr>
        <w:t>, גם החלטת ממשלה 3012 קובעת כי</w:t>
      </w:r>
      <w:r>
        <w:rPr>
          <w:rFonts w:hint="cs"/>
          <w:rtl/>
        </w:rPr>
        <w:t xml:space="preserve"> כדי</w:t>
      </w:r>
      <w:r w:rsidRPr="008922F8">
        <w:rPr>
          <w:rFonts w:hint="cs"/>
          <w:rtl/>
        </w:rPr>
        <w:t xml:space="preserve"> לקבוע סטנדרט גבוה בתחום התשתיות בין כל משרדי הממשלה, על צוות ליווי</w:t>
      </w:r>
      <w:r w:rsidRPr="008922F8">
        <w:t xml:space="preserve"> </w:t>
      </w:r>
      <w:r w:rsidRPr="00144182">
        <w:rPr>
          <w:rFonts w:hint="cs"/>
          <w:rtl/>
        </w:rPr>
        <w:t>ומעקב</w:t>
      </w:r>
      <w:r>
        <w:rPr>
          <w:rStyle w:val="FootnoteReference"/>
          <w:rtl/>
        </w:rPr>
        <w:footnoteReference w:id="39"/>
      </w:r>
      <w:r w:rsidRPr="007D5DC0">
        <w:rPr>
          <w:rFonts w:hint="cs"/>
          <w:rtl/>
        </w:rPr>
        <w:t>, בשיתוף מנכ"לי המשרדים הרלוונטיים, לבנות בתיאום עם החשב הכללי מדריך שירותים ממשלתי למשרדי הממשלה וליחידות הסמך וכן ל</w:t>
      </w:r>
      <w:r>
        <w:rPr>
          <w:rFonts w:hint="cs"/>
          <w:rtl/>
        </w:rPr>
        <w:t>התוות</w:t>
      </w:r>
      <w:r w:rsidRPr="007D5DC0">
        <w:rPr>
          <w:rFonts w:hint="cs"/>
          <w:rtl/>
        </w:rPr>
        <w:t xml:space="preserve"> עבורם </w:t>
      </w:r>
      <w:r>
        <w:rPr>
          <w:rFonts w:hint="cs"/>
          <w:rtl/>
        </w:rPr>
        <w:t>ת</w:t>
      </w:r>
      <w:r w:rsidRPr="007D5DC0">
        <w:rPr>
          <w:rFonts w:hint="cs"/>
          <w:rtl/>
        </w:rPr>
        <w:t>הליך הטמעה מחייב להתאמת שיטת המימון והביצוע עבור כל פרויקט תשתית חדש</w:t>
      </w:r>
      <w:r>
        <w:rPr>
          <w:rFonts w:hint="cs"/>
          <w:rtl/>
        </w:rPr>
        <w:t>.</w:t>
      </w:r>
      <w:r w:rsidRPr="007D5DC0">
        <w:rPr>
          <w:rFonts w:hint="cs"/>
          <w:rtl/>
        </w:rPr>
        <w:t xml:space="preserve"> </w:t>
      </w:r>
      <w:r>
        <w:rPr>
          <w:rFonts w:hint="cs"/>
          <w:rtl/>
        </w:rPr>
        <w:t xml:space="preserve">במסגרת זו יש </w:t>
      </w:r>
      <w:r w:rsidRPr="007D5DC0">
        <w:rPr>
          <w:rFonts w:hint="cs"/>
          <w:rtl/>
        </w:rPr>
        <w:t xml:space="preserve">לקבוע מועד ואופן ביצוע </w:t>
      </w:r>
      <w:r>
        <w:rPr>
          <w:rFonts w:hint="cs"/>
          <w:rtl/>
        </w:rPr>
        <w:t>ל</w:t>
      </w:r>
      <w:r w:rsidRPr="007D5DC0">
        <w:rPr>
          <w:rFonts w:hint="cs"/>
          <w:rtl/>
        </w:rPr>
        <w:t>בדיקת התאמה להקמת פרויקט בשיתוף המגזר הפרטי (</w:t>
      </w:r>
      <w:r w:rsidRPr="007D5DC0">
        <w:rPr>
          <w:rFonts w:hint="cs"/>
        </w:rPr>
        <w:t>PPP</w:t>
      </w:r>
      <w:r>
        <w:rPr>
          <w:rFonts w:hint="cs"/>
          <w:rtl/>
        </w:rPr>
        <w:t>) בפרויקט שעלותו מעל 250 מיליוני ש"ח.</w:t>
      </w:r>
    </w:p>
    <w:p w14:paraId="121207C2" w14:textId="77777777" w:rsidR="00823E3A" w:rsidRPr="008922F8" w:rsidRDefault="00823E3A" w:rsidP="00AA6B9A">
      <w:pPr>
        <w:pStyle w:val="100"/>
        <w:rPr>
          <w:rtl/>
        </w:rPr>
      </w:pPr>
      <w:r w:rsidRPr="008922F8">
        <w:rPr>
          <w:rFonts w:hint="cs"/>
          <w:rtl/>
        </w:rPr>
        <w:t xml:space="preserve">בדיקת </w:t>
      </w:r>
      <w:r>
        <w:rPr>
          <w:rFonts w:hint="cs"/>
          <w:rtl/>
        </w:rPr>
        <w:t>ה</w:t>
      </w:r>
      <w:r w:rsidRPr="008922F8">
        <w:rPr>
          <w:rFonts w:hint="cs"/>
          <w:rtl/>
        </w:rPr>
        <w:t xml:space="preserve">התאמה להקמת הפרויקט בשיטת </w:t>
      </w:r>
      <w:r w:rsidRPr="008922F8">
        <w:rPr>
          <w:rFonts w:hint="cs"/>
        </w:rPr>
        <w:t>PPP</w:t>
      </w:r>
      <w:r w:rsidRPr="008922F8">
        <w:rPr>
          <w:rFonts w:hint="cs"/>
          <w:rtl/>
        </w:rPr>
        <w:t xml:space="preserve"> </w:t>
      </w:r>
      <w:r>
        <w:rPr>
          <w:rFonts w:hint="cs"/>
          <w:rtl/>
        </w:rPr>
        <w:t xml:space="preserve">במסגרת </w:t>
      </w:r>
      <w:r w:rsidRPr="008922F8">
        <w:rPr>
          <w:rFonts w:hint="cs"/>
          <w:rtl/>
        </w:rPr>
        <w:t xml:space="preserve">הליך הטמעה מחייב </w:t>
      </w:r>
      <w:r>
        <w:rPr>
          <w:rFonts w:hint="cs"/>
          <w:rtl/>
        </w:rPr>
        <w:t xml:space="preserve">נועדה לבדוק מהי </w:t>
      </w:r>
      <w:r w:rsidRPr="008922F8">
        <w:rPr>
          <w:rFonts w:hint="cs"/>
          <w:rtl/>
        </w:rPr>
        <w:t>שיטת הביצוע המיטבית להקמה ו</w:t>
      </w:r>
      <w:r>
        <w:rPr>
          <w:rFonts w:hint="cs"/>
          <w:rtl/>
        </w:rPr>
        <w:t>ל</w:t>
      </w:r>
      <w:r w:rsidRPr="008922F8">
        <w:rPr>
          <w:rFonts w:hint="cs"/>
          <w:rtl/>
        </w:rPr>
        <w:t xml:space="preserve">תפעול של הפרויקט </w:t>
      </w:r>
      <w:r>
        <w:rPr>
          <w:rFonts w:hint="cs"/>
          <w:rtl/>
        </w:rPr>
        <w:t>מבחינת ה</w:t>
      </w:r>
      <w:r w:rsidRPr="008922F8">
        <w:rPr>
          <w:rFonts w:hint="cs"/>
          <w:rtl/>
        </w:rPr>
        <w:t xml:space="preserve">חיסכון, </w:t>
      </w:r>
      <w:r>
        <w:rPr>
          <w:rFonts w:hint="cs"/>
          <w:rtl/>
        </w:rPr>
        <w:t>ה</w:t>
      </w:r>
      <w:r w:rsidRPr="008922F8">
        <w:rPr>
          <w:rFonts w:hint="cs"/>
          <w:rtl/>
        </w:rPr>
        <w:t>יעילות ו</w:t>
      </w:r>
      <w:r>
        <w:rPr>
          <w:rFonts w:hint="cs"/>
          <w:rtl/>
        </w:rPr>
        <w:t xml:space="preserve">התועלת של </w:t>
      </w:r>
      <w:r w:rsidRPr="008922F8">
        <w:rPr>
          <w:rFonts w:hint="cs"/>
          <w:rtl/>
        </w:rPr>
        <w:t>שימוש</w:t>
      </w:r>
      <w:r w:rsidRPr="007D5DC0">
        <w:rPr>
          <w:rFonts w:hint="cs"/>
          <w:rtl/>
        </w:rPr>
        <w:t xml:space="preserve"> בכספי ציבור ו</w:t>
      </w:r>
      <w:r>
        <w:rPr>
          <w:rFonts w:hint="cs"/>
          <w:rtl/>
        </w:rPr>
        <w:t xml:space="preserve">לצורך </w:t>
      </w:r>
      <w:r w:rsidRPr="007D5DC0">
        <w:rPr>
          <w:rFonts w:hint="cs"/>
          <w:rtl/>
        </w:rPr>
        <w:t xml:space="preserve">סיוע למקבלי ההחלטות בבחירת חלופת הביצוע הצפויה להניב את הערך הגבוה ביותר </w:t>
      </w:r>
      <w:r>
        <w:rPr>
          <w:rFonts w:hint="cs"/>
          <w:rtl/>
        </w:rPr>
        <w:t>ל</w:t>
      </w:r>
      <w:r w:rsidRPr="007D5DC0">
        <w:rPr>
          <w:rFonts w:hint="cs"/>
          <w:rtl/>
        </w:rPr>
        <w:t>כסף שיושקע</w:t>
      </w:r>
      <w:r>
        <w:rPr>
          <w:rStyle w:val="FootnoteReference"/>
          <w:rtl/>
        </w:rPr>
        <w:footnoteReference w:id="40"/>
      </w:r>
      <w:r w:rsidRPr="008922F8">
        <w:rPr>
          <w:rFonts w:hint="cs"/>
          <w:rtl/>
        </w:rPr>
        <w:t>.</w:t>
      </w:r>
    </w:p>
    <w:p w14:paraId="6741830B" w14:textId="77777777" w:rsidR="00823E3A" w:rsidRDefault="00823E3A" w:rsidP="00AA6B9A">
      <w:pPr>
        <w:pStyle w:val="af5"/>
        <w:rPr>
          <w:rtl/>
        </w:rPr>
      </w:pPr>
      <w:r>
        <w:rPr>
          <w:rFonts w:hint="cs"/>
          <w:rtl/>
        </w:rPr>
        <w:t>במהלך הביקורת</w:t>
      </w:r>
      <w:r w:rsidRPr="008922F8">
        <w:rPr>
          <w:rFonts w:hint="cs"/>
          <w:rtl/>
        </w:rPr>
        <w:t xml:space="preserve"> פורסם למשרדי הממשלה מדריך שירותים ממשלתי</w:t>
      </w:r>
      <w:r>
        <w:rPr>
          <w:rFonts w:hint="cs"/>
          <w:rtl/>
        </w:rPr>
        <w:t xml:space="preserve"> לקידום פרויקטים במתווה ה-</w:t>
      </w:r>
      <w:r>
        <w:rPr>
          <w:rFonts w:hint="cs"/>
        </w:rPr>
        <w:t>PPP</w:t>
      </w:r>
      <w:r>
        <w:rPr>
          <w:rFonts w:hint="cs"/>
          <w:rtl/>
        </w:rPr>
        <w:t>, אולם</w:t>
      </w:r>
      <w:r w:rsidRPr="008922F8">
        <w:rPr>
          <w:rFonts w:hint="cs"/>
          <w:rtl/>
        </w:rPr>
        <w:t xml:space="preserve"> טרם יושם הליך הטמעה מחייב. היעדר הליך הטמעה מחייב </w:t>
      </w:r>
      <w:r>
        <w:rPr>
          <w:rFonts w:hint="cs"/>
          <w:rtl/>
        </w:rPr>
        <w:t>ג</w:t>
      </w:r>
      <w:r w:rsidRPr="008922F8">
        <w:rPr>
          <w:rFonts w:hint="cs"/>
          <w:rtl/>
        </w:rPr>
        <w:t>רם בין היתר ל</w:t>
      </w:r>
      <w:r w:rsidRPr="00144182">
        <w:rPr>
          <w:rFonts w:hint="cs"/>
          <w:rtl/>
        </w:rPr>
        <w:t xml:space="preserve">חוסר אחידות באופן בדיקת ההתאמה </w:t>
      </w:r>
      <w:r w:rsidRPr="007D5DC0">
        <w:rPr>
          <w:rFonts w:hint="cs"/>
          <w:rtl/>
        </w:rPr>
        <w:t xml:space="preserve">להקמת פרויקטים בשיטת </w:t>
      </w:r>
      <w:r w:rsidRPr="007D5DC0">
        <w:t>PPP</w:t>
      </w:r>
      <w:r w:rsidRPr="007D5DC0">
        <w:rPr>
          <w:rFonts w:hint="cs"/>
          <w:rtl/>
        </w:rPr>
        <w:t xml:space="preserve"> בממשלה</w:t>
      </w:r>
      <w:r>
        <w:rPr>
          <w:rFonts w:hint="cs"/>
          <w:rtl/>
        </w:rPr>
        <w:t xml:space="preserve">. יתר על כן, בשל היעדר הליך זה, </w:t>
      </w:r>
      <w:r w:rsidRPr="007D5DC0">
        <w:rPr>
          <w:rFonts w:hint="cs"/>
          <w:rtl/>
        </w:rPr>
        <w:t>חלק ממשרדי הממשלה</w:t>
      </w:r>
      <w:r>
        <w:rPr>
          <w:rFonts w:hint="cs"/>
          <w:rtl/>
        </w:rPr>
        <w:t>,</w:t>
      </w:r>
      <w:r w:rsidRPr="007D5DC0">
        <w:rPr>
          <w:rFonts w:hint="cs"/>
          <w:rtl/>
        </w:rPr>
        <w:t xml:space="preserve"> </w:t>
      </w:r>
      <w:r w:rsidRPr="00BD1EA8">
        <w:rPr>
          <w:rFonts w:hint="cs"/>
          <w:rtl/>
        </w:rPr>
        <w:t xml:space="preserve">ובהם משרד התחבורה ומשרד האנרגיה, אף לא ביצעו בחינת התאמה לשיטת ביצוע </w:t>
      </w:r>
      <w:r w:rsidRPr="00BD1EA8">
        <w:rPr>
          <w:rFonts w:hint="cs"/>
        </w:rPr>
        <w:t>PPP</w:t>
      </w:r>
      <w:r w:rsidRPr="00BD1EA8">
        <w:rPr>
          <w:rFonts w:hint="cs"/>
          <w:rtl/>
        </w:rPr>
        <w:t xml:space="preserve"> לפרויקטים שעלותם גבוהה מ-250 מיליוני ש"ח</w:t>
      </w:r>
      <w:r>
        <w:rPr>
          <w:rFonts w:hint="cs"/>
          <w:rtl/>
        </w:rPr>
        <w:t>,</w:t>
      </w:r>
      <w:r w:rsidRPr="00BD1EA8">
        <w:rPr>
          <w:rFonts w:hint="cs"/>
          <w:rtl/>
        </w:rPr>
        <w:t xml:space="preserve"> כפי שעולה </w:t>
      </w:r>
      <w:r>
        <w:rPr>
          <w:rFonts w:hint="cs"/>
          <w:rtl/>
        </w:rPr>
        <w:t>מתוכניות התשתית שפורסמו.</w:t>
      </w:r>
    </w:p>
    <w:p w14:paraId="3BDC035B" w14:textId="47B2F61E" w:rsidR="00823E3A" w:rsidRPr="008922F8" w:rsidRDefault="00823E3A" w:rsidP="00AA6B9A">
      <w:pPr>
        <w:pStyle w:val="100"/>
        <w:rPr>
          <w:rtl/>
        </w:rPr>
      </w:pPr>
      <w:r>
        <w:rPr>
          <w:rFonts w:hint="cs"/>
          <w:rtl/>
        </w:rPr>
        <w:t>בתשובתו של משרד ראש הממשלה למשרד מבקר המדינה מדצמבר 2019 (להלן - תשובת משרד ראש הממשלה) צוין, כי במהלך שנת 2020 בכוונתם לפעול להכנת נוהל מחייב עבור כל משרדי הממשלה ויחידות הסמך לבחינת ההתאמה למתווה ה-</w:t>
      </w:r>
      <w:r>
        <w:rPr>
          <w:rFonts w:hint="cs"/>
        </w:rPr>
        <w:t>PPP</w:t>
      </w:r>
      <w:r>
        <w:rPr>
          <w:rFonts w:hint="cs"/>
          <w:rtl/>
        </w:rPr>
        <w:t xml:space="preserve">, וזאת בשיתוף אגף החשב הכללי במשרד האוצר וחברת ענבל. </w:t>
      </w:r>
    </w:p>
    <w:p w14:paraId="02797BC6" w14:textId="77777777" w:rsidR="00823E3A" w:rsidRPr="007D5DC0" w:rsidRDefault="00823E3A" w:rsidP="00AA6B9A">
      <w:pPr>
        <w:pStyle w:val="100"/>
        <w:rPr>
          <w:rtl/>
        </w:rPr>
      </w:pPr>
      <w:r w:rsidRPr="008922F8">
        <w:rPr>
          <w:rFonts w:hint="cs"/>
          <w:rtl/>
        </w:rPr>
        <w:t xml:space="preserve">סעיף 13 להחלטת ממשלה 1838 קובע כי החשבת הכללית והממונה על התקציבים יפעלו לתכלל את הידע הנצבר </w:t>
      </w:r>
      <w:r>
        <w:rPr>
          <w:rFonts w:hint="cs"/>
          <w:rtl/>
        </w:rPr>
        <w:t xml:space="preserve">של גופי הממשלה </w:t>
      </w:r>
      <w:r w:rsidRPr="008922F8">
        <w:rPr>
          <w:rFonts w:hint="cs"/>
          <w:rtl/>
        </w:rPr>
        <w:t xml:space="preserve">בנושא ביצוע פרויקטי </w:t>
      </w:r>
      <w:r w:rsidRPr="008922F8">
        <w:rPr>
          <w:rFonts w:hint="cs"/>
        </w:rPr>
        <w:t>PPP</w:t>
      </w:r>
      <w:r w:rsidRPr="008922F8">
        <w:rPr>
          <w:rFonts w:hint="cs"/>
          <w:rtl/>
        </w:rPr>
        <w:t xml:space="preserve"> והנדרש לשיפור ביצועם, ובכלל זה הכנת מסמכי מכרז סטנדרטיים, מחירונים</w:t>
      </w:r>
      <w:r>
        <w:rPr>
          <w:rFonts w:hint="cs"/>
          <w:rtl/>
        </w:rPr>
        <w:t>,</w:t>
      </w:r>
      <w:r w:rsidRPr="008922F8">
        <w:rPr>
          <w:rFonts w:hint="cs"/>
          <w:rtl/>
        </w:rPr>
        <w:t xml:space="preserve"> הצעות לשיפור תהליכי </w:t>
      </w:r>
      <w:r>
        <w:rPr>
          <w:rFonts w:hint="cs"/>
          <w:rtl/>
        </w:rPr>
        <w:t>ה</w:t>
      </w:r>
      <w:r w:rsidRPr="008922F8">
        <w:rPr>
          <w:rFonts w:hint="cs"/>
          <w:rtl/>
        </w:rPr>
        <w:t xml:space="preserve">תכנון, </w:t>
      </w:r>
      <w:r>
        <w:rPr>
          <w:rFonts w:hint="cs"/>
          <w:rtl/>
        </w:rPr>
        <w:t xml:space="preserve">תהליך המכרז </w:t>
      </w:r>
      <w:r w:rsidRPr="008922F8">
        <w:rPr>
          <w:rFonts w:hint="cs"/>
          <w:rtl/>
        </w:rPr>
        <w:t>וביצוע תשתיות בשילוב הסקטור הפרטי.</w:t>
      </w:r>
    </w:p>
    <w:p w14:paraId="3226895E" w14:textId="7B36A4D8" w:rsidR="00823E3A" w:rsidRPr="008922F8" w:rsidRDefault="00823E3A" w:rsidP="00AA6B9A">
      <w:pPr>
        <w:pStyle w:val="100"/>
        <w:rPr>
          <w:rtl/>
        </w:rPr>
      </w:pPr>
      <w:r w:rsidRPr="008922F8">
        <w:rPr>
          <w:rFonts w:hint="cs"/>
          <w:rtl/>
        </w:rPr>
        <w:t>בהמשך להחלטה זו</w:t>
      </w:r>
      <w:r>
        <w:rPr>
          <w:rFonts w:hint="cs"/>
          <w:rtl/>
        </w:rPr>
        <w:t xml:space="preserve"> קובע</w:t>
      </w:r>
      <w:r w:rsidRPr="008922F8">
        <w:rPr>
          <w:rFonts w:hint="cs"/>
          <w:rtl/>
        </w:rPr>
        <w:t xml:space="preserve"> סעיף 2 להחלטת ממשלה 3012 כי </w:t>
      </w:r>
      <w:r>
        <w:rPr>
          <w:rFonts w:hint="cs"/>
          <w:rtl/>
        </w:rPr>
        <w:t xml:space="preserve">כדי </w:t>
      </w:r>
      <w:r w:rsidRPr="008922F8">
        <w:rPr>
          <w:rFonts w:hint="cs"/>
          <w:rtl/>
        </w:rPr>
        <w:t>להקטין עלויות עסקה ול</w:t>
      </w:r>
      <w:r>
        <w:rPr>
          <w:rFonts w:hint="cs"/>
          <w:rtl/>
        </w:rPr>
        <w:t>הקנות לממשלה</w:t>
      </w:r>
      <w:r w:rsidRPr="008922F8">
        <w:rPr>
          <w:rFonts w:hint="cs"/>
          <w:rtl/>
        </w:rPr>
        <w:t xml:space="preserve"> יתרון לגודל, על צוות</w:t>
      </w:r>
      <w:r w:rsidRPr="007D5DC0">
        <w:rPr>
          <w:rFonts w:hint="cs"/>
          <w:rtl/>
        </w:rPr>
        <w:t xml:space="preserve"> </w:t>
      </w:r>
      <w:r>
        <w:rPr>
          <w:rFonts w:hint="cs"/>
          <w:rtl/>
        </w:rPr>
        <w:t>ה</w:t>
      </w:r>
      <w:r w:rsidRPr="007D5DC0">
        <w:rPr>
          <w:rFonts w:hint="cs"/>
          <w:rtl/>
        </w:rPr>
        <w:t>ליווי</w:t>
      </w:r>
      <w:r w:rsidRPr="007D5DC0">
        <w:t xml:space="preserve"> </w:t>
      </w:r>
      <w:r w:rsidRPr="007D5DC0">
        <w:rPr>
          <w:rFonts w:hint="cs"/>
          <w:rtl/>
        </w:rPr>
        <w:t>ו</w:t>
      </w:r>
      <w:r>
        <w:rPr>
          <w:rFonts w:hint="cs"/>
          <w:rtl/>
        </w:rPr>
        <w:t>ה</w:t>
      </w:r>
      <w:r w:rsidRPr="007D5DC0">
        <w:rPr>
          <w:rFonts w:hint="cs"/>
          <w:rtl/>
        </w:rPr>
        <w:t>מעקב</w:t>
      </w:r>
      <w:r>
        <w:rPr>
          <w:rFonts w:hint="cs"/>
          <w:rtl/>
        </w:rPr>
        <w:t xml:space="preserve"> -</w:t>
      </w:r>
      <w:r w:rsidRPr="007D5DC0">
        <w:rPr>
          <w:rFonts w:hint="cs"/>
          <w:rtl/>
        </w:rPr>
        <w:t xml:space="preserve"> בשיתוף מנכ"לי המשרדים </w:t>
      </w:r>
      <w:r w:rsidRPr="007D5DC0">
        <w:rPr>
          <w:rFonts w:hint="cs"/>
          <w:rtl/>
        </w:rPr>
        <w:lastRenderedPageBreak/>
        <w:t>הרלוונטיים</w:t>
      </w:r>
      <w:r>
        <w:rPr>
          <w:rFonts w:hint="cs"/>
          <w:rtl/>
        </w:rPr>
        <w:t xml:space="preserve"> -</w:t>
      </w:r>
      <w:r w:rsidRPr="007D5DC0">
        <w:rPr>
          <w:rFonts w:hint="cs"/>
          <w:rtl/>
        </w:rPr>
        <w:t xml:space="preserve"> לבחון את מבנה המכרז, מחירונים אחידים, מאגרי קבלנים ונושאים נוספים שיסוכמו בין חברי הצוות.</w:t>
      </w:r>
    </w:p>
    <w:p w14:paraId="0B70B272" w14:textId="77777777" w:rsidR="00823E3A" w:rsidRPr="008922F8" w:rsidRDefault="00823E3A" w:rsidP="00AA6B9A">
      <w:pPr>
        <w:pStyle w:val="100"/>
        <w:rPr>
          <w:rtl/>
        </w:rPr>
      </w:pPr>
      <w:r w:rsidRPr="008922F8">
        <w:rPr>
          <w:rFonts w:hint="cs"/>
          <w:rtl/>
        </w:rPr>
        <w:t>השימוש בחוזים סטנדרטיים נעשה ב</w:t>
      </w:r>
      <w:r>
        <w:rPr>
          <w:rFonts w:hint="cs"/>
          <w:rtl/>
        </w:rPr>
        <w:t>כמה</w:t>
      </w:r>
      <w:r w:rsidRPr="008922F8">
        <w:rPr>
          <w:rFonts w:hint="cs"/>
          <w:rtl/>
        </w:rPr>
        <w:t xml:space="preserve"> מדינות </w:t>
      </w:r>
      <w:r>
        <w:rPr>
          <w:rFonts w:hint="cs"/>
          <w:rtl/>
        </w:rPr>
        <w:t xml:space="preserve">בעלות </w:t>
      </w:r>
      <w:r w:rsidRPr="008922F8">
        <w:rPr>
          <w:rFonts w:hint="cs"/>
          <w:rtl/>
        </w:rPr>
        <w:t xml:space="preserve">ניסיון </w:t>
      </w:r>
      <w:r>
        <w:rPr>
          <w:rFonts w:hint="cs"/>
          <w:rtl/>
        </w:rPr>
        <w:t>רב</w:t>
      </w:r>
      <w:r w:rsidRPr="008922F8">
        <w:rPr>
          <w:rFonts w:hint="cs"/>
          <w:rtl/>
        </w:rPr>
        <w:t xml:space="preserve"> בפרויקטים בשיטת </w:t>
      </w:r>
      <w:r w:rsidRPr="008922F8">
        <w:rPr>
          <w:rFonts w:hint="cs"/>
        </w:rPr>
        <w:t>PPP</w:t>
      </w:r>
      <w:r w:rsidRPr="008922F8">
        <w:rPr>
          <w:rFonts w:hint="cs"/>
          <w:rtl/>
        </w:rPr>
        <w:t xml:space="preserve"> </w:t>
      </w:r>
      <w:r>
        <w:rPr>
          <w:rFonts w:hint="cs"/>
          <w:rtl/>
        </w:rPr>
        <w:t>ו</w:t>
      </w:r>
      <w:r w:rsidRPr="007D5DC0">
        <w:rPr>
          <w:rFonts w:hint="cs"/>
          <w:rtl/>
        </w:rPr>
        <w:t>בהן בריטניה</w:t>
      </w:r>
      <w:r>
        <w:rPr>
          <w:rStyle w:val="FootnoteReference"/>
          <w:rtl/>
        </w:rPr>
        <w:footnoteReference w:id="41"/>
      </w:r>
      <w:r>
        <w:rPr>
          <w:rFonts w:hint="cs"/>
          <w:rtl/>
        </w:rPr>
        <w:t>,</w:t>
      </w:r>
      <w:r w:rsidRPr="008922F8">
        <w:rPr>
          <w:rFonts w:hint="cs"/>
          <w:rtl/>
        </w:rPr>
        <w:t xml:space="preserve"> והוא עשוי להקטין את עלויות העסקה ולקצר את לוחות הזמנים </w:t>
      </w:r>
      <w:r>
        <w:rPr>
          <w:rFonts w:hint="cs"/>
          <w:rtl/>
        </w:rPr>
        <w:t xml:space="preserve">משום </w:t>
      </w:r>
      <w:r w:rsidRPr="008922F8">
        <w:rPr>
          <w:rFonts w:hint="cs"/>
          <w:rtl/>
        </w:rPr>
        <w:t xml:space="preserve">שהוא מאפשר </w:t>
      </w:r>
      <w:r>
        <w:rPr>
          <w:rFonts w:hint="cs"/>
          <w:rtl/>
        </w:rPr>
        <w:t>להגיע ל</w:t>
      </w:r>
      <w:r w:rsidRPr="008922F8">
        <w:rPr>
          <w:rFonts w:hint="cs"/>
          <w:rtl/>
        </w:rPr>
        <w:t xml:space="preserve">הסכמות </w:t>
      </w:r>
      <w:r>
        <w:rPr>
          <w:rFonts w:hint="cs"/>
          <w:rtl/>
        </w:rPr>
        <w:t xml:space="preserve">עם </w:t>
      </w:r>
      <w:r w:rsidRPr="008922F8">
        <w:rPr>
          <w:rFonts w:hint="cs"/>
          <w:rtl/>
        </w:rPr>
        <w:t xml:space="preserve">כל הצדדים במגוון תחומים </w:t>
      </w:r>
      <w:r>
        <w:rPr>
          <w:rFonts w:hint="cs"/>
          <w:rtl/>
        </w:rPr>
        <w:t>ב</w:t>
      </w:r>
      <w:r w:rsidRPr="008922F8">
        <w:rPr>
          <w:rFonts w:hint="cs"/>
          <w:rtl/>
        </w:rPr>
        <w:t>לא צורך במשא ומתן נוסף.</w:t>
      </w:r>
      <w:r w:rsidRPr="008922F8">
        <w:rPr>
          <w:rtl/>
        </w:rPr>
        <w:t xml:space="preserve"> </w:t>
      </w:r>
    </w:p>
    <w:p w14:paraId="5B5A603C" w14:textId="77777777" w:rsidR="00823E3A" w:rsidRDefault="00823E3A" w:rsidP="00AA6B9A">
      <w:pPr>
        <w:pStyle w:val="af5"/>
        <w:rPr>
          <w:rtl/>
        </w:rPr>
      </w:pPr>
      <w:r w:rsidRPr="008922F8">
        <w:rPr>
          <w:rFonts w:hint="cs"/>
          <w:rtl/>
        </w:rPr>
        <w:t xml:space="preserve">נמצא כי </w:t>
      </w:r>
      <w:r>
        <w:rPr>
          <w:rFonts w:hint="cs"/>
          <w:rtl/>
        </w:rPr>
        <w:t>בעת</w:t>
      </w:r>
      <w:r w:rsidRPr="008922F8">
        <w:rPr>
          <w:rFonts w:hint="cs"/>
          <w:rtl/>
        </w:rPr>
        <w:t xml:space="preserve"> עריכת הביקורת אין </w:t>
      </w:r>
      <w:r>
        <w:rPr>
          <w:rFonts w:hint="cs"/>
          <w:rtl/>
        </w:rPr>
        <w:t xml:space="preserve">משתמשים </w:t>
      </w:r>
      <w:r w:rsidRPr="008922F8">
        <w:rPr>
          <w:rFonts w:hint="cs"/>
          <w:rtl/>
        </w:rPr>
        <w:t xml:space="preserve">במסמכי מכרז סטנדרטיים במכרזים בשיטת </w:t>
      </w:r>
      <w:r w:rsidRPr="007D5DC0">
        <w:rPr>
          <w:rFonts w:hint="cs"/>
        </w:rPr>
        <w:t>PPP</w:t>
      </w:r>
      <w:r w:rsidRPr="007D5DC0">
        <w:rPr>
          <w:rFonts w:hint="cs"/>
          <w:rtl/>
        </w:rPr>
        <w:t xml:space="preserve"> שמנהלים גופים שונים בממשלה. עוד נמצא כי </w:t>
      </w:r>
      <w:r>
        <w:rPr>
          <w:rFonts w:hint="cs"/>
          <w:rtl/>
        </w:rPr>
        <w:t>גם בין שתי היחידות הכפופות לחשב הכללי -</w:t>
      </w:r>
      <w:r w:rsidRPr="00BD1EA8">
        <w:rPr>
          <w:rFonts w:hint="cs"/>
          <w:rtl/>
        </w:rPr>
        <w:t xml:space="preserve"> חטיבת תשתיות ופרוי</w:t>
      </w:r>
      <w:r>
        <w:rPr>
          <w:rFonts w:hint="cs"/>
          <w:rtl/>
        </w:rPr>
        <w:t xml:space="preserve">קטים ומנהלת הבינוי - </w:t>
      </w:r>
      <w:r w:rsidRPr="00BD1EA8">
        <w:rPr>
          <w:rFonts w:hint="cs"/>
          <w:rtl/>
        </w:rPr>
        <w:t>א</w:t>
      </w:r>
      <w:r>
        <w:rPr>
          <w:rFonts w:hint="cs"/>
          <w:rtl/>
        </w:rPr>
        <w:t xml:space="preserve">ין </w:t>
      </w:r>
      <w:r w:rsidRPr="00BD1EA8">
        <w:rPr>
          <w:rFonts w:hint="cs"/>
          <w:rtl/>
        </w:rPr>
        <w:t>שיתוף פעולה מוסדר המקבל ביטוי בין היתר ב</w:t>
      </w:r>
      <w:r>
        <w:rPr>
          <w:rFonts w:hint="cs"/>
          <w:rtl/>
        </w:rPr>
        <w:t>ת</w:t>
      </w:r>
      <w:r w:rsidRPr="00BD1EA8">
        <w:rPr>
          <w:rFonts w:hint="cs"/>
          <w:rtl/>
        </w:rPr>
        <w:t>הליך למידה ובניהול של עיתוי פרסום המכרזים</w:t>
      </w:r>
      <w:r>
        <w:rPr>
          <w:rFonts w:hint="cs"/>
          <w:rtl/>
        </w:rPr>
        <w:t>,</w:t>
      </w:r>
      <w:r w:rsidRPr="00BD1EA8">
        <w:rPr>
          <w:rFonts w:hint="cs"/>
          <w:rtl/>
        </w:rPr>
        <w:t xml:space="preserve"> </w:t>
      </w:r>
      <w:r>
        <w:rPr>
          <w:rFonts w:hint="cs"/>
          <w:rtl/>
        </w:rPr>
        <w:t>ה</w:t>
      </w:r>
      <w:r w:rsidRPr="00CF4EDB">
        <w:rPr>
          <w:rFonts w:hint="cs"/>
          <w:rtl/>
        </w:rPr>
        <w:t>עשוי להפחית את העלויות</w:t>
      </w:r>
      <w:r>
        <w:rPr>
          <w:rStyle w:val="FootnoteReference"/>
          <w:b/>
          <w:bCs/>
          <w:rtl/>
        </w:rPr>
        <w:footnoteReference w:id="42"/>
      </w:r>
      <w:r w:rsidRPr="00CF4EDB">
        <w:rPr>
          <w:rFonts w:hint="cs"/>
          <w:rtl/>
        </w:rPr>
        <w:t>.</w:t>
      </w:r>
    </w:p>
    <w:p w14:paraId="44F02193" w14:textId="77777777" w:rsidR="00823E3A" w:rsidRPr="007064D3" w:rsidRDefault="00823E3A" w:rsidP="00AA6B9A">
      <w:pPr>
        <w:pStyle w:val="100"/>
        <w:rPr>
          <w:rtl/>
        </w:rPr>
      </w:pPr>
      <w:r>
        <w:rPr>
          <w:rFonts w:hint="cs"/>
          <w:rtl/>
        </w:rPr>
        <w:t xml:space="preserve">בתשובתה של חטיבת תשתיות ופרויקטים צוין כי לחטיבה מסמכים סטנדרטיים המשמשים את הוועדות הבין-משרדיות, וכי כל ועדה מוסמכת להחליט על אופן ההטמעה בכל מכרז. יתרה מזו, יש שיתופי פעולה וידע בין החטיבה לבין משרד הביטחון. </w:t>
      </w:r>
    </w:p>
    <w:p w14:paraId="2ADE0FE8" w14:textId="77777777" w:rsidR="00823E3A" w:rsidRDefault="00823E3A" w:rsidP="00AA6B9A">
      <w:pPr>
        <w:pStyle w:val="af5"/>
        <w:rPr>
          <w:rtl/>
        </w:rPr>
      </w:pPr>
      <w:r w:rsidRPr="00FF24A0">
        <w:rPr>
          <w:rFonts w:hint="cs"/>
          <w:rtl/>
        </w:rPr>
        <w:t xml:space="preserve">תכלול הידע שנצבר בגופים הממשלתיים באמצעות התוויית קווים מנחים לאפיון פרויקטי </w:t>
      </w:r>
      <w:r w:rsidRPr="00FF24A0">
        <w:rPr>
          <w:rFonts w:hint="cs"/>
        </w:rPr>
        <w:t>PPP</w:t>
      </w:r>
      <w:r w:rsidRPr="00FF24A0">
        <w:rPr>
          <w:rFonts w:hint="cs"/>
          <w:rtl/>
        </w:rPr>
        <w:t xml:space="preserve"> הוא הבסיס לניהול מיטבי של חוזי ההתקשרות. לפיכך, בהתאם להחלטת הממשלה, על צוות הליווי והמעקב לקדם בהקדם תכלול של ידע זה באמצעות הליך הטמעה מחייב לכל משרדי הממשלה</w:t>
      </w:r>
      <w:r w:rsidRPr="00FF24A0">
        <w:rPr>
          <w:rStyle w:val="FootnoteReference"/>
          <w:b/>
          <w:bCs/>
          <w:rtl/>
        </w:rPr>
        <w:footnoteReference w:id="43"/>
      </w:r>
      <w:r w:rsidRPr="00FF24A0">
        <w:rPr>
          <w:rFonts w:hint="cs"/>
          <w:rtl/>
        </w:rPr>
        <w:t>. מתוך כך, יש לפעול לשימוש במסמכי מכרז סטנדרטיים שישמשו את כל מנהלי ההתקשרויות וליישום הידע שנצבר בממשלה בנושא.</w:t>
      </w:r>
    </w:p>
    <w:p w14:paraId="53A6CD51" w14:textId="77777777" w:rsidR="00823E3A" w:rsidRPr="00BC7658" w:rsidRDefault="00823E3A" w:rsidP="00AA6B9A">
      <w:pPr>
        <w:pStyle w:val="100"/>
        <w:rPr>
          <w:rtl/>
        </w:rPr>
      </w:pPr>
      <w:r>
        <w:rPr>
          <w:rFonts w:hint="cs"/>
          <w:rtl/>
        </w:rPr>
        <w:t xml:space="preserve">כאמור לעיל, כמה </w:t>
      </w:r>
      <w:r w:rsidRPr="008922F8">
        <w:rPr>
          <w:rFonts w:hint="cs"/>
          <w:rtl/>
        </w:rPr>
        <w:t xml:space="preserve">גופים </w:t>
      </w:r>
      <w:r>
        <w:rPr>
          <w:rFonts w:hint="cs"/>
          <w:rtl/>
        </w:rPr>
        <w:t xml:space="preserve">בישראל </w:t>
      </w:r>
      <w:r w:rsidRPr="008922F8">
        <w:rPr>
          <w:rFonts w:hint="cs"/>
          <w:rtl/>
        </w:rPr>
        <w:t xml:space="preserve">מנהלים פרויקטים בשיטת </w:t>
      </w:r>
      <w:r w:rsidRPr="008922F8">
        <w:rPr>
          <w:rFonts w:hint="cs"/>
        </w:rPr>
        <w:t>PPP</w:t>
      </w:r>
      <w:r>
        <w:rPr>
          <w:rFonts w:hint="cs"/>
          <w:rtl/>
        </w:rPr>
        <w:t>, ועם ה</w:t>
      </w:r>
      <w:r w:rsidRPr="008922F8">
        <w:rPr>
          <w:rFonts w:hint="cs"/>
          <w:rtl/>
        </w:rPr>
        <w:t xml:space="preserve">אחראים להתקשרות מטעם המדינה עם הזכיין </w:t>
      </w:r>
      <w:r>
        <w:rPr>
          <w:rFonts w:hint="cs"/>
          <w:rtl/>
        </w:rPr>
        <w:t xml:space="preserve">נמנים </w:t>
      </w:r>
      <w:r w:rsidRPr="008922F8">
        <w:rPr>
          <w:rFonts w:hint="cs"/>
          <w:rtl/>
        </w:rPr>
        <w:t>חטיבת תשתיות ופרויקטים, מנהלת הבינוי</w:t>
      </w:r>
      <w:r>
        <w:rPr>
          <w:rFonts w:hint="cs"/>
          <w:rtl/>
        </w:rPr>
        <w:t>,</w:t>
      </w:r>
      <w:r w:rsidRPr="008922F8">
        <w:rPr>
          <w:rFonts w:hint="cs"/>
          <w:rtl/>
        </w:rPr>
        <w:t xml:space="preserve"> משרד הביטחון</w:t>
      </w:r>
      <w:r>
        <w:rPr>
          <w:rFonts w:hint="cs"/>
          <w:rtl/>
        </w:rPr>
        <w:t xml:space="preserve"> וחברות ממשלתיות</w:t>
      </w:r>
      <w:r>
        <w:rPr>
          <w:rStyle w:val="FootnoteReference"/>
          <w:rtl/>
        </w:rPr>
        <w:footnoteReference w:id="44"/>
      </w:r>
      <w:r w:rsidRPr="008922F8">
        <w:rPr>
          <w:rFonts w:hint="cs"/>
          <w:rtl/>
        </w:rPr>
        <w:t>.</w:t>
      </w:r>
      <w:r>
        <w:rPr>
          <w:rFonts w:hint="cs"/>
          <w:rtl/>
        </w:rPr>
        <w:t xml:space="preserve"> לפיכך הצורך בסטנדרטיזציה בתהליך של ייזום פרויקטים והקמתם במתווה </w:t>
      </w:r>
      <w:r>
        <w:rPr>
          <w:rFonts w:hint="cs"/>
        </w:rPr>
        <w:t>PPP</w:t>
      </w:r>
      <w:r>
        <w:rPr>
          <w:rFonts w:hint="cs"/>
          <w:rtl/>
        </w:rPr>
        <w:t xml:space="preserve"> מקבל משנה חשיבות.</w:t>
      </w:r>
    </w:p>
    <w:p w14:paraId="61BD8BED" w14:textId="24AAE399" w:rsidR="00823E3A" w:rsidRPr="008922F8" w:rsidRDefault="00823E3A" w:rsidP="00AA6B9A">
      <w:pPr>
        <w:pStyle w:val="100"/>
        <w:rPr>
          <w:rtl/>
        </w:rPr>
      </w:pPr>
      <w:r>
        <w:rPr>
          <w:rFonts w:hint="cs"/>
          <w:rtl/>
        </w:rPr>
        <w:t xml:space="preserve">על פי </w:t>
      </w:r>
      <w:r w:rsidRPr="008922F8">
        <w:rPr>
          <w:rFonts w:hint="cs"/>
          <w:rtl/>
        </w:rPr>
        <w:t>דוח בנק ישראל לשנת 2016, אח</w:t>
      </w:r>
      <w:r>
        <w:rPr>
          <w:rFonts w:hint="cs"/>
          <w:rtl/>
        </w:rPr>
        <w:t xml:space="preserve">ת הדרכים </w:t>
      </w:r>
      <w:r w:rsidRPr="008922F8">
        <w:rPr>
          <w:rFonts w:hint="cs"/>
          <w:rtl/>
        </w:rPr>
        <w:t>ל</w:t>
      </w:r>
      <w:r>
        <w:rPr>
          <w:rFonts w:hint="cs"/>
          <w:rtl/>
        </w:rPr>
        <w:t>הפקת המרב מ</w:t>
      </w:r>
      <w:r w:rsidRPr="008922F8">
        <w:rPr>
          <w:rFonts w:hint="cs"/>
          <w:rtl/>
        </w:rPr>
        <w:t xml:space="preserve">פרויקטים בשיטת </w:t>
      </w:r>
      <w:r w:rsidRPr="008922F8">
        <w:rPr>
          <w:rFonts w:hint="cs"/>
        </w:rPr>
        <w:t>PPP</w:t>
      </w:r>
      <w:r w:rsidRPr="008922F8">
        <w:rPr>
          <w:rFonts w:hint="cs"/>
          <w:rtl/>
        </w:rPr>
        <w:t xml:space="preserve"> ה</w:t>
      </w:r>
      <w:r>
        <w:rPr>
          <w:rFonts w:hint="cs"/>
          <w:rtl/>
        </w:rPr>
        <w:t>י</w:t>
      </w:r>
      <w:r w:rsidRPr="008922F8">
        <w:rPr>
          <w:rFonts w:hint="cs"/>
          <w:rtl/>
        </w:rPr>
        <w:t xml:space="preserve">א </w:t>
      </w:r>
      <w:r>
        <w:rPr>
          <w:rFonts w:hint="cs"/>
          <w:rtl/>
        </w:rPr>
        <w:t xml:space="preserve">הקמת </w:t>
      </w:r>
      <w:r w:rsidRPr="008922F8">
        <w:rPr>
          <w:rFonts w:hint="cs"/>
          <w:rtl/>
        </w:rPr>
        <w:t>יחידה ממשלתית המתמחה בניהול ו</w:t>
      </w:r>
      <w:r>
        <w:rPr>
          <w:rFonts w:hint="cs"/>
          <w:rtl/>
        </w:rPr>
        <w:t>ב</w:t>
      </w:r>
      <w:r w:rsidRPr="008922F8">
        <w:rPr>
          <w:rFonts w:hint="cs"/>
          <w:rtl/>
        </w:rPr>
        <w:t>ניטור של מכרזים וחוזים מסוג זה מאחר</w:t>
      </w:r>
      <w:r>
        <w:rPr>
          <w:rFonts w:hint="cs"/>
          <w:rtl/>
        </w:rPr>
        <w:t xml:space="preserve"> ש</w:t>
      </w:r>
      <w:r w:rsidRPr="008922F8">
        <w:rPr>
          <w:rFonts w:hint="cs"/>
          <w:rtl/>
        </w:rPr>
        <w:t>בפרויקטים אלו נדרש</w:t>
      </w:r>
      <w:r>
        <w:rPr>
          <w:rFonts w:hint="cs"/>
          <w:rtl/>
        </w:rPr>
        <w:t>ים מקצועיות</w:t>
      </w:r>
      <w:r w:rsidRPr="008922F8">
        <w:rPr>
          <w:rFonts w:hint="cs"/>
          <w:rtl/>
        </w:rPr>
        <w:t xml:space="preserve"> </w:t>
      </w:r>
      <w:r>
        <w:rPr>
          <w:rFonts w:hint="cs"/>
          <w:rtl/>
        </w:rPr>
        <w:t>ו</w:t>
      </w:r>
      <w:r w:rsidRPr="008922F8">
        <w:rPr>
          <w:rFonts w:hint="cs"/>
          <w:rtl/>
        </w:rPr>
        <w:t>ידע ספציפי לביצוע המכרז</w:t>
      </w:r>
      <w:r>
        <w:rPr>
          <w:rStyle w:val="FootnoteReference"/>
          <w:rtl/>
        </w:rPr>
        <w:footnoteReference w:id="45"/>
      </w:r>
      <w:r w:rsidRPr="008922F8">
        <w:rPr>
          <w:rFonts w:hint="cs"/>
          <w:rtl/>
        </w:rPr>
        <w:t>.</w:t>
      </w:r>
    </w:p>
    <w:p w14:paraId="29B0C1D2" w14:textId="35D3A999" w:rsidR="00823E3A" w:rsidRDefault="00823E3A" w:rsidP="00B005BC">
      <w:pPr>
        <w:pStyle w:val="100"/>
        <w:rPr>
          <w:rtl/>
        </w:rPr>
      </w:pPr>
      <w:r>
        <w:rPr>
          <w:rFonts w:hint="cs"/>
          <w:rtl/>
        </w:rPr>
        <w:lastRenderedPageBreak/>
        <w:t>בשנים האחרונות</w:t>
      </w:r>
      <w:r w:rsidRPr="008922F8">
        <w:rPr>
          <w:rFonts w:hint="cs"/>
          <w:rtl/>
        </w:rPr>
        <w:t xml:space="preserve"> קיימת מחלוקת מהותית בין אגף החשכ"ל ל</w:t>
      </w:r>
      <w:r>
        <w:rPr>
          <w:rFonts w:hint="cs"/>
          <w:rtl/>
        </w:rPr>
        <w:t xml:space="preserve">בין </w:t>
      </w:r>
      <w:r w:rsidRPr="008922F8">
        <w:rPr>
          <w:rFonts w:hint="cs"/>
          <w:rtl/>
        </w:rPr>
        <w:t xml:space="preserve">אגף התקציבים </w:t>
      </w:r>
      <w:r>
        <w:rPr>
          <w:rFonts w:hint="cs"/>
          <w:rtl/>
        </w:rPr>
        <w:t xml:space="preserve">על </w:t>
      </w:r>
      <w:r w:rsidRPr="008922F8">
        <w:rPr>
          <w:rFonts w:hint="cs"/>
          <w:rtl/>
        </w:rPr>
        <w:t>אופן מימוש הפרויקטים ו</w:t>
      </w:r>
      <w:r>
        <w:rPr>
          <w:rFonts w:hint="cs"/>
          <w:rtl/>
        </w:rPr>
        <w:t xml:space="preserve">על </w:t>
      </w:r>
      <w:r w:rsidRPr="008922F8">
        <w:rPr>
          <w:rFonts w:hint="cs"/>
          <w:rtl/>
        </w:rPr>
        <w:t>ביזור סמכויות ביצוע</w:t>
      </w:r>
      <w:r>
        <w:rPr>
          <w:rFonts w:hint="cs"/>
          <w:rtl/>
        </w:rPr>
        <w:t>ם</w:t>
      </w:r>
      <w:r w:rsidRPr="008922F8">
        <w:rPr>
          <w:rFonts w:hint="cs"/>
          <w:rtl/>
        </w:rPr>
        <w:t xml:space="preserve"> </w:t>
      </w:r>
      <w:r>
        <w:rPr>
          <w:rFonts w:hint="cs"/>
          <w:rtl/>
        </w:rPr>
        <w:t>ב</w:t>
      </w:r>
      <w:r w:rsidRPr="008922F8">
        <w:rPr>
          <w:rFonts w:hint="cs"/>
          <w:rtl/>
        </w:rPr>
        <w:t>משרדי הממשלה ו</w:t>
      </w:r>
      <w:r>
        <w:rPr>
          <w:rFonts w:hint="cs"/>
          <w:rtl/>
        </w:rPr>
        <w:t>ב</w:t>
      </w:r>
      <w:r w:rsidRPr="008922F8">
        <w:rPr>
          <w:rFonts w:hint="cs"/>
          <w:rtl/>
        </w:rPr>
        <w:t>זרועות הביצוע השונות, כפי שבא לידי ביטוי במכתבה של החשבת הכללית לממונה על התקציבים מיולי 2016. ל</w:t>
      </w:r>
      <w:r>
        <w:rPr>
          <w:rFonts w:hint="cs"/>
          <w:rtl/>
        </w:rPr>
        <w:t xml:space="preserve">פי </w:t>
      </w:r>
      <w:r w:rsidRPr="008922F8">
        <w:rPr>
          <w:rFonts w:hint="cs"/>
          <w:rtl/>
        </w:rPr>
        <w:t>גישת</w:t>
      </w:r>
      <w:r>
        <w:rPr>
          <w:rFonts w:hint="cs"/>
          <w:rtl/>
        </w:rPr>
        <w:t>ו של</w:t>
      </w:r>
      <w:r w:rsidRPr="008922F8">
        <w:rPr>
          <w:rFonts w:hint="cs"/>
          <w:rtl/>
        </w:rPr>
        <w:t xml:space="preserve"> אגף החשכ"ל ובהסתמכו על הידע שצבר</w:t>
      </w:r>
      <w:r w:rsidRPr="007D5DC0">
        <w:rPr>
          <w:rFonts w:hint="cs"/>
          <w:rtl/>
        </w:rPr>
        <w:t xml:space="preserve">, ראוי לרכז את ניהול הפרויקטים </w:t>
      </w:r>
      <w:r>
        <w:rPr>
          <w:rFonts w:hint="cs"/>
          <w:rtl/>
        </w:rPr>
        <w:t>באחריותו</w:t>
      </w:r>
      <w:r w:rsidRPr="007D5DC0">
        <w:rPr>
          <w:rFonts w:hint="cs"/>
          <w:rtl/>
        </w:rPr>
        <w:t xml:space="preserve"> כרשות ממונה המשמשת כגורם ביצועי. לעומת זאת, גישת אגף </w:t>
      </w:r>
      <w:r>
        <w:rPr>
          <w:rFonts w:hint="cs"/>
          <w:rtl/>
        </w:rPr>
        <w:t>ה</w:t>
      </w:r>
      <w:r w:rsidRPr="007D5DC0">
        <w:rPr>
          <w:rFonts w:hint="cs"/>
          <w:rtl/>
        </w:rPr>
        <w:t xml:space="preserve">תקציבים, </w:t>
      </w:r>
      <w:r>
        <w:rPr>
          <w:rFonts w:hint="cs"/>
          <w:rtl/>
        </w:rPr>
        <w:t>ש</w:t>
      </w:r>
      <w:r w:rsidRPr="007D5DC0">
        <w:rPr>
          <w:rFonts w:hint="cs"/>
          <w:rtl/>
        </w:rPr>
        <w:t>בה תומכ</w:t>
      </w:r>
      <w:r>
        <w:rPr>
          <w:rFonts w:hint="cs"/>
          <w:rtl/>
        </w:rPr>
        <w:t>ת</w:t>
      </w:r>
      <w:r w:rsidRPr="007D5DC0">
        <w:rPr>
          <w:rFonts w:hint="cs"/>
          <w:rtl/>
        </w:rPr>
        <w:t xml:space="preserve"> רשות החברות הממשלתיות, </w:t>
      </w:r>
      <w:r>
        <w:rPr>
          <w:rFonts w:hint="cs"/>
          <w:rtl/>
        </w:rPr>
        <w:t xml:space="preserve">גורסת כי </w:t>
      </w:r>
      <w:r w:rsidRPr="007D5DC0">
        <w:rPr>
          <w:rFonts w:hint="cs"/>
          <w:rtl/>
        </w:rPr>
        <w:t>ראוי להעביר את סמכויות הביצוע לחברות הממשלתיות לפי תחום פעילותן</w:t>
      </w:r>
      <w:r>
        <w:rPr>
          <w:rFonts w:hint="cs"/>
          <w:rtl/>
        </w:rPr>
        <w:t>, לפי היתרון היחסי שלהן ובהתאם לייעודן</w:t>
      </w:r>
      <w:r w:rsidRPr="007D5DC0">
        <w:rPr>
          <w:rFonts w:hint="cs"/>
          <w:rtl/>
        </w:rPr>
        <w:t>.</w:t>
      </w:r>
    </w:p>
    <w:p w14:paraId="7D08580C" w14:textId="77777777" w:rsidR="00823E3A" w:rsidRDefault="00823E3A" w:rsidP="00B005BC">
      <w:pPr>
        <w:pStyle w:val="100"/>
        <w:rPr>
          <w:rFonts w:ascii="David" w:eastAsia="David" w:hAnsi="David"/>
          <w:rtl/>
        </w:rPr>
      </w:pPr>
      <w:r>
        <w:rPr>
          <w:rFonts w:hint="cs"/>
          <w:rtl/>
        </w:rPr>
        <w:t>בתשובתו של אגף התקציבים למשרד מבקר המדינה מ</w:t>
      </w:r>
      <w:r w:rsidRPr="0083761C">
        <w:rPr>
          <w:rFonts w:hint="cs"/>
          <w:rtl/>
        </w:rPr>
        <w:t xml:space="preserve">דצמבר 2019 (להלן </w:t>
      </w:r>
      <w:r>
        <w:rPr>
          <w:rFonts w:hint="cs"/>
          <w:rtl/>
        </w:rPr>
        <w:t xml:space="preserve">- </w:t>
      </w:r>
      <w:r w:rsidRPr="0083761C">
        <w:rPr>
          <w:rFonts w:hint="cs"/>
          <w:rtl/>
        </w:rPr>
        <w:t xml:space="preserve">תשובת אגף התקציבים) </w:t>
      </w:r>
      <w:r>
        <w:rPr>
          <w:rFonts w:hint="cs"/>
          <w:rtl/>
        </w:rPr>
        <w:t>נאמר:</w:t>
      </w:r>
      <w:r w:rsidRPr="0083761C">
        <w:rPr>
          <w:rFonts w:hint="cs"/>
          <w:rtl/>
        </w:rPr>
        <w:t xml:space="preserve"> "</w:t>
      </w:r>
      <w:r w:rsidRPr="0083761C">
        <w:rPr>
          <w:b/>
          <w:bCs/>
          <w:rtl/>
        </w:rPr>
        <w:t xml:space="preserve">עמדת אגף התקציבים היא שהחברות הממשלתיות צריכות לנהל את פרויקטי </w:t>
      </w:r>
      <w:r w:rsidRPr="0083761C">
        <w:rPr>
          <w:rFonts w:hint="cs"/>
          <w:b/>
          <w:bCs/>
          <w:rtl/>
        </w:rPr>
        <w:t>ה-</w:t>
      </w:r>
      <w:r w:rsidRPr="0083761C">
        <w:rPr>
          <w:b/>
          <w:bCs/>
          <w:rtl/>
        </w:rPr>
        <w:t>PPP שבתחומי אחריותן, לרבות התכנון, המימון, ההקמה וההפעלה, בפרט בתחבורה והסעות המונים. יש חשיבות לשמור על ההפרדה שבין המבצע - חברות התשתית הממשלתיות, לבין הרגולטור הממשלתי שתפקידו להנחות, לפקח ולסייע בייעול התהליך</w:t>
      </w:r>
      <w:r w:rsidRPr="0083761C">
        <w:rPr>
          <w:rFonts w:hint="cs"/>
          <w:rtl/>
        </w:rPr>
        <w:t>" (</w:t>
      </w:r>
      <w:r w:rsidRPr="00B005BC">
        <w:rPr>
          <w:rFonts w:hint="cs"/>
          <w:rtl/>
        </w:rPr>
        <w:t>ההדגשה במקור). כמו כן צוין כי תהליך הביצוע של הפרויקטים הוא יעיל, מהיר ואיכותי יותר כאשר הוא מבוצע בידי חברות התשתית לפי תחומי אחריותן.</w:t>
      </w:r>
      <w:r>
        <w:rPr>
          <w:rFonts w:hint="cs"/>
          <w:rtl/>
        </w:rPr>
        <w:t xml:space="preserve"> בנוסף צוין כי </w:t>
      </w:r>
      <w:r w:rsidRPr="0083761C">
        <w:rPr>
          <w:rFonts w:hint="cs"/>
          <w:b/>
          <w:bCs/>
          <w:rtl/>
        </w:rPr>
        <w:t>"ממחקר שערך הבנק העולמי משנת 2018</w:t>
      </w:r>
      <w:r w:rsidRPr="0083761C">
        <w:rPr>
          <w:rFonts w:ascii="David" w:eastAsia="David" w:hAnsi="David" w:hint="cs"/>
          <w:b/>
          <w:bCs/>
          <w:color w:val="000000"/>
          <w:rtl/>
          <w:lang w:val="he-IL" w:eastAsia="he-IL"/>
        </w:rPr>
        <w:t xml:space="preserve">, שסקר את מדיניות ה-PPP ב-135 מדינות, עולה שתפקידה של יחידת PPP מרכזית, ככל שקיימת, הוא לשמש כגוף </w:t>
      </w:r>
      <w:r w:rsidRPr="0083761C">
        <w:rPr>
          <w:rFonts w:ascii="David" w:eastAsia="David" w:hAnsi="David"/>
          <w:b/>
          <w:bCs/>
          <w:rtl/>
        </w:rPr>
        <w:t>מסייע ומייעץ, ולא לבצע את הפרויקטים בעצמה</w:t>
      </w:r>
      <w:r w:rsidRPr="00A66A85">
        <w:rPr>
          <w:rFonts w:ascii="David" w:eastAsia="David" w:hAnsi="David" w:hint="cs"/>
          <w:rtl/>
        </w:rPr>
        <w:t xml:space="preserve">... </w:t>
      </w:r>
      <w:r>
        <w:rPr>
          <w:rFonts w:ascii="David" w:eastAsia="David" w:hAnsi="David" w:hint="cs"/>
          <w:rtl/>
        </w:rPr>
        <w:t xml:space="preserve">חיסרון נוסף של יחידת </w:t>
      </w:r>
      <w:r>
        <w:rPr>
          <w:rFonts w:ascii="David" w:eastAsia="David" w:hAnsi="David" w:hint="cs"/>
        </w:rPr>
        <w:t>PPP</w:t>
      </w:r>
      <w:r>
        <w:rPr>
          <w:rFonts w:ascii="David" w:eastAsia="David" w:hAnsi="David" w:hint="cs"/>
          <w:rtl/>
        </w:rPr>
        <w:t xml:space="preserve"> ריכוזית עם סמכויות רכש הוא מניעת תחרות ופיזור סיכונים, וכן פגיעה בפיתוח המומחיות הנדרשת בחברות</w:t>
      </w:r>
      <w:r w:rsidRPr="0083761C">
        <w:rPr>
          <w:rFonts w:ascii="David" w:eastAsia="David" w:hAnsi="David" w:hint="cs"/>
          <w:b/>
          <w:bCs/>
          <w:rtl/>
        </w:rPr>
        <w:t>"</w:t>
      </w:r>
      <w:r>
        <w:rPr>
          <w:rFonts w:ascii="David" w:eastAsia="David" w:hAnsi="David" w:hint="cs"/>
          <w:rtl/>
        </w:rPr>
        <w:t xml:space="preserve"> (ההדגשה במקור)</w:t>
      </w:r>
      <w:r w:rsidRPr="0083761C">
        <w:rPr>
          <w:rFonts w:ascii="David" w:eastAsia="David" w:hAnsi="David"/>
          <w:rtl/>
        </w:rPr>
        <w:t>.</w:t>
      </w:r>
      <w:r>
        <w:rPr>
          <w:rFonts w:ascii="David" w:eastAsia="David" w:hAnsi="David" w:hint="cs"/>
          <w:rtl/>
        </w:rPr>
        <w:t xml:space="preserve"> </w:t>
      </w:r>
    </w:p>
    <w:p w14:paraId="1D66C49D" w14:textId="77777777" w:rsidR="00823E3A" w:rsidRPr="0091520F" w:rsidRDefault="00823E3A" w:rsidP="00B005BC">
      <w:pPr>
        <w:pStyle w:val="100"/>
        <w:rPr>
          <w:color w:val="000000"/>
          <w:sz w:val="21"/>
          <w:szCs w:val="21"/>
          <w:rtl/>
          <w:lang w:val="he-IL" w:eastAsia="he-IL"/>
        </w:rPr>
      </w:pPr>
      <w:r>
        <w:rPr>
          <w:rFonts w:hint="cs"/>
          <w:rtl/>
        </w:rPr>
        <w:t>בתשובתה של רשות החברות הממשלתיות למשרד מבקר המדינה מדצמבר 2019 נאמר: "</w:t>
      </w:r>
      <w:r w:rsidRPr="005C77DA">
        <w:rPr>
          <w:rtl/>
        </w:rPr>
        <w:t xml:space="preserve">אנו רואים יתרונות משמעותיים לניהול פרויקט </w:t>
      </w:r>
      <w:r w:rsidRPr="005C77DA">
        <w:rPr>
          <w:rStyle w:val="Bodytext2SmallCaps"/>
          <w:sz w:val="24"/>
        </w:rPr>
        <w:t>ppp</w:t>
      </w:r>
      <w:r w:rsidRPr="005C77DA">
        <w:rPr>
          <w:rtl/>
        </w:rPr>
        <w:t xml:space="preserve"> אל מול היזם הפרטי על־ידי החברה הממשלתית ביחס למתכונת הנוכחית. ניהול זה לטעמנו יהיה יעיל יותר, מתועד וממוקד בשל הידע והניסיון המקצועי הקיים בחברה בהתאם לסוג התשתית</w:t>
      </w:r>
      <w:r>
        <w:rPr>
          <w:rFonts w:hint="cs"/>
          <w:rtl/>
        </w:rPr>
        <w:t>"</w:t>
      </w:r>
      <w:r w:rsidRPr="005C77DA">
        <w:rPr>
          <w:rtl/>
        </w:rPr>
        <w:t>.</w:t>
      </w:r>
      <w:r>
        <w:rPr>
          <w:rFonts w:hint="cs"/>
          <w:color w:val="000000"/>
          <w:sz w:val="21"/>
          <w:szCs w:val="21"/>
          <w:rtl/>
          <w:lang w:val="he-IL" w:eastAsia="he-IL"/>
        </w:rPr>
        <w:t xml:space="preserve"> </w:t>
      </w:r>
      <w:r>
        <w:rPr>
          <w:rFonts w:hint="cs"/>
          <w:rtl/>
        </w:rPr>
        <w:t>בתשובתו של עוזר מנכ"לית משרד התחבורה והבטיחות בדרכים מדצמבר 2019</w:t>
      </w:r>
      <w:r>
        <w:rPr>
          <w:rStyle w:val="FootnoteReference"/>
          <w:rtl/>
        </w:rPr>
        <w:footnoteReference w:id="46"/>
      </w:r>
      <w:r>
        <w:rPr>
          <w:rFonts w:hint="cs"/>
          <w:rtl/>
        </w:rPr>
        <w:t xml:space="preserve"> נאמר: "</w:t>
      </w:r>
      <w:r>
        <w:rPr>
          <w:rtl/>
        </w:rPr>
        <w:t>תפקיד החשב הכללי נכון שייטה משקלו לתפקיד המנחה ולא לתפקיד המוציא לפועל. מבנה ביצוע כאמור, ישפר את היכולת לבצע נכונה את המלאכה, תוך שיפור ניכר במערך התקצוב והביצוע</w:t>
      </w:r>
      <w:r>
        <w:rPr>
          <w:rFonts w:hint="cs"/>
          <w:rtl/>
        </w:rPr>
        <w:t>"</w:t>
      </w:r>
      <w:r>
        <w:rPr>
          <w:rtl/>
        </w:rPr>
        <w:t xml:space="preserve">. </w:t>
      </w:r>
      <w:r>
        <w:rPr>
          <w:rFonts w:hint="cs"/>
          <w:rtl/>
        </w:rPr>
        <w:t xml:space="preserve">לעמדת המשרד הובלת </w:t>
      </w:r>
      <w:r>
        <w:rPr>
          <w:rtl/>
        </w:rPr>
        <w:t>פרויקטים בראשות</w:t>
      </w:r>
      <w:r>
        <w:rPr>
          <w:rFonts w:hint="cs"/>
          <w:rtl/>
        </w:rPr>
        <w:t>ו,</w:t>
      </w:r>
      <w:r>
        <w:rPr>
          <w:rtl/>
        </w:rPr>
        <w:t xml:space="preserve"> באמצעות חברות התשתית</w:t>
      </w:r>
      <w:r>
        <w:rPr>
          <w:rFonts w:hint="cs"/>
          <w:rtl/>
        </w:rPr>
        <w:t xml:space="preserve"> ובליווי משרדי הממשלה</w:t>
      </w:r>
      <w:r>
        <w:rPr>
          <w:rtl/>
        </w:rPr>
        <w:t xml:space="preserve"> תביא ליעילות רבה יותר</w:t>
      </w:r>
      <w:r>
        <w:rPr>
          <w:rFonts w:hint="cs"/>
          <w:rtl/>
        </w:rPr>
        <w:t>.</w:t>
      </w:r>
    </w:p>
    <w:p w14:paraId="089705C6" w14:textId="77777777" w:rsidR="00823E3A" w:rsidRPr="00CC4CB9" w:rsidRDefault="00823E3A" w:rsidP="00B005BC">
      <w:pPr>
        <w:pStyle w:val="100"/>
        <w:rPr>
          <w:rtl/>
        </w:rPr>
      </w:pPr>
      <w:r>
        <w:rPr>
          <w:rFonts w:hint="cs"/>
          <w:rtl/>
          <w:lang w:val="he-IL" w:eastAsia="he-IL"/>
        </w:rPr>
        <w:t>בתשובתה של חטיבת תשתיות ופרויקטים נאמר: "</w:t>
      </w:r>
      <w:r>
        <w:rPr>
          <w:rtl/>
        </w:rPr>
        <w:t>ראוי שכלל פרויקטי ה-</w:t>
      </w:r>
      <w:r w:rsidRPr="00E50E2A">
        <w:t>PPP</w:t>
      </w:r>
      <w:r w:rsidRPr="00E50E2A">
        <w:rPr>
          <w:rtl/>
        </w:rPr>
        <w:t xml:space="preserve"> ירוכזו תחת גורם ממשלתי אחד בעל ידע וניסיון בקידום פרויקטים בשיטה זו, כמקובל במדינות רבות בעולם. לאגף החשב הכללי יש את מירב הידע, הניסיון והראייה הרוחבית של פרויקטים בשיתוף המגזר הפרטי לאחר שיזם וקידם במהלך שני העשורים האחרונים פרויקטי </w:t>
      </w:r>
      <w:r>
        <w:t>…</w:t>
      </w:r>
      <w:r w:rsidRPr="00E50E2A">
        <w:t>PPP</w:t>
      </w:r>
      <w:r>
        <w:rPr>
          <w:rFonts w:hint="cs"/>
          <w:b/>
          <w:bCs/>
          <w:rtl/>
        </w:rPr>
        <w:t xml:space="preserve"> </w:t>
      </w:r>
      <w:r w:rsidRPr="00E50E2A">
        <w:rPr>
          <w:rtl/>
        </w:rPr>
        <w:t xml:space="preserve">נכון לשלב את חברות התשתית הממשלתיות כרשויות ממונות המלוות את הפרויקטים החל משלב הייזום, עבור </w:t>
      </w:r>
      <w:r w:rsidRPr="00E50E2A">
        <w:rPr>
          <w:rFonts w:hint="cs"/>
          <w:rtl/>
        </w:rPr>
        <w:t>ה</w:t>
      </w:r>
      <w:r w:rsidRPr="00E50E2A">
        <w:rPr>
          <w:rtl/>
        </w:rPr>
        <w:t>הליך המכרזי, הקמת הפרויקט ותפעולו</w:t>
      </w:r>
      <w:r w:rsidRPr="00E50E2A">
        <w:rPr>
          <w:rFonts w:hint="cs"/>
          <w:rtl/>
        </w:rPr>
        <w:t>"</w:t>
      </w:r>
      <w:r>
        <w:rPr>
          <w:rFonts w:hint="cs"/>
          <w:rtl/>
        </w:rPr>
        <w:t>.</w:t>
      </w:r>
    </w:p>
    <w:p w14:paraId="3C6031A2" w14:textId="77777777" w:rsidR="00823E3A" w:rsidRPr="00133651" w:rsidRDefault="00823E3A" w:rsidP="00B005BC">
      <w:pPr>
        <w:pStyle w:val="100"/>
        <w:rPr>
          <w:rtl/>
        </w:rPr>
      </w:pPr>
      <w:r w:rsidRPr="0062720A">
        <w:rPr>
          <w:rFonts w:hint="cs"/>
          <w:rtl/>
        </w:rPr>
        <w:t>בתשובת</w:t>
      </w:r>
      <w:r>
        <w:rPr>
          <w:rFonts w:hint="cs"/>
          <w:rtl/>
        </w:rPr>
        <w:t>ו של</w:t>
      </w:r>
      <w:r w:rsidRPr="0062720A">
        <w:rPr>
          <w:rFonts w:hint="cs"/>
          <w:rtl/>
        </w:rPr>
        <w:t xml:space="preserve"> </w:t>
      </w:r>
      <w:r>
        <w:rPr>
          <w:rFonts w:hint="cs"/>
          <w:rtl/>
        </w:rPr>
        <w:t>יועץ למנכ"ל משרד האוצר לטיוטת הדוח שהועברה לעיון השר מ</w:t>
      </w:r>
      <w:r w:rsidRPr="0062720A">
        <w:rPr>
          <w:rFonts w:hint="cs"/>
          <w:rtl/>
        </w:rPr>
        <w:t xml:space="preserve">דצמבר 2019 </w:t>
      </w:r>
      <w:r>
        <w:rPr>
          <w:rFonts w:hint="cs"/>
          <w:rtl/>
        </w:rPr>
        <w:t xml:space="preserve">נמסר: </w:t>
      </w:r>
      <w:r w:rsidRPr="0062720A">
        <w:rPr>
          <w:rFonts w:hint="cs"/>
          <w:rtl/>
        </w:rPr>
        <w:t>"</w:t>
      </w:r>
      <w:r w:rsidRPr="0062720A">
        <w:rPr>
          <w:rtl/>
          <w:lang w:val="he-IL" w:eastAsia="he-IL"/>
        </w:rPr>
        <w:t xml:space="preserve">שר האוצר רואה את סוגיית </w:t>
      </w:r>
      <w:r>
        <w:rPr>
          <w:rFonts w:hint="cs"/>
          <w:rtl/>
          <w:lang w:val="he-IL" w:eastAsia="he-IL"/>
        </w:rPr>
        <w:t>'</w:t>
      </w:r>
      <w:r w:rsidRPr="0062720A">
        <w:rPr>
          <w:rtl/>
          <w:lang w:val="he-IL" w:eastAsia="he-IL"/>
        </w:rPr>
        <w:t xml:space="preserve">מכרזי </w:t>
      </w:r>
      <w:r w:rsidRPr="0062720A">
        <w:rPr>
          <w:lang w:bidi="en-US"/>
        </w:rPr>
        <w:t>PPP</w:t>
      </w:r>
      <w:r>
        <w:rPr>
          <w:rFonts w:hint="cs"/>
          <w:rtl/>
          <w:lang w:val="he-IL" w:eastAsia="he-IL"/>
        </w:rPr>
        <w:t>'</w:t>
      </w:r>
      <w:r w:rsidRPr="0062720A">
        <w:rPr>
          <w:rtl/>
          <w:lang w:val="he-IL" w:eastAsia="he-IL"/>
        </w:rPr>
        <w:t xml:space="preserve"> כסוגיה מימונית, אשר עיקר הניסיון והידע </w:t>
      </w:r>
      <w:r w:rsidRPr="0062720A">
        <w:rPr>
          <w:rtl/>
          <w:lang w:val="he-IL" w:eastAsia="he-IL"/>
        </w:rPr>
        <w:lastRenderedPageBreak/>
        <w:t xml:space="preserve">הנדרש על מנת להביא לביצוע מיטבי של פרויקטי </w:t>
      </w:r>
      <w:r w:rsidRPr="0062720A">
        <w:rPr>
          <w:lang w:bidi="en-US"/>
        </w:rPr>
        <w:t>PPP</w:t>
      </w:r>
      <w:r w:rsidRPr="0062720A">
        <w:rPr>
          <w:rtl/>
          <w:lang w:val="he-IL" w:eastAsia="he-IL"/>
        </w:rPr>
        <w:t xml:space="preserve"> הינם ידע וניסיון פיננסי. באשר על כן, בכוונת שר האוצר להכריע בחיוב את המחלוקת בסוגיית ריכוז ניהול הפרויקטים לטובת עמדת אגף החשב </w:t>
      </w:r>
      <w:r w:rsidRPr="00133651">
        <w:rPr>
          <w:rtl/>
          <w:lang w:val="he-IL" w:eastAsia="he-IL"/>
        </w:rPr>
        <w:t>הכללי ולהקים את ריכוז ניהול פרויקטים כרשות ממונה באגף החשב הכללי</w:t>
      </w:r>
      <w:r w:rsidRPr="00133651">
        <w:rPr>
          <w:rFonts w:hint="cs"/>
          <w:rtl/>
          <w:lang w:val="he-IL" w:eastAsia="he-IL"/>
        </w:rPr>
        <w:t>"</w:t>
      </w:r>
      <w:r w:rsidRPr="00133651">
        <w:rPr>
          <w:rtl/>
          <w:lang w:val="he-IL" w:eastAsia="he-IL"/>
        </w:rPr>
        <w:t>.</w:t>
      </w:r>
    </w:p>
    <w:p w14:paraId="27108736" w14:textId="61541147" w:rsidR="00823E3A" w:rsidRPr="007D5DC0" w:rsidRDefault="00823E3A" w:rsidP="00B005BC">
      <w:pPr>
        <w:pStyle w:val="af5"/>
        <w:rPr>
          <w:rtl/>
        </w:rPr>
      </w:pPr>
      <w:r w:rsidRPr="00133651">
        <w:rPr>
          <w:rFonts w:hint="cs"/>
          <w:rtl/>
        </w:rPr>
        <w:t xml:space="preserve">משרד מבקר המדינה רואה בחיוב את כוונתו של </w:t>
      </w:r>
      <w:r w:rsidRPr="00133651">
        <w:rPr>
          <w:rFonts w:hint="eastAsia"/>
          <w:rtl/>
        </w:rPr>
        <w:t>שר</w:t>
      </w:r>
      <w:r w:rsidRPr="00133651">
        <w:rPr>
          <w:rtl/>
        </w:rPr>
        <w:t xml:space="preserve"> האוצר</w:t>
      </w:r>
      <w:r w:rsidRPr="00133651">
        <w:rPr>
          <w:rFonts w:hint="cs"/>
          <w:rtl/>
        </w:rPr>
        <w:t xml:space="preserve"> להכריע בדבר </w:t>
      </w:r>
      <w:r w:rsidRPr="00133651">
        <w:rPr>
          <w:rFonts w:hint="eastAsia"/>
          <w:rtl/>
        </w:rPr>
        <w:t>זהות</w:t>
      </w:r>
      <w:r w:rsidRPr="00133651">
        <w:rPr>
          <w:rFonts w:hint="cs"/>
          <w:rtl/>
        </w:rPr>
        <w:t>ו של</w:t>
      </w:r>
      <w:r>
        <w:rPr>
          <w:rtl/>
        </w:rPr>
        <w:t xml:space="preserve"> הגורם</w:t>
      </w:r>
      <w:r w:rsidRPr="00133651">
        <w:rPr>
          <w:rFonts w:hint="cs"/>
          <w:rtl/>
        </w:rPr>
        <w:t xml:space="preserve"> </w:t>
      </w:r>
      <w:r w:rsidRPr="00133651">
        <w:rPr>
          <w:rtl/>
        </w:rPr>
        <w:t xml:space="preserve">שינהל את ההתקשרות </w:t>
      </w:r>
      <w:r w:rsidRPr="00133651">
        <w:rPr>
          <w:rFonts w:hint="eastAsia"/>
          <w:rtl/>
        </w:rPr>
        <w:t>במכרזי</w:t>
      </w:r>
      <w:r w:rsidRPr="00F363C4">
        <w:rPr>
          <w:rtl/>
        </w:rPr>
        <w:t xml:space="preserve"> </w:t>
      </w:r>
      <w:r w:rsidRPr="00F363C4">
        <w:t>PPP</w:t>
      </w:r>
      <w:r w:rsidRPr="00F363C4">
        <w:rPr>
          <w:rtl/>
        </w:rPr>
        <w:t xml:space="preserve"> </w:t>
      </w:r>
      <w:r w:rsidRPr="00F363C4">
        <w:rPr>
          <w:rFonts w:hint="eastAsia"/>
          <w:rtl/>
        </w:rPr>
        <w:t>מטעם</w:t>
      </w:r>
      <w:r w:rsidRPr="00F363C4">
        <w:rPr>
          <w:rtl/>
        </w:rPr>
        <w:t xml:space="preserve"> </w:t>
      </w:r>
      <w:r w:rsidRPr="00F363C4">
        <w:rPr>
          <w:rFonts w:hint="eastAsia"/>
          <w:rtl/>
        </w:rPr>
        <w:t>המדינה</w:t>
      </w:r>
      <w:r>
        <w:rPr>
          <w:rFonts w:hint="cs"/>
          <w:rtl/>
        </w:rPr>
        <w:t>. מומלץ כי בבואו לקבל החלטה יבחן השר את עמדות כל הגופים הרלוונטיים, טרם קבלת החלטה. במסגרת ההחלטה ראוי להגדיר את תחומי האחריות והסמכות של הגורם המאסדר ומנהל הפרויקט.</w:t>
      </w:r>
    </w:p>
    <w:p w14:paraId="2317095B" w14:textId="1D3C52D3" w:rsidR="00823E3A" w:rsidRPr="00BA7F8A" w:rsidRDefault="00823E3A" w:rsidP="00B005BC">
      <w:pPr>
        <w:pStyle w:val="414"/>
        <w:rPr>
          <w:rtl/>
        </w:rPr>
      </w:pPr>
      <w:r>
        <w:rPr>
          <w:rFonts w:hint="cs"/>
          <w:rtl/>
        </w:rPr>
        <w:t xml:space="preserve">קווים מנחים לעניין </w:t>
      </w:r>
      <w:r w:rsidRPr="007D5DC0">
        <w:rPr>
          <w:rFonts w:hint="cs"/>
          <w:rtl/>
        </w:rPr>
        <w:t xml:space="preserve">חשש לניגודי עניינים </w:t>
      </w:r>
      <w:r>
        <w:rPr>
          <w:rFonts w:hint="cs"/>
          <w:rtl/>
        </w:rPr>
        <w:t xml:space="preserve">ולריכוז הערכות התפקוד </w:t>
      </w:r>
      <w:r w:rsidRPr="007D5DC0">
        <w:rPr>
          <w:rFonts w:hint="cs"/>
          <w:rtl/>
        </w:rPr>
        <w:t xml:space="preserve">של </w:t>
      </w:r>
      <w:r>
        <w:rPr>
          <w:rFonts w:hint="cs"/>
          <w:rtl/>
        </w:rPr>
        <w:t>ה</w:t>
      </w:r>
      <w:r w:rsidRPr="007D5DC0">
        <w:rPr>
          <w:rFonts w:hint="cs"/>
          <w:rtl/>
        </w:rPr>
        <w:t xml:space="preserve">יועצים </w:t>
      </w:r>
      <w:r>
        <w:rPr>
          <w:rFonts w:hint="cs"/>
          <w:rtl/>
        </w:rPr>
        <w:t>ה</w:t>
      </w:r>
      <w:r w:rsidRPr="007D5DC0">
        <w:rPr>
          <w:rFonts w:hint="cs"/>
          <w:rtl/>
        </w:rPr>
        <w:t>מקצועיים</w:t>
      </w:r>
    </w:p>
    <w:p w14:paraId="23625ABC" w14:textId="326E7176" w:rsidR="00823E3A" w:rsidRPr="00B005BC" w:rsidRDefault="00823E3A" w:rsidP="00B005BC">
      <w:pPr>
        <w:pStyle w:val="100"/>
        <w:rPr>
          <w:rFonts w:ascii="David"/>
          <w:sz w:val="24"/>
          <w:rtl/>
        </w:rPr>
      </w:pPr>
      <w:r>
        <w:rPr>
          <w:rFonts w:ascii="David" w:hint="cs"/>
          <w:sz w:val="24"/>
          <w:rtl/>
        </w:rPr>
        <w:t xml:space="preserve">הגוף המנהל את המכרז מטעם המדינה מקים </w:t>
      </w:r>
      <w:r w:rsidRPr="00BA7F8A">
        <w:rPr>
          <w:rFonts w:ascii="David" w:hint="cs"/>
          <w:sz w:val="24"/>
          <w:rtl/>
        </w:rPr>
        <w:t>בכל פרויקט</w:t>
      </w:r>
      <w:r>
        <w:rPr>
          <w:rFonts w:ascii="David" w:hint="cs"/>
          <w:sz w:val="24"/>
          <w:rtl/>
        </w:rPr>
        <w:t xml:space="preserve"> </w:t>
      </w:r>
      <w:r w:rsidRPr="00BA7F8A">
        <w:rPr>
          <w:rFonts w:ascii="David" w:hint="cs"/>
          <w:sz w:val="24"/>
          <w:rtl/>
        </w:rPr>
        <w:t xml:space="preserve">צוות </w:t>
      </w:r>
      <w:r>
        <w:rPr>
          <w:rFonts w:ascii="David" w:hint="cs"/>
          <w:sz w:val="24"/>
          <w:rtl/>
        </w:rPr>
        <w:t xml:space="preserve">תכנון של יועצים מקצועיים </w:t>
      </w:r>
      <w:r w:rsidRPr="00BA7F8A">
        <w:rPr>
          <w:rFonts w:ascii="David" w:hint="cs"/>
          <w:sz w:val="24"/>
          <w:rtl/>
        </w:rPr>
        <w:t>מ</w:t>
      </w:r>
      <w:r>
        <w:rPr>
          <w:rFonts w:ascii="David" w:hint="cs"/>
          <w:sz w:val="24"/>
          <w:rtl/>
        </w:rPr>
        <w:t>תחומים רבים</w:t>
      </w:r>
      <w:r w:rsidRPr="00BA7F8A">
        <w:rPr>
          <w:rFonts w:ascii="David" w:hint="cs"/>
          <w:sz w:val="24"/>
          <w:rtl/>
        </w:rPr>
        <w:t xml:space="preserve">, </w:t>
      </w:r>
      <w:r>
        <w:rPr>
          <w:rFonts w:ascii="David" w:hint="cs"/>
          <w:sz w:val="24"/>
          <w:rtl/>
        </w:rPr>
        <w:t xml:space="preserve">והם </w:t>
      </w:r>
      <w:r w:rsidRPr="00BA7F8A">
        <w:rPr>
          <w:rFonts w:ascii="David" w:hint="cs"/>
          <w:sz w:val="24"/>
          <w:rtl/>
        </w:rPr>
        <w:t>אמונים על אפיון הפרויקט כולו באופן שיתא</w:t>
      </w:r>
      <w:r>
        <w:rPr>
          <w:rFonts w:ascii="David" w:hint="cs"/>
          <w:sz w:val="24"/>
          <w:rtl/>
        </w:rPr>
        <w:t>י</w:t>
      </w:r>
      <w:r w:rsidRPr="00BA7F8A">
        <w:rPr>
          <w:rFonts w:ascii="David" w:hint="cs"/>
          <w:sz w:val="24"/>
          <w:rtl/>
        </w:rPr>
        <w:t>ם לדריש</w:t>
      </w:r>
      <w:r>
        <w:rPr>
          <w:rFonts w:ascii="David" w:hint="cs"/>
          <w:sz w:val="24"/>
          <w:rtl/>
        </w:rPr>
        <w:t>ותיו</w:t>
      </w:r>
      <w:r w:rsidRPr="00BA7F8A">
        <w:rPr>
          <w:rFonts w:ascii="David" w:hint="cs"/>
          <w:sz w:val="24"/>
          <w:rtl/>
        </w:rPr>
        <w:t>. למשל, צוות תכנון של פרויקט</w:t>
      </w:r>
      <w:r>
        <w:rPr>
          <w:rFonts w:ascii="David" w:hint="cs"/>
          <w:sz w:val="24"/>
          <w:rtl/>
        </w:rPr>
        <w:t xml:space="preserve"> עשוי לכלול</w:t>
      </w:r>
      <w:r w:rsidRPr="00BA7F8A">
        <w:rPr>
          <w:rFonts w:ascii="David" w:hint="cs"/>
          <w:sz w:val="24"/>
          <w:rtl/>
        </w:rPr>
        <w:t xml:space="preserve"> אדריכלים, </w:t>
      </w:r>
      <w:r>
        <w:rPr>
          <w:rFonts w:ascii="David" w:hint="cs"/>
          <w:sz w:val="24"/>
          <w:rtl/>
        </w:rPr>
        <w:t>מהנדסים</w:t>
      </w:r>
      <w:r w:rsidRPr="00BA7F8A">
        <w:rPr>
          <w:rFonts w:ascii="David" w:hint="cs"/>
          <w:sz w:val="24"/>
          <w:rtl/>
        </w:rPr>
        <w:t>, מתכנני חשמל, מתכנני מיזוג אוויר, מתכנני מעליות, מתכנני נגישו</w:t>
      </w:r>
      <w:r>
        <w:rPr>
          <w:rFonts w:ascii="David" w:hint="cs"/>
          <w:sz w:val="24"/>
          <w:rtl/>
        </w:rPr>
        <w:t>ת, מתכנני מים, מתכנני תנועה ועוד. צוות היועצים המקצועיים כולל גם יועץ משפטי ויועץ פיננסי. מן העבר השני, כל מציע מכרז מעסיק גם הוא צוות מתכננים משלו כדי להגיש את כל תוצרי התכנ</w:t>
      </w:r>
      <w:r w:rsidR="00B005BC">
        <w:rPr>
          <w:rFonts w:ascii="David" w:hint="cs"/>
          <w:sz w:val="24"/>
          <w:rtl/>
        </w:rPr>
        <w:t>ון הנדרשים בכל אחד משלבי המכרז.</w:t>
      </w:r>
    </w:p>
    <w:p w14:paraId="0F3FA8DB" w14:textId="77777777" w:rsidR="00823E3A" w:rsidRDefault="00823E3A" w:rsidP="00B005BC">
      <w:pPr>
        <w:pStyle w:val="100"/>
        <w:rPr>
          <w:rtl/>
        </w:rPr>
      </w:pPr>
      <w:r w:rsidRPr="00FD281F">
        <w:rPr>
          <w:rFonts w:ascii="David" w:hint="cs"/>
          <w:sz w:val="24"/>
          <w:rtl/>
        </w:rPr>
        <w:t xml:space="preserve">צוות היועצים המקצועיים יכול </w:t>
      </w:r>
      <w:r>
        <w:rPr>
          <w:rFonts w:ascii="David" w:hint="cs"/>
          <w:sz w:val="24"/>
          <w:rtl/>
        </w:rPr>
        <w:t xml:space="preserve">להשפיע </w:t>
      </w:r>
      <w:r w:rsidRPr="00FD281F">
        <w:rPr>
          <w:rFonts w:ascii="David" w:hint="cs"/>
          <w:sz w:val="24"/>
          <w:rtl/>
        </w:rPr>
        <w:t xml:space="preserve">על התנהלות המכרז בכל אחד משלביו. </w:t>
      </w:r>
      <w:r>
        <w:rPr>
          <w:rFonts w:ascii="David" w:hint="cs"/>
          <w:sz w:val="24"/>
          <w:rtl/>
        </w:rPr>
        <w:t xml:space="preserve">אם </w:t>
      </w:r>
      <w:r w:rsidRPr="00FD281F">
        <w:rPr>
          <w:rFonts w:ascii="David" w:hint="cs"/>
          <w:sz w:val="24"/>
          <w:rtl/>
        </w:rPr>
        <w:t xml:space="preserve">היועץ המקצועי נותן שירותי </w:t>
      </w:r>
      <w:r>
        <w:rPr>
          <w:rFonts w:ascii="David" w:hint="cs"/>
          <w:sz w:val="24"/>
          <w:rtl/>
        </w:rPr>
        <w:t>י</w:t>
      </w:r>
      <w:r w:rsidRPr="00FD281F">
        <w:rPr>
          <w:rFonts w:ascii="David" w:hint="cs"/>
          <w:sz w:val="24"/>
          <w:rtl/>
        </w:rPr>
        <w:t xml:space="preserve">יעוץ לגוף העורך את המכרז ובה בעת הוא מעניק שירותים בתשלום לאחד המציעים במסגרת פרויקטים אחרים, עולה חשש לניגוד עניינים של היועץ </w:t>
      </w:r>
      <w:r>
        <w:rPr>
          <w:rFonts w:ascii="David" w:hint="cs"/>
          <w:sz w:val="24"/>
          <w:rtl/>
        </w:rPr>
        <w:t xml:space="preserve">בשל </w:t>
      </w:r>
      <w:r w:rsidRPr="00FD281F">
        <w:rPr>
          <w:rFonts w:ascii="David" w:hint="cs"/>
          <w:sz w:val="24"/>
          <w:rtl/>
        </w:rPr>
        <w:t>יכולת</w:t>
      </w:r>
      <w:r>
        <w:rPr>
          <w:rFonts w:ascii="David" w:hint="cs"/>
          <w:sz w:val="24"/>
          <w:rtl/>
        </w:rPr>
        <w:t xml:space="preserve">ו להשפיע </w:t>
      </w:r>
      <w:r w:rsidRPr="00FD281F">
        <w:rPr>
          <w:rFonts w:ascii="David" w:hint="cs"/>
          <w:sz w:val="24"/>
          <w:rtl/>
        </w:rPr>
        <w:t xml:space="preserve">על המכרזים </w:t>
      </w:r>
      <w:r>
        <w:rPr>
          <w:rFonts w:ascii="David" w:hint="cs"/>
          <w:sz w:val="24"/>
          <w:rtl/>
        </w:rPr>
        <w:t>ה</w:t>
      </w:r>
      <w:r w:rsidRPr="00FD281F">
        <w:rPr>
          <w:rFonts w:ascii="David" w:hint="cs"/>
          <w:sz w:val="24"/>
          <w:rtl/>
        </w:rPr>
        <w:t xml:space="preserve">עלולה להקנות יתרון בלתי הוגן למציע מסוים. </w:t>
      </w:r>
      <w:r>
        <w:rPr>
          <w:rFonts w:ascii="David" w:hint="cs"/>
          <w:sz w:val="24"/>
          <w:rtl/>
        </w:rPr>
        <w:t xml:space="preserve">בשל ההיצע המצומצם של </w:t>
      </w:r>
      <w:r w:rsidRPr="00FD281F">
        <w:rPr>
          <w:rFonts w:ascii="David" w:hint="cs"/>
          <w:sz w:val="24"/>
          <w:rtl/>
        </w:rPr>
        <w:t xml:space="preserve">צוות יועצים מקצועיים </w:t>
      </w:r>
      <w:r>
        <w:rPr>
          <w:rFonts w:ascii="David" w:hint="cs"/>
          <w:sz w:val="24"/>
          <w:rtl/>
        </w:rPr>
        <w:t>בתחומים מסוימים</w:t>
      </w:r>
      <w:r w:rsidRPr="00FD281F">
        <w:rPr>
          <w:rFonts w:ascii="David" w:hint="cs"/>
          <w:sz w:val="24"/>
          <w:rtl/>
        </w:rPr>
        <w:t xml:space="preserve"> וכך גם </w:t>
      </w:r>
      <w:r>
        <w:rPr>
          <w:rFonts w:ascii="David" w:hint="cs"/>
          <w:sz w:val="24"/>
          <w:rtl/>
        </w:rPr>
        <w:t xml:space="preserve">ההיצע של </w:t>
      </w:r>
      <w:r w:rsidRPr="00FD281F">
        <w:rPr>
          <w:rFonts w:ascii="David" w:hint="cs"/>
          <w:sz w:val="24"/>
          <w:rtl/>
        </w:rPr>
        <w:t xml:space="preserve">הגורמים </w:t>
      </w:r>
      <w:r>
        <w:rPr>
          <w:rFonts w:ascii="David" w:hint="cs"/>
          <w:sz w:val="24"/>
          <w:rtl/>
        </w:rPr>
        <w:t>ה</w:t>
      </w:r>
      <w:r w:rsidRPr="00FD281F">
        <w:rPr>
          <w:rFonts w:ascii="David" w:hint="cs"/>
          <w:sz w:val="24"/>
          <w:rtl/>
        </w:rPr>
        <w:t>עורכים את המכרזים ו</w:t>
      </w:r>
      <w:r>
        <w:rPr>
          <w:rFonts w:ascii="David" w:hint="cs"/>
          <w:sz w:val="24"/>
          <w:rtl/>
        </w:rPr>
        <w:t xml:space="preserve">של </w:t>
      </w:r>
      <w:r w:rsidRPr="00FD281F">
        <w:rPr>
          <w:rFonts w:ascii="David" w:hint="cs"/>
          <w:sz w:val="24"/>
          <w:rtl/>
        </w:rPr>
        <w:t xml:space="preserve">מספר המציעים, גובר החשש כאמור. </w:t>
      </w:r>
      <w:r>
        <w:rPr>
          <w:rFonts w:ascii="David" w:hint="cs"/>
          <w:sz w:val="24"/>
          <w:rtl/>
        </w:rPr>
        <w:t xml:space="preserve">משרד הביטחון מטפל </w:t>
      </w:r>
      <w:r w:rsidRPr="00FD281F">
        <w:rPr>
          <w:rFonts w:ascii="David" w:hint="cs"/>
          <w:sz w:val="24"/>
          <w:rtl/>
        </w:rPr>
        <w:t xml:space="preserve">בניגודי עניינים בפרויקטים </w:t>
      </w:r>
      <w:r>
        <w:rPr>
          <w:rFonts w:ascii="David" w:hint="cs"/>
          <w:sz w:val="24"/>
          <w:rtl/>
        </w:rPr>
        <w:t>ש</w:t>
      </w:r>
      <w:r w:rsidRPr="00FD281F">
        <w:rPr>
          <w:rFonts w:ascii="David" w:hint="cs"/>
          <w:sz w:val="24"/>
          <w:rtl/>
        </w:rPr>
        <w:t xml:space="preserve">בהם </w:t>
      </w:r>
      <w:r>
        <w:rPr>
          <w:rFonts w:ascii="David" w:hint="cs"/>
          <w:sz w:val="24"/>
          <w:rtl/>
        </w:rPr>
        <w:t xml:space="preserve">הוא </w:t>
      </w:r>
      <w:r w:rsidRPr="00FD281F">
        <w:rPr>
          <w:rFonts w:ascii="David" w:hint="cs"/>
          <w:sz w:val="24"/>
          <w:rtl/>
        </w:rPr>
        <w:t>מתקשר עם זכיינים פרטיים</w:t>
      </w:r>
      <w:r>
        <w:rPr>
          <w:rFonts w:ascii="David" w:hint="cs"/>
          <w:sz w:val="24"/>
          <w:rtl/>
        </w:rPr>
        <w:t xml:space="preserve"> באמצעות מתודולוגיה ייעודית,</w:t>
      </w:r>
      <w:r w:rsidRPr="00FD281F">
        <w:rPr>
          <w:rFonts w:ascii="David" w:hint="cs"/>
          <w:sz w:val="24"/>
          <w:rtl/>
        </w:rPr>
        <w:t xml:space="preserve"> </w:t>
      </w:r>
      <w:r>
        <w:rPr>
          <w:rFonts w:ascii="David" w:hint="cs"/>
          <w:sz w:val="24"/>
          <w:rtl/>
        </w:rPr>
        <w:t>אך במשרדים האחרים אין מתודולוגיה לשם כך</w:t>
      </w:r>
      <w:r>
        <w:rPr>
          <w:rStyle w:val="FootnoteReference"/>
          <w:rFonts w:ascii="David"/>
          <w:sz w:val="24"/>
          <w:rtl/>
        </w:rPr>
        <w:footnoteReference w:id="47"/>
      </w:r>
      <w:r w:rsidRPr="00FD281F">
        <w:rPr>
          <w:rFonts w:ascii="David" w:hint="cs"/>
          <w:sz w:val="24"/>
          <w:rtl/>
        </w:rPr>
        <w:t xml:space="preserve">. המתודולוגיה כוללת מינוי ועדת משנה לניגוד עניינים אשר </w:t>
      </w:r>
      <w:r>
        <w:rPr>
          <w:rFonts w:ascii="David" w:hint="cs"/>
          <w:sz w:val="24"/>
          <w:rtl/>
        </w:rPr>
        <w:t xml:space="preserve">תפקידיה הם </w:t>
      </w:r>
      <w:r w:rsidRPr="00FD281F">
        <w:rPr>
          <w:rFonts w:ascii="David" w:hint="cs"/>
          <w:sz w:val="24"/>
          <w:rtl/>
        </w:rPr>
        <w:t xml:space="preserve">(א) קביעת מדיניות בנושא מניעת ניגוד עניינים; (ב) מיפוי כל המקרים </w:t>
      </w:r>
      <w:r>
        <w:rPr>
          <w:rFonts w:ascii="David" w:hint="cs"/>
          <w:sz w:val="24"/>
          <w:rtl/>
        </w:rPr>
        <w:t>ש</w:t>
      </w:r>
      <w:r w:rsidRPr="00FD281F">
        <w:rPr>
          <w:rFonts w:ascii="David" w:hint="cs"/>
          <w:sz w:val="24"/>
          <w:rtl/>
        </w:rPr>
        <w:t xml:space="preserve">יועצים המועסקים על ידי המשרד בפרויקטי </w:t>
      </w:r>
      <w:r w:rsidRPr="00FD281F">
        <w:rPr>
          <w:rFonts w:ascii="David"/>
          <w:sz w:val="24"/>
        </w:rPr>
        <w:t>PPP</w:t>
      </w:r>
      <w:r w:rsidRPr="00FD281F">
        <w:rPr>
          <w:rFonts w:ascii="David" w:hint="cs"/>
          <w:sz w:val="24"/>
          <w:rtl/>
        </w:rPr>
        <w:t xml:space="preserve"> מועסקים גם על ידי מציעים בפרויקטים; (ג) בחינת כל מקרה לגופו; (ד) החלטה ביחס לכל יועץ אם </w:t>
      </w:r>
      <w:r>
        <w:rPr>
          <w:rFonts w:ascii="David" w:hint="cs"/>
          <w:sz w:val="24"/>
          <w:rtl/>
        </w:rPr>
        <w:t xml:space="preserve">המציעים או המשרד יכולים </w:t>
      </w:r>
      <w:r w:rsidRPr="00FD281F">
        <w:rPr>
          <w:rFonts w:ascii="David" w:hint="cs"/>
          <w:sz w:val="24"/>
          <w:rtl/>
        </w:rPr>
        <w:t xml:space="preserve">להמשיך </w:t>
      </w:r>
      <w:r>
        <w:rPr>
          <w:rFonts w:ascii="David" w:hint="cs"/>
          <w:sz w:val="24"/>
          <w:rtl/>
        </w:rPr>
        <w:t xml:space="preserve">להעסיקו ובאילו </w:t>
      </w:r>
      <w:r w:rsidRPr="00FD281F">
        <w:rPr>
          <w:rFonts w:ascii="David" w:hint="cs"/>
          <w:sz w:val="24"/>
          <w:rtl/>
        </w:rPr>
        <w:t>תנאים.</w:t>
      </w:r>
    </w:p>
    <w:p w14:paraId="325042EC" w14:textId="6F0BCCFE" w:rsidR="00823E3A" w:rsidRDefault="00823E3A" w:rsidP="00B005BC">
      <w:pPr>
        <w:pStyle w:val="af5"/>
        <w:rPr>
          <w:rtl/>
        </w:rPr>
      </w:pPr>
      <w:r w:rsidRPr="00D67109">
        <w:rPr>
          <w:rFonts w:hint="cs"/>
          <w:rtl/>
        </w:rPr>
        <w:lastRenderedPageBreak/>
        <w:t xml:space="preserve">משרד מבקר המדינה </w:t>
      </w:r>
      <w:r>
        <w:rPr>
          <w:rFonts w:hint="cs"/>
          <w:rtl/>
        </w:rPr>
        <w:t>ממליץ</w:t>
      </w:r>
      <w:r w:rsidRPr="00D67109">
        <w:rPr>
          <w:rFonts w:hint="cs"/>
          <w:rtl/>
        </w:rPr>
        <w:t xml:space="preserve"> לחשב הכללי </w:t>
      </w:r>
      <w:r>
        <w:rPr>
          <w:rFonts w:hint="cs"/>
          <w:rtl/>
        </w:rPr>
        <w:t>לקבוע תקן אחיד לכל משרדי הממשלה להתקשרות עם זכיינים פרטיים</w:t>
      </w:r>
      <w:r w:rsidRPr="00FD6BD0">
        <w:rPr>
          <w:rFonts w:hint="cs"/>
          <w:rtl/>
        </w:rPr>
        <w:t xml:space="preserve"> </w:t>
      </w:r>
      <w:r w:rsidRPr="00D67109">
        <w:rPr>
          <w:rFonts w:hint="cs"/>
          <w:rtl/>
        </w:rPr>
        <w:t xml:space="preserve">בפרויקטים בשיטת </w:t>
      </w:r>
      <w:r w:rsidRPr="00D67109">
        <w:rPr>
          <w:rFonts w:hint="cs"/>
        </w:rPr>
        <w:t>PPP</w:t>
      </w:r>
      <w:r>
        <w:rPr>
          <w:rFonts w:hint="cs"/>
          <w:rtl/>
        </w:rPr>
        <w:t>, הכולל קווים מנחים לטיפול במקרים שבהם עולה החשש לניגודי עניינים של היועצים המקצועיים. התקן ישפר את ההתמודדות של הממשלה עם מקרים אלו. כמו כן ראוי לבחון את הערכות התפקוד של יועצים מקצועיים אלה המבוססות על פרויקטים קודמים כדי להשיא את תועלת ההתקשרות עימם בעתיד.</w:t>
      </w:r>
    </w:p>
    <w:p w14:paraId="1FDFD07F" w14:textId="706D4EEE" w:rsidR="00823E3A" w:rsidRPr="0038134C" w:rsidRDefault="00823E3A" w:rsidP="00B005BC">
      <w:pPr>
        <w:pStyle w:val="100"/>
        <w:rPr>
          <w:rtl/>
        </w:rPr>
      </w:pPr>
      <w:r>
        <w:rPr>
          <w:rFonts w:hint="cs"/>
          <w:rtl/>
        </w:rPr>
        <w:t xml:space="preserve">אגף התקציבים ציין בתשובתו כי האגף תומך בקידום תהליכי סטנדרטיזציה ובהחלתם במסגרת ייעול שלבי הקידום של פרויקטי התשתיות, לרבות באמצעות החלת דירוג ספקים, בדומה לנעשה בתהליכי הרכש של משרד הביטחון. </w:t>
      </w:r>
    </w:p>
    <w:p w14:paraId="684E5427" w14:textId="77777777" w:rsidR="00823E3A" w:rsidRPr="00AC6B0C" w:rsidRDefault="00823E3A" w:rsidP="001B58E5">
      <w:pPr>
        <w:pStyle w:val="218"/>
      </w:pPr>
      <w:r w:rsidRPr="00B005BC">
        <w:rPr>
          <w:rFonts w:hint="eastAsia"/>
          <w:rtl/>
        </w:rPr>
        <w:t>היבטים</w:t>
      </w:r>
      <w:r w:rsidRPr="00661180">
        <w:rPr>
          <w:rtl/>
        </w:rPr>
        <w:t xml:space="preserve"> </w:t>
      </w:r>
      <w:r w:rsidRPr="001B58E5">
        <w:rPr>
          <w:rFonts w:hint="eastAsia"/>
          <w:rtl/>
        </w:rPr>
        <w:t>כלכליים</w:t>
      </w:r>
      <w:r w:rsidRPr="00661180">
        <w:rPr>
          <w:rtl/>
        </w:rPr>
        <w:t xml:space="preserve"> </w:t>
      </w:r>
      <w:r w:rsidRPr="00661180">
        <w:rPr>
          <w:rFonts w:hint="eastAsia"/>
          <w:rtl/>
        </w:rPr>
        <w:t>בקידום</w:t>
      </w:r>
      <w:r w:rsidRPr="00661180">
        <w:rPr>
          <w:rtl/>
        </w:rPr>
        <w:t xml:space="preserve"> </w:t>
      </w:r>
      <w:r w:rsidRPr="00B005BC">
        <w:rPr>
          <w:rFonts w:hint="eastAsia"/>
          <w:rtl/>
        </w:rPr>
        <w:t>פרויקטים</w:t>
      </w:r>
      <w:r w:rsidRPr="00B005BC">
        <w:rPr>
          <w:rFonts w:hint="cs"/>
          <w:rtl/>
        </w:rPr>
        <w:t xml:space="preserve"> ובהקמתם</w:t>
      </w:r>
      <w:r w:rsidRPr="00B005BC">
        <w:rPr>
          <w:rtl/>
        </w:rPr>
        <w:t xml:space="preserve"> </w:t>
      </w:r>
      <w:r w:rsidRPr="00B005BC">
        <w:rPr>
          <w:rFonts w:hint="eastAsia"/>
          <w:rtl/>
        </w:rPr>
        <w:t>בשיתוף</w:t>
      </w:r>
      <w:r w:rsidRPr="00B005BC">
        <w:rPr>
          <w:rtl/>
        </w:rPr>
        <w:t xml:space="preserve"> </w:t>
      </w:r>
      <w:r w:rsidRPr="00B005BC">
        <w:rPr>
          <w:rFonts w:hint="eastAsia"/>
          <w:rtl/>
        </w:rPr>
        <w:t>המגזר</w:t>
      </w:r>
      <w:r w:rsidRPr="00B005BC">
        <w:rPr>
          <w:rtl/>
        </w:rPr>
        <w:t xml:space="preserve"> </w:t>
      </w:r>
      <w:r w:rsidRPr="00B005BC">
        <w:rPr>
          <w:rFonts w:hint="eastAsia"/>
          <w:rtl/>
        </w:rPr>
        <w:t>הפרטי</w:t>
      </w:r>
    </w:p>
    <w:p w14:paraId="1FFF48F7" w14:textId="77777777" w:rsidR="00823E3A" w:rsidRDefault="00823E3A" w:rsidP="00B005BC">
      <w:pPr>
        <w:pStyle w:val="316"/>
        <w:rPr>
          <w:rtl/>
        </w:rPr>
      </w:pPr>
      <w:r>
        <w:rPr>
          <w:rFonts w:hint="cs"/>
          <w:rtl/>
        </w:rPr>
        <w:t>הנטל התקציבי</w:t>
      </w:r>
    </w:p>
    <w:p w14:paraId="1F9EFBAE" w14:textId="77777777" w:rsidR="00823E3A" w:rsidRPr="00F93E70" w:rsidRDefault="00823E3A" w:rsidP="00B005BC">
      <w:pPr>
        <w:pStyle w:val="414"/>
        <w:rPr>
          <w:rtl/>
        </w:rPr>
      </w:pPr>
      <w:r w:rsidRPr="002E4052">
        <w:rPr>
          <w:rFonts w:hint="cs"/>
          <w:rtl/>
        </w:rPr>
        <w:t>עמידה ב</w:t>
      </w:r>
      <w:r>
        <w:rPr>
          <w:rFonts w:hint="cs"/>
          <w:rtl/>
        </w:rPr>
        <w:t xml:space="preserve">כללים </w:t>
      </w:r>
      <w:r w:rsidRPr="002E4052">
        <w:rPr>
          <w:rFonts w:hint="cs"/>
          <w:rtl/>
        </w:rPr>
        <w:t>פיסקליים</w:t>
      </w:r>
    </w:p>
    <w:p w14:paraId="366C1CF1" w14:textId="77777777" w:rsidR="00823E3A" w:rsidRDefault="00823E3A" w:rsidP="00B005BC">
      <w:pPr>
        <w:pStyle w:val="100"/>
        <w:rPr>
          <w:rtl/>
        </w:rPr>
      </w:pPr>
      <w:r>
        <w:rPr>
          <w:rFonts w:hint="cs"/>
          <w:rtl/>
        </w:rPr>
        <w:t>תקציב המדינה הוא הכלי העיקרי ליישום המדיניות הכלכלית של הממשלה והוא משקף את יעדיה ואת סדרי העדיפות של חלוקת המשאבים העומדים לרשותה. עמידה בתוואי התקציב העתידי היא אדן מרכזי הנחוץ לשמירה על חוסנה הכלכלי של המדינה ועל הקיימו</w:t>
      </w:r>
      <w:r>
        <w:rPr>
          <w:rFonts w:hint="eastAsia"/>
          <w:rtl/>
        </w:rPr>
        <w:t>ּ</w:t>
      </w:r>
      <w:r>
        <w:rPr>
          <w:rFonts w:hint="cs"/>
          <w:rtl/>
        </w:rPr>
        <w:t xml:space="preserve">ת הפיסקלית לדורות הבאים. השימוש בכלים פיסקליים לשם שליטה בהוצאות הממשלה מקובל במדינות רבות ומעוגן בהמלצות של ארגונים בין-לאומיים, לרבות מדינות האיחוד האירופי וארגון </w:t>
      </w:r>
      <w:r>
        <w:rPr>
          <w:rFonts w:hint="cs"/>
        </w:rPr>
        <w:t>OECD</w:t>
      </w:r>
      <w:r>
        <w:rPr>
          <w:rStyle w:val="FootnoteReference"/>
          <w:rtl/>
        </w:rPr>
        <w:footnoteReference w:id="48"/>
      </w:r>
      <w:r>
        <w:rPr>
          <w:rFonts w:hint="cs"/>
          <w:rtl/>
        </w:rPr>
        <w:t>. בישראל קובע חוק הפחתת הגירעון והגבלת ההוצאה התקציבית, התשנ"ב-1992, שני כללים פיסקליים - מגבלת הגירעון</w:t>
      </w:r>
      <w:r>
        <w:rPr>
          <w:rStyle w:val="FootnoteReference"/>
          <w:rtl/>
        </w:rPr>
        <w:footnoteReference w:id="49"/>
      </w:r>
      <w:r>
        <w:rPr>
          <w:rFonts w:hint="cs"/>
          <w:rtl/>
        </w:rPr>
        <w:t xml:space="preserve"> ומגבלת ההוצאה</w:t>
      </w:r>
      <w:r>
        <w:rPr>
          <w:rStyle w:val="FootnoteReference"/>
          <w:rtl/>
        </w:rPr>
        <w:footnoteReference w:id="50"/>
      </w:r>
      <w:r>
        <w:rPr>
          <w:rFonts w:hint="cs"/>
          <w:rtl/>
        </w:rPr>
        <w:t>.</w:t>
      </w:r>
      <w:r>
        <w:rPr>
          <w:rtl/>
        </w:rPr>
        <w:t xml:space="preserve"> </w:t>
      </w:r>
    </w:p>
    <w:p w14:paraId="2CB68C30" w14:textId="77777777" w:rsidR="00823E3A" w:rsidRDefault="00823E3A" w:rsidP="00B005BC">
      <w:pPr>
        <w:pStyle w:val="100"/>
        <w:rPr>
          <w:rtl/>
        </w:rPr>
      </w:pPr>
      <w:r>
        <w:rPr>
          <w:rFonts w:hint="cs"/>
          <w:rtl/>
        </w:rPr>
        <w:t xml:space="preserve">בשנת 2015 נעשה תיקון לחוק יסודות התקציב שנועד לעגן בחקיקה את הצורך במעקב שוטף אחר התחייבויות הממשלה ובהידוק השליטה הפיסקלית כפי שעלה מסקירת כלכלת ישראל </w:t>
      </w:r>
      <w:r>
        <w:rPr>
          <w:rFonts w:hint="cs"/>
          <w:rtl/>
        </w:rPr>
        <w:lastRenderedPageBreak/>
        <w:t xml:space="preserve">מטעם ארגון </w:t>
      </w:r>
      <w:r>
        <w:rPr>
          <w:rFonts w:hint="cs"/>
        </w:rPr>
        <w:t>OECD</w:t>
      </w:r>
      <w:r>
        <w:rPr>
          <w:rStyle w:val="FootnoteReference"/>
          <w:rtl/>
        </w:rPr>
        <w:footnoteReference w:id="51"/>
      </w:r>
      <w:r>
        <w:rPr>
          <w:rFonts w:hint="cs"/>
          <w:rtl/>
        </w:rPr>
        <w:t>. התיקון הטיל על הממשלה להכין תוכנית תקציב תלת-שנתית (להלן - הנומרטור)</w:t>
      </w:r>
      <w:r>
        <w:rPr>
          <w:rStyle w:val="FootnoteReference"/>
          <w:rtl/>
        </w:rPr>
        <w:footnoteReference w:id="52"/>
      </w:r>
      <w:r>
        <w:rPr>
          <w:rFonts w:hint="cs"/>
          <w:rtl/>
        </w:rPr>
        <w:t>, שנועדה לוודא שבבניית התקציב ובכל קבלת החלטה על התקציב, יהיה על מקבלי ההחלטות להתחשב במצב המשק בשנים הבאות נוסף על המצב בשנה הנוכחית. עוד נקבע כי לא יאושרו החלטות ממשלתיות בעלות השפעה על התקציב אלא אם כן תוצג דרך המימון שתוודא שהמסגרת שהוצגה בתוכנית נשמרת</w:t>
      </w:r>
      <w:r>
        <w:rPr>
          <w:rStyle w:val="FootnoteReference"/>
          <w:rtl/>
        </w:rPr>
        <w:footnoteReference w:id="53"/>
      </w:r>
      <w:r>
        <w:rPr>
          <w:rFonts w:hint="cs"/>
          <w:rtl/>
        </w:rPr>
        <w:t>.</w:t>
      </w:r>
    </w:p>
    <w:p w14:paraId="3D0AFEFC" w14:textId="77777777" w:rsidR="00823E3A" w:rsidRDefault="00823E3A" w:rsidP="00B005BC">
      <w:pPr>
        <w:pStyle w:val="100"/>
        <w:rPr>
          <w:rtl/>
        </w:rPr>
      </w:pPr>
      <w:r>
        <w:rPr>
          <w:rFonts w:hint="cs"/>
          <w:rtl/>
        </w:rPr>
        <w:t>למרות חשיבותה של המשמעת הפיסקלית כפי שהיא באה לידי ביטוי בגיבוש התקציב השנתי, בתוכנית התלת-שנתית ובהליכים ממשלתיים אחרים</w:t>
      </w:r>
      <w:r>
        <w:rPr>
          <w:rStyle w:val="FootnoteReference"/>
          <w:rtl/>
        </w:rPr>
        <w:footnoteReference w:id="54"/>
      </w:r>
      <w:r>
        <w:rPr>
          <w:rFonts w:hint="cs"/>
          <w:rtl/>
        </w:rPr>
        <w:t xml:space="preserve">, התקבלו החלטות ממשלתיות לביצוע פרויקטי </w:t>
      </w:r>
      <w:r>
        <w:rPr>
          <w:rFonts w:hint="cs"/>
        </w:rPr>
        <w:t>PPP</w:t>
      </w:r>
      <w:r>
        <w:rPr>
          <w:rFonts w:hint="cs"/>
          <w:rtl/>
        </w:rPr>
        <w:t>, שהן בעלות השפעה כבדת משקל על התקציב החורגות מהכללים הפיסקליים השנתיים. מאחר שההתחייבויות הנגזרות מההחלטות משולמות לתקופה ארוכה, הן למעשה עוקפות את הנומרטור, כלומר, המגזר הפרטי מקבל לאורך שנים תשלומים עבור הקמה ותפעול פרויקטים במתווה זה לפי אבני הדרך המוגדרות מראש בהסכמי הזיכיון. תשלומים אלו ממומנים הן בידי המדינה והן בידי הציבור באמצעות פריסתם על פני זמן, המגלמת את עלויות ההקמה של הפרויקטים ואת התשלומים לזכיינים בגינם</w:t>
      </w:r>
      <w:r>
        <w:rPr>
          <w:rStyle w:val="FootnoteReference"/>
          <w:rtl/>
        </w:rPr>
        <w:footnoteReference w:id="55"/>
      </w:r>
      <w:r>
        <w:rPr>
          <w:rFonts w:hint="cs"/>
          <w:rtl/>
        </w:rPr>
        <w:t>. לפיכך ההתחייבויות של הממשלה הנובעות מההחלטה על הקמת הפרויקטים נמשכות אל מעבר לאופק התקציבי השוטף, לאורך שנות הפעלה ארוכות, המקשות לשלבן בתהליך התקציב השנתי, שלא כהוצאות רגילות שאפשר לשנותן מדי פעם בפעם. הקמת פרויקטים אלו עלולה אפוא ליצור התחייבויות קשיחות רב-שנתיות בהיקף ניכר, והן ישפיעו על סדרי העדיפויות של הממשלה בשנים הבאות.</w:t>
      </w:r>
    </w:p>
    <w:p w14:paraId="0EEE07E1" w14:textId="77777777" w:rsidR="00823E3A" w:rsidRDefault="00823E3A" w:rsidP="00B005BC">
      <w:pPr>
        <w:pStyle w:val="100"/>
        <w:rPr>
          <w:rtl/>
        </w:rPr>
      </w:pPr>
      <w:r>
        <w:rPr>
          <w:rFonts w:hint="cs"/>
          <w:rtl/>
        </w:rPr>
        <w:t xml:space="preserve">לגישתו של ארגון </w:t>
      </w:r>
      <w:r>
        <w:rPr>
          <w:rFonts w:hint="cs"/>
        </w:rPr>
        <w:t>OECD</w:t>
      </w:r>
      <w:r>
        <w:rPr>
          <w:rFonts w:hint="cs"/>
          <w:rtl/>
        </w:rPr>
        <w:t>, פריסת תשלומי החוב לתקופה ארוכה הנובעים מהקמת פרויקטים בשיתוף המגזר הפרטי מגבילה את גמישותו של תקציב המדינה</w:t>
      </w:r>
      <w:r w:rsidRPr="00C12DDB">
        <w:rPr>
          <w:rtl/>
        </w:rPr>
        <w:t xml:space="preserve"> </w:t>
      </w:r>
      <w:r>
        <w:rPr>
          <w:rFonts w:hint="cs"/>
          <w:rtl/>
        </w:rPr>
        <w:t>ומחייבת דיון מקדים על ה</w:t>
      </w:r>
      <w:r w:rsidRPr="00C12DDB">
        <w:rPr>
          <w:rtl/>
        </w:rPr>
        <w:t xml:space="preserve">נוקשות </w:t>
      </w:r>
      <w:r>
        <w:rPr>
          <w:rFonts w:hint="cs"/>
          <w:rtl/>
        </w:rPr>
        <w:t>ה</w:t>
      </w:r>
      <w:r>
        <w:rPr>
          <w:rtl/>
        </w:rPr>
        <w:t>עתידית</w:t>
      </w:r>
      <w:r>
        <w:rPr>
          <w:rFonts w:hint="cs"/>
          <w:rtl/>
        </w:rPr>
        <w:t xml:space="preserve"> הנוצרת</w:t>
      </w:r>
      <w:r>
        <w:rPr>
          <w:rtl/>
        </w:rPr>
        <w:t xml:space="preserve"> </w:t>
      </w:r>
      <w:r w:rsidRPr="00C12DDB">
        <w:rPr>
          <w:rtl/>
        </w:rPr>
        <w:t>במרחב</w:t>
      </w:r>
      <w:r>
        <w:rPr>
          <w:rFonts w:hint="cs"/>
          <w:rtl/>
        </w:rPr>
        <w:t xml:space="preserve"> הפעולה</w:t>
      </w:r>
      <w:r w:rsidRPr="00C12DDB">
        <w:rPr>
          <w:rtl/>
        </w:rPr>
        <w:t xml:space="preserve"> הפיסקלי</w:t>
      </w:r>
      <w:r>
        <w:rPr>
          <w:rFonts w:hint="cs"/>
          <w:rtl/>
        </w:rPr>
        <w:t xml:space="preserve"> של הממשלה</w:t>
      </w:r>
      <w:r>
        <w:rPr>
          <w:rStyle w:val="FootnoteReference"/>
          <w:rtl/>
        </w:rPr>
        <w:footnoteReference w:id="56"/>
      </w:r>
      <w:r>
        <w:rPr>
          <w:rFonts w:hint="cs"/>
          <w:rtl/>
        </w:rPr>
        <w:t>, בייחוד בהיעדר מגבלת תקציב אפקטיבית על יישום המתווה אשר מקורה במימון הפרויקטים בידי המגזר הפרטי.</w:t>
      </w:r>
    </w:p>
    <w:p w14:paraId="0C5B2839" w14:textId="77777777" w:rsidR="00823E3A" w:rsidRDefault="00823E3A" w:rsidP="00B005BC">
      <w:pPr>
        <w:pStyle w:val="100"/>
        <w:rPr>
          <w:rtl/>
        </w:rPr>
      </w:pPr>
      <w:r>
        <w:rPr>
          <w:rFonts w:hint="cs"/>
          <w:rtl/>
        </w:rPr>
        <w:t xml:space="preserve">ככלל, מימון פרויקטים בידי גורם פרטי כרוך בעלויות נוספות הגבוהות ביחס למימון ממקורות ציבוריים. עלויות אלה נגרמות הן בשל המחיר של גיוס הון בידי המגזר הפרטי הגבוה ביחס למחיר במגזר הציבורי והן בשל התשואה שדורש המגזר הפרטי אשר מגולמת בהוצאות </w:t>
      </w:r>
      <w:r>
        <w:rPr>
          <w:rFonts w:hint="cs"/>
          <w:rtl/>
        </w:rPr>
        <w:lastRenderedPageBreak/>
        <w:t>הפרויקט. יתר על כן, כל שינוי במחיר ההון עלול להשפיע במידה רבה על גובה ההחזר המצטבר של פריסת ההתחייבויות לאורך תקופת ההתקשרות.</w:t>
      </w:r>
    </w:p>
    <w:p w14:paraId="73D72B30" w14:textId="77777777" w:rsidR="00823E3A" w:rsidRPr="00B443D9" w:rsidRDefault="00823E3A" w:rsidP="00B005BC">
      <w:pPr>
        <w:pStyle w:val="100"/>
        <w:rPr>
          <w:rtl/>
        </w:rPr>
      </w:pPr>
      <w:r w:rsidRPr="005939FD">
        <w:rPr>
          <w:rFonts w:hint="cs"/>
          <w:rtl/>
        </w:rPr>
        <w:t>עם זאת, על אף עלות המימון הגבוהה יחסית במגזר הפרטי, בה</w:t>
      </w:r>
      <w:r>
        <w:rPr>
          <w:rFonts w:hint="cs"/>
          <w:rtl/>
        </w:rPr>
        <w:t>י</w:t>
      </w:r>
      <w:r w:rsidRPr="005939FD">
        <w:rPr>
          <w:rFonts w:hint="cs"/>
          <w:rtl/>
        </w:rPr>
        <w:t>עדר מקור תקציבי זמין למימוש ההשקעה הנדרשת, פרי</w:t>
      </w:r>
      <w:r>
        <w:rPr>
          <w:rFonts w:hint="cs"/>
          <w:rtl/>
        </w:rPr>
        <w:t>ס</w:t>
      </w:r>
      <w:r w:rsidRPr="005939FD">
        <w:rPr>
          <w:rFonts w:hint="cs"/>
          <w:rtl/>
        </w:rPr>
        <w:t xml:space="preserve">ת תשלומי החוב למגזר הפרטי מאפשרת להגדיל את היקף ההשקעה ולהוביל לצמיחה כלכלית. </w:t>
      </w:r>
      <w:r w:rsidRPr="009E532E">
        <w:rPr>
          <w:rFonts w:hint="cs"/>
          <w:sz w:val="24"/>
          <w:rtl/>
        </w:rPr>
        <w:t>מימון</w:t>
      </w:r>
      <w:r w:rsidRPr="009E532E">
        <w:rPr>
          <w:sz w:val="24"/>
          <w:rtl/>
        </w:rPr>
        <w:t xml:space="preserve"> </w:t>
      </w:r>
      <w:r w:rsidRPr="009E532E">
        <w:rPr>
          <w:rFonts w:hint="cs"/>
          <w:sz w:val="24"/>
          <w:rtl/>
        </w:rPr>
        <w:t>הפרויקטים</w:t>
      </w:r>
      <w:r w:rsidRPr="009E532E">
        <w:rPr>
          <w:sz w:val="24"/>
          <w:rtl/>
        </w:rPr>
        <w:t xml:space="preserve"> באמצעות הגופים </w:t>
      </w:r>
      <w:r w:rsidRPr="009E532E">
        <w:rPr>
          <w:rFonts w:hint="cs"/>
          <w:sz w:val="24"/>
          <w:rtl/>
        </w:rPr>
        <w:t>הפרט</w:t>
      </w:r>
      <w:r>
        <w:rPr>
          <w:rFonts w:hint="cs"/>
          <w:sz w:val="24"/>
          <w:rtl/>
        </w:rPr>
        <w:t>י</w:t>
      </w:r>
      <w:r w:rsidRPr="009E532E">
        <w:rPr>
          <w:rFonts w:hint="cs"/>
          <w:sz w:val="24"/>
          <w:rtl/>
        </w:rPr>
        <w:t>ים</w:t>
      </w:r>
      <w:r w:rsidRPr="009E532E">
        <w:rPr>
          <w:sz w:val="24"/>
          <w:rtl/>
        </w:rPr>
        <w:t xml:space="preserve"> </w:t>
      </w:r>
      <w:r w:rsidRPr="009E532E">
        <w:rPr>
          <w:rFonts w:hint="cs"/>
          <w:sz w:val="24"/>
          <w:rtl/>
        </w:rPr>
        <w:t>אינו</w:t>
      </w:r>
      <w:r w:rsidRPr="009E532E">
        <w:rPr>
          <w:sz w:val="24"/>
          <w:rtl/>
        </w:rPr>
        <w:t xml:space="preserve"> </w:t>
      </w:r>
      <w:r>
        <w:rPr>
          <w:rFonts w:hint="cs"/>
          <w:sz w:val="24"/>
          <w:rtl/>
        </w:rPr>
        <w:t xml:space="preserve">נרשם, לרוב, כחוב של המדינה מאחר שהוא </w:t>
      </w:r>
      <w:r w:rsidRPr="009E532E">
        <w:rPr>
          <w:rFonts w:hint="cs"/>
          <w:sz w:val="24"/>
          <w:rtl/>
        </w:rPr>
        <w:t>מקור</w:t>
      </w:r>
      <w:r w:rsidRPr="009E532E">
        <w:rPr>
          <w:sz w:val="24"/>
          <w:rtl/>
        </w:rPr>
        <w:t xml:space="preserve"> חוץ-תקציבי</w:t>
      </w:r>
      <w:r>
        <w:rPr>
          <w:rFonts w:hint="cs"/>
          <w:sz w:val="24"/>
          <w:rtl/>
        </w:rPr>
        <w:t>,</w:t>
      </w:r>
      <w:r w:rsidRPr="009E532E">
        <w:rPr>
          <w:sz w:val="24"/>
          <w:rtl/>
        </w:rPr>
        <w:t xml:space="preserve"> </w:t>
      </w:r>
      <w:r w:rsidRPr="009E532E">
        <w:rPr>
          <w:rFonts w:hint="cs"/>
          <w:sz w:val="24"/>
          <w:rtl/>
        </w:rPr>
        <w:t>ו</w:t>
      </w:r>
      <w:r>
        <w:rPr>
          <w:rFonts w:hint="cs"/>
          <w:sz w:val="24"/>
          <w:rtl/>
        </w:rPr>
        <w:t>על כן אינו משפיע</w:t>
      </w:r>
      <w:r w:rsidRPr="009E532E">
        <w:rPr>
          <w:sz w:val="24"/>
          <w:rtl/>
        </w:rPr>
        <w:t xml:space="preserve"> </w:t>
      </w:r>
      <w:r w:rsidRPr="009E532E">
        <w:rPr>
          <w:rFonts w:hint="cs"/>
          <w:sz w:val="24"/>
          <w:rtl/>
        </w:rPr>
        <w:t>על</w:t>
      </w:r>
      <w:r>
        <w:rPr>
          <w:rFonts w:hint="cs"/>
          <w:sz w:val="24"/>
          <w:rtl/>
        </w:rPr>
        <w:t xml:space="preserve"> היחס חוב-תוצר</w:t>
      </w:r>
      <w:r w:rsidRPr="00E728DA">
        <w:rPr>
          <w:rFonts w:hint="cs"/>
          <w:sz w:val="24"/>
          <w:rtl/>
        </w:rPr>
        <w:t xml:space="preserve">. </w:t>
      </w:r>
      <w:r>
        <w:rPr>
          <w:rFonts w:hint="cs"/>
          <w:sz w:val="24"/>
          <w:rtl/>
        </w:rPr>
        <w:t xml:space="preserve">עם זאת, </w:t>
      </w:r>
      <w:r w:rsidRPr="005939FD">
        <w:rPr>
          <w:rFonts w:hint="cs"/>
          <w:rtl/>
        </w:rPr>
        <w:t>מנגנון זה יוצר התחייבויות קשיחות ארוכות</w:t>
      </w:r>
      <w:r>
        <w:rPr>
          <w:rFonts w:hint="cs"/>
          <w:rtl/>
        </w:rPr>
        <w:t>-</w:t>
      </w:r>
      <w:r w:rsidRPr="005939FD">
        <w:rPr>
          <w:rFonts w:hint="cs"/>
          <w:rtl/>
        </w:rPr>
        <w:t xml:space="preserve">טווח המחייבות שימוש זהיר ומבוקר שיבטיח כי </w:t>
      </w:r>
      <w:r>
        <w:rPr>
          <w:rFonts w:hint="cs"/>
          <w:rtl/>
        </w:rPr>
        <w:t>המדינה תעמוד</w:t>
      </w:r>
      <w:r w:rsidRPr="005939FD">
        <w:rPr>
          <w:rFonts w:hint="cs"/>
          <w:rtl/>
        </w:rPr>
        <w:t xml:space="preserve"> ביכולת ההחזר </w:t>
      </w:r>
      <w:r>
        <w:rPr>
          <w:rFonts w:hint="cs"/>
          <w:rtl/>
        </w:rPr>
        <w:t>ב</w:t>
      </w:r>
      <w:r w:rsidRPr="005939FD">
        <w:rPr>
          <w:rFonts w:hint="cs"/>
          <w:rtl/>
        </w:rPr>
        <w:t>כל אור</w:t>
      </w:r>
      <w:r>
        <w:rPr>
          <w:rFonts w:hint="cs"/>
          <w:rtl/>
        </w:rPr>
        <w:t>ך התקופה</w:t>
      </w:r>
      <w:r>
        <w:rPr>
          <w:rStyle w:val="FootnoteReference"/>
          <w:rtl/>
        </w:rPr>
        <w:footnoteReference w:id="57"/>
      </w:r>
      <w:r>
        <w:rPr>
          <w:rFonts w:hint="cs"/>
          <w:rtl/>
        </w:rPr>
        <w:t>.</w:t>
      </w:r>
    </w:p>
    <w:p w14:paraId="53294411" w14:textId="77777777" w:rsidR="00823E3A" w:rsidRDefault="00823E3A" w:rsidP="00B005BC">
      <w:pPr>
        <w:pStyle w:val="100"/>
        <w:rPr>
          <w:rtl/>
        </w:rPr>
      </w:pPr>
      <w:r>
        <w:rPr>
          <w:rFonts w:hint="cs"/>
          <w:rtl/>
        </w:rPr>
        <w:t>יתרון אחר הטמון ביישום מתווה ה-</w:t>
      </w:r>
      <w:r>
        <w:rPr>
          <w:rFonts w:hint="cs"/>
        </w:rPr>
        <w:t>PPP</w:t>
      </w:r>
      <w:r>
        <w:rPr>
          <w:rFonts w:hint="cs"/>
          <w:rtl/>
        </w:rPr>
        <w:t xml:space="preserve"> מיוחס לדחיית עיתוי הרישום של ההוצאות מתקציב המדינה.</w:t>
      </w:r>
      <w:r w:rsidRPr="00442E92">
        <w:rPr>
          <w:rFonts w:hint="cs"/>
          <w:rtl/>
        </w:rPr>
        <w:t xml:space="preserve"> </w:t>
      </w:r>
      <w:r>
        <w:rPr>
          <w:rFonts w:hint="cs"/>
          <w:rtl/>
        </w:rPr>
        <w:t xml:space="preserve">ואולם החיסרון בדחייתו של רישום ההוצאות בגין ההקמה הוא באפשרות ליצירת תמריץ לממשלה להגדיל את היקף ההשקעה של פרויקטים בשיתוף המגזר הפרטי בלא בקרה במועד קבלת ההחלטה, מתוך כך שאינה מכבידה על תקציב המדינה בשנים הראשונות להקמת הפרויקטים בשיטה זו, כפי שעולה מהתרשים להלן. </w:t>
      </w:r>
    </w:p>
    <w:p w14:paraId="39C82194" w14:textId="77777777" w:rsidR="00823E3A" w:rsidRPr="009A784B" w:rsidRDefault="00823E3A" w:rsidP="00B005BC">
      <w:pPr>
        <w:pStyle w:val="aa"/>
        <w:rPr>
          <w:rtl/>
        </w:rPr>
      </w:pPr>
      <w:r w:rsidRPr="009A784B">
        <w:rPr>
          <w:rFonts w:hint="cs"/>
          <w:rtl/>
        </w:rPr>
        <w:t xml:space="preserve">תרשים </w:t>
      </w:r>
      <w:r>
        <w:t>8</w:t>
      </w:r>
      <w:r>
        <w:rPr>
          <w:rFonts w:hint="cs"/>
          <w:rtl/>
        </w:rPr>
        <w:t xml:space="preserve">: </w:t>
      </w:r>
      <w:r w:rsidRPr="00B005BC">
        <w:rPr>
          <w:rFonts w:hint="cs"/>
          <w:b/>
          <w:bCs/>
          <w:rtl/>
        </w:rPr>
        <w:t xml:space="preserve">פריסת ההתחייבויות בחלופה התקציבית ובחלופת </w:t>
      </w:r>
      <w:r w:rsidRPr="00B005BC">
        <w:rPr>
          <w:rFonts w:hint="cs"/>
          <w:b/>
          <w:bCs/>
        </w:rPr>
        <w:t>PPP</w:t>
      </w:r>
    </w:p>
    <w:p w14:paraId="4DBD08CD" w14:textId="77777777" w:rsidR="00823E3A" w:rsidRDefault="00823E3A" w:rsidP="00823E3A">
      <w:pPr>
        <w:spacing w:line="269" w:lineRule="auto"/>
        <w:jc w:val="center"/>
        <w:rPr>
          <w:noProof/>
          <w:sz w:val="16"/>
          <w:szCs w:val="16"/>
          <w:rtl/>
        </w:rPr>
      </w:pPr>
      <w:r>
        <w:rPr>
          <w:noProof/>
          <w:sz w:val="16"/>
          <w:szCs w:val="16"/>
        </w:rPr>
        <w:drawing>
          <wp:inline distT="0" distB="0" distL="0" distR="0" wp14:anchorId="3EFD124D" wp14:editId="0DB3FBFA">
            <wp:extent cx="4907207" cy="2238375"/>
            <wp:effectExtent l="19050" t="19050" r="27305" b="9525"/>
            <wp:docPr id="20"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17355"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925940" cy="2246920"/>
                    </a:xfrm>
                    <a:prstGeom prst="rect">
                      <a:avLst/>
                    </a:prstGeom>
                    <a:noFill/>
                    <a:ln>
                      <a:solidFill>
                        <a:schemeClr val="tx1"/>
                      </a:solidFill>
                    </a:ln>
                  </pic:spPr>
                </pic:pic>
              </a:graphicData>
            </a:graphic>
          </wp:inline>
        </w:drawing>
      </w:r>
    </w:p>
    <w:p w14:paraId="680778BC" w14:textId="77777777" w:rsidR="00823E3A" w:rsidRPr="00BF5756" w:rsidRDefault="00823E3A" w:rsidP="00B005BC">
      <w:pPr>
        <w:pStyle w:val="ac"/>
        <w:rPr>
          <w:noProof/>
          <w:rtl/>
        </w:rPr>
      </w:pPr>
      <w:r w:rsidRPr="00426FE5">
        <w:rPr>
          <w:rFonts w:hint="eastAsia"/>
          <w:noProof/>
          <w:rtl/>
        </w:rPr>
        <w:t>המקור</w:t>
      </w:r>
      <w:r w:rsidRPr="00426FE5">
        <w:rPr>
          <w:noProof/>
          <w:rtl/>
        </w:rPr>
        <w:t xml:space="preserve">: </w:t>
      </w:r>
      <w:r w:rsidRPr="00426FE5">
        <w:rPr>
          <w:noProof/>
        </w:rPr>
        <w:t>OECD</w:t>
      </w:r>
      <w:r w:rsidRPr="00426FE5">
        <w:rPr>
          <w:noProof/>
          <w:rtl/>
        </w:rPr>
        <w:t xml:space="preserve">, </w:t>
      </w:r>
      <w:r w:rsidRPr="00426FE5">
        <w:rPr>
          <w:rFonts w:hint="eastAsia"/>
          <w:noProof/>
          <w:rtl/>
        </w:rPr>
        <w:t>בעיבוד</w:t>
      </w:r>
      <w:r w:rsidRPr="00426FE5">
        <w:rPr>
          <w:noProof/>
          <w:rtl/>
        </w:rPr>
        <w:t xml:space="preserve"> משרד מבקר המדינה</w:t>
      </w:r>
    </w:p>
    <w:p w14:paraId="01AFC374" w14:textId="2C79F61A" w:rsidR="00823E3A" w:rsidRDefault="00823E3A" w:rsidP="00B005BC">
      <w:pPr>
        <w:pStyle w:val="aff8"/>
        <w:spacing w:line="269" w:lineRule="auto"/>
        <w:ind w:left="0"/>
        <w:rPr>
          <w:rtl/>
        </w:rPr>
      </w:pPr>
    </w:p>
    <w:p w14:paraId="4EE9F5FB" w14:textId="77777777" w:rsidR="00823E3A" w:rsidRDefault="00823E3A" w:rsidP="002F77AF">
      <w:pPr>
        <w:pStyle w:val="100"/>
        <w:rPr>
          <w:rtl/>
        </w:rPr>
      </w:pPr>
      <w:r>
        <w:rPr>
          <w:rFonts w:hint="cs"/>
          <w:rtl/>
        </w:rPr>
        <w:t xml:space="preserve">מהתרשים עולה כי </w:t>
      </w:r>
      <w:r w:rsidRPr="00442E92">
        <w:rPr>
          <w:rFonts w:hint="cs"/>
          <w:rtl/>
        </w:rPr>
        <w:t xml:space="preserve">תשלומי ההקמה בפרויקטים </w:t>
      </w:r>
      <w:r>
        <w:rPr>
          <w:rFonts w:hint="cs"/>
          <w:rtl/>
        </w:rPr>
        <w:t xml:space="preserve">הממומנים מתקציב המדינה </w:t>
      </w:r>
      <w:r w:rsidRPr="00442E92">
        <w:rPr>
          <w:rFonts w:hint="cs"/>
          <w:rtl/>
        </w:rPr>
        <w:t xml:space="preserve">נרשמים החל משנת הפעילות הראשונה, </w:t>
      </w:r>
      <w:r>
        <w:rPr>
          <w:rFonts w:hint="cs"/>
          <w:rtl/>
        </w:rPr>
        <w:t xml:space="preserve">ואילו </w:t>
      </w:r>
      <w:r w:rsidRPr="00442E92">
        <w:rPr>
          <w:rFonts w:hint="cs"/>
          <w:rtl/>
        </w:rPr>
        <w:t>בפרויקט</w:t>
      </w:r>
      <w:r>
        <w:rPr>
          <w:rFonts w:hint="cs"/>
          <w:rtl/>
        </w:rPr>
        <w:t xml:space="preserve">י </w:t>
      </w:r>
      <w:r>
        <w:rPr>
          <w:rFonts w:hint="cs"/>
        </w:rPr>
        <w:t>PPP</w:t>
      </w:r>
      <w:r w:rsidRPr="00442E92">
        <w:rPr>
          <w:rFonts w:hint="cs"/>
          <w:rtl/>
        </w:rPr>
        <w:t xml:space="preserve"> תשלומי ההקמה נפרעים בתשלומים </w:t>
      </w:r>
      <w:r>
        <w:rPr>
          <w:rFonts w:hint="cs"/>
          <w:rtl/>
        </w:rPr>
        <w:t>ו</w:t>
      </w:r>
      <w:r w:rsidRPr="00442E92">
        <w:rPr>
          <w:rFonts w:hint="cs"/>
          <w:rtl/>
        </w:rPr>
        <w:t>נרשמים רק</w:t>
      </w:r>
      <w:r>
        <w:rPr>
          <w:rFonts w:hint="cs"/>
          <w:rtl/>
        </w:rPr>
        <w:t xml:space="preserve"> החל מ</w:t>
      </w:r>
      <w:r w:rsidRPr="00442E92">
        <w:rPr>
          <w:rFonts w:hint="cs"/>
          <w:rtl/>
        </w:rPr>
        <w:t>תקופת</w:t>
      </w:r>
      <w:r>
        <w:rPr>
          <w:rFonts w:hint="cs"/>
          <w:rtl/>
        </w:rPr>
        <w:t xml:space="preserve"> התפעול, נוסף על התשלומים השוטפים בגין עבודות התפעול והתחזוקה. משום כך </w:t>
      </w:r>
      <w:r w:rsidRPr="00CF4EDB">
        <w:rPr>
          <w:rFonts w:hint="cs"/>
          <w:rtl/>
        </w:rPr>
        <w:t>עלול ל</w:t>
      </w:r>
      <w:r>
        <w:rPr>
          <w:rFonts w:hint="cs"/>
          <w:rtl/>
        </w:rPr>
        <w:t>התעורר</w:t>
      </w:r>
      <w:r w:rsidRPr="00CF4EDB">
        <w:rPr>
          <w:rFonts w:hint="cs"/>
          <w:rtl/>
        </w:rPr>
        <w:t xml:space="preserve"> חשש כי </w:t>
      </w:r>
      <w:r>
        <w:rPr>
          <w:rFonts w:hint="cs"/>
          <w:rtl/>
        </w:rPr>
        <w:t>ה</w:t>
      </w:r>
      <w:r w:rsidRPr="00CF4EDB">
        <w:rPr>
          <w:rFonts w:hint="cs"/>
          <w:rtl/>
        </w:rPr>
        <w:t xml:space="preserve">שיקול </w:t>
      </w:r>
      <w:r>
        <w:rPr>
          <w:rFonts w:hint="cs"/>
          <w:rtl/>
        </w:rPr>
        <w:t>ה</w:t>
      </w:r>
      <w:r w:rsidRPr="00CF4EDB">
        <w:rPr>
          <w:rFonts w:hint="cs"/>
          <w:rtl/>
        </w:rPr>
        <w:t>מ</w:t>
      </w:r>
      <w:r>
        <w:rPr>
          <w:rFonts w:hint="cs"/>
          <w:rtl/>
        </w:rPr>
        <w:t>רכזי</w:t>
      </w:r>
      <w:r w:rsidRPr="00CF4EDB">
        <w:rPr>
          <w:rFonts w:hint="cs"/>
          <w:rtl/>
        </w:rPr>
        <w:t xml:space="preserve"> בקבלת ההחלטה על יישום המתווה בעתיד יהיה המחסור במקורות מימון בעת הקמת פרויקטים גם במקרים </w:t>
      </w:r>
      <w:r>
        <w:rPr>
          <w:rFonts w:hint="cs"/>
          <w:rtl/>
        </w:rPr>
        <w:t>ש</w:t>
      </w:r>
      <w:r w:rsidRPr="00CF4EDB">
        <w:rPr>
          <w:rFonts w:hint="cs"/>
          <w:rtl/>
        </w:rPr>
        <w:t>בהם אין יתרון מובהק ליישום המתווה ביחס לחלופה התקציבית.</w:t>
      </w:r>
      <w:r>
        <w:rPr>
          <w:rFonts w:hint="cs"/>
          <w:rtl/>
        </w:rPr>
        <w:t xml:space="preserve"> </w:t>
      </w:r>
    </w:p>
    <w:p w14:paraId="5DD39617" w14:textId="77777777" w:rsidR="00B10E6B" w:rsidRDefault="00B10E6B">
      <w:pPr>
        <w:bidi w:val="0"/>
        <w:spacing w:after="200" w:line="276" w:lineRule="auto"/>
        <w:rPr>
          <w:rFonts w:ascii="Tahoma" w:hAnsi="Tahoma" w:cs="Tahoma"/>
          <w:szCs w:val="20"/>
          <w:rtl/>
        </w:rPr>
      </w:pPr>
      <w:r>
        <w:rPr>
          <w:rtl/>
        </w:rPr>
        <w:br w:type="page"/>
      </w:r>
    </w:p>
    <w:p w14:paraId="7773C643" w14:textId="15FE74CD" w:rsidR="00823E3A" w:rsidRPr="00133651" w:rsidRDefault="00823E3A" w:rsidP="002F77AF">
      <w:pPr>
        <w:pStyle w:val="100"/>
        <w:rPr>
          <w:rtl/>
        </w:rPr>
      </w:pPr>
      <w:r>
        <w:rPr>
          <w:rFonts w:hint="cs"/>
          <w:rtl/>
        </w:rPr>
        <w:lastRenderedPageBreak/>
        <w:t xml:space="preserve">בתשובתו של אגף התקציבים נאמר: </w:t>
      </w:r>
      <w:r w:rsidRPr="00CC4CB9">
        <w:rPr>
          <w:rFonts w:hint="cs"/>
          <w:b/>
          <w:bCs/>
          <w:rtl/>
        </w:rPr>
        <w:t>"</w:t>
      </w:r>
      <w:r w:rsidRPr="00CC4CB9">
        <w:rPr>
          <w:b/>
          <w:bCs/>
          <w:rtl/>
        </w:rPr>
        <w:t xml:space="preserve">ההצדקה המרכזית לבצע פרויקט בשיטת </w:t>
      </w:r>
      <w:r w:rsidRPr="00CC4CB9">
        <w:rPr>
          <w:b/>
          <w:bCs/>
        </w:rPr>
        <w:t>PFI</w:t>
      </w:r>
      <w:r w:rsidRPr="00CC4CB9">
        <w:rPr>
          <w:b/>
          <w:bCs/>
          <w:rtl/>
        </w:rPr>
        <w:t xml:space="preserve"> היא כאשר מתקיים קשר הדוק בין ההקמה והתפעול. בהינתן שתנאי זה לא מתקיים מתגבר החשש כי בחירת שיטת הביצוע תושת על שיקולי מימון עוקפי תקציב גרידא, ומשכך תחול סטייה </w:t>
      </w:r>
      <w:r w:rsidRPr="00133651">
        <w:rPr>
          <w:b/>
          <w:bCs/>
          <w:rtl/>
        </w:rPr>
        <w:t>מהתנהלות תקציבית תקינה</w:t>
      </w:r>
      <w:r w:rsidRPr="00133651">
        <w:rPr>
          <w:rFonts w:hint="cs"/>
          <w:b/>
          <w:bCs/>
          <w:rtl/>
        </w:rPr>
        <w:t xml:space="preserve">" </w:t>
      </w:r>
      <w:r w:rsidRPr="00133651">
        <w:rPr>
          <w:rFonts w:hint="cs"/>
          <w:rtl/>
        </w:rPr>
        <w:t>(ההדגשה במקור).</w:t>
      </w:r>
    </w:p>
    <w:p w14:paraId="774190EA" w14:textId="7B07BD27" w:rsidR="00823E3A" w:rsidRPr="001B58E5" w:rsidRDefault="00823E3A" w:rsidP="001B58E5">
      <w:pPr>
        <w:pStyle w:val="af5"/>
        <w:rPr>
          <w:rtl/>
        </w:rPr>
      </w:pPr>
      <w:r w:rsidRPr="00133651">
        <w:rPr>
          <w:rFonts w:hint="eastAsia"/>
          <w:rtl/>
        </w:rPr>
        <w:t>ל</w:t>
      </w:r>
      <w:r w:rsidRPr="00133651">
        <w:rPr>
          <w:rtl/>
        </w:rPr>
        <w:t>מימון</w:t>
      </w:r>
      <w:r w:rsidRPr="0033242B">
        <w:rPr>
          <w:rtl/>
        </w:rPr>
        <w:t xml:space="preserve"> </w:t>
      </w:r>
      <w:r w:rsidRPr="00571BAA">
        <w:rPr>
          <w:rFonts w:hint="eastAsia"/>
          <w:rtl/>
        </w:rPr>
        <w:t>פרויקטים</w:t>
      </w:r>
      <w:r w:rsidRPr="00571BAA">
        <w:rPr>
          <w:rtl/>
        </w:rPr>
        <w:t xml:space="preserve"> </w:t>
      </w:r>
      <w:r w:rsidRPr="00571BAA">
        <w:rPr>
          <w:rFonts w:hint="cs"/>
          <w:rtl/>
        </w:rPr>
        <w:t xml:space="preserve">בשיטת </w:t>
      </w:r>
      <w:r w:rsidRPr="00571BAA">
        <w:rPr>
          <w:rFonts w:hint="cs"/>
        </w:rPr>
        <w:t>PPP</w:t>
      </w:r>
      <w:r w:rsidRPr="00571BAA">
        <w:rPr>
          <w:rtl/>
        </w:rPr>
        <w:t xml:space="preserve"> יתרונות וחסרונות שונים, אשר מחייבים בחינה </w:t>
      </w:r>
      <w:r w:rsidRPr="00571BAA">
        <w:rPr>
          <w:rFonts w:hint="cs"/>
          <w:rtl/>
        </w:rPr>
        <w:t>מעמיקה</w:t>
      </w:r>
      <w:r>
        <w:rPr>
          <w:rFonts w:hint="cs"/>
          <w:rtl/>
        </w:rPr>
        <w:t xml:space="preserve"> בכל מקרה לגופו</w:t>
      </w:r>
      <w:r w:rsidRPr="00571BAA">
        <w:rPr>
          <w:rFonts w:hint="cs"/>
          <w:rtl/>
        </w:rPr>
        <w:t xml:space="preserve"> בטרם בחירת מתווה זה לביצוע פרויקט. תקצוב פרויקטים באמצעות </w:t>
      </w:r>
      <w:r w:rsidRPr="00571BAA">
        <w:rPr>
          <w:rFonts w:hint="eastAsia"/>
          <w:rtl/>
        </w:rPr>
        <w:t>התחייבויות</w:t>
      </w:r>
      <w:r w:rsidRPr="00571BAA">
        <w:rPr>
          <w:rtl/>
        </w:rPr>
        <w:t xml:space="preserve"> קשיחות רב-שנתיות בהיקף </w:t>
      </w:r>
      <w:r w:rsidRPr="00571BAA">
        <w:rPr>
          <w:rFonts w:hint="eastAsia"/>
          <w:rtl/>
        </w:rPr>
        <w:t>נרחב</w:t>
      </w:r>
      <w:r>
        <w:rPr>
          <w:rFonts w:hint="cs"/>
          <w:rtl/>
        </w:rPr>
        <w:t xml:space="preserve">, משמעותו </w:t>
      </w:r>
      <w:r w:rsidRPr="00571BAA">
        <w:rPr>
          <w:rFonts w:hint="eastAsia"/>
          <w:rtl/>
        </w:rPr>
        <w:t>הקשחת</w:t>
      </w:r>
      <w:r w:rsidRPr="00571BAA">
        <w:rPr>
          <w:rtl/>
        </w:rPr>
        <w:t xml:space="preserve"> התקציב </w:t>
      </w:r>
      <w:r>
        <w:rPr>
          <w:rFonts w:hint="cs"/>
          <w:rtl/>
        </w:rPr>
        <w:t>ל</w:t>
      </w:r>
      <w:r w:rsidRPr="00571BAA">
        <w:rPr>
          <w:rFonts w:hint="cs"/>
          <w:rtl/>
        </w:rPr>
        <w:t xml:space="preserve">שנים </w:t>
      </w:r>
      <w:r>
        <w:rPr>
          <w:rFonts w:hint="cs"/>
          <w:rtl/>
        </w:rPr>
        <w:t xml:space="preserve">הבאות. </w:t>
      </w:r>
      <w:r w:rsidRPr="00571BAA">
        <w:rPr>
          <w:rFonts w:hint="cs"/>
          <w:rtl/>
        </w:rPr>
        <w:t xml:space="preserve">לשם כך, ראוי כי </w:t>
      </w:r>
      <w:r w:rsidRPr="00571BAA">
        <w:rPr>
          <w:rFonts w:hint="eastAsia"/>
          <w:rtl/>
        </w:rPr>
        <w:t>בעת</w:t>
      </w:r>
      <w:r w:rsidRPr="0035637F">
        <w:rPr>
          <w:rtl/>
        </w:rPr>
        <w:t xml:space="preserve"> </w:t>
      </w:r>
      <w:r w:rsidRPr="0035637F">
        <w:rPr>
          <w:rFonts w:hint="eastAsia"/>
          <w:rtl/>
        </w:rPr>
        <w:t>בחינת</w:t>
      </w:r>
      <w:r w:rsidRPr="0035637F">
        <w:rPr>
          <w:rtl/>
        </w:rPr>
        <w:t xml:space="preserve"> </w:t>
      </w:r>
      <w:r w:rsidRPr="0035637F">
        <w:rPr>
          <w:rFonts w:hint="eastAsia"/>
          <w:rtl/>
        </w:rPr>
        <w:t>התאמת</w:t>
      </w:r>
      <w:r w:rsidRPr="00571BAA">
        <w:rPr>
          <w:rtl/>
        </w:rPr>
        <w:t xml:space="preserve"> </w:t>
      </w:r>
      <w:r w:rsidRPr="00571BAA">
        <w:rPr>
          <w:rFonts w:hint="eastAsia"/>
          <w:rtl/>
        </w:rPr>
        <w:t>פרויקט</w:t>
      </w:r>
      <w:r w:rsidRPr="00571BAA">
        <w:rPr>
          <w:rtl/>
        </w:rPr>
        <w:t xml:space="preserve"> </w:t>
      </w:r>
      <w:r>
        <w:rPr>
          <w:rFonts w:hint="cs"/>
          <w:rtl/>
        </w:rPr>
        <w:t>למתווה</w:t>
      </w:r>
      <w:r w:rsidRPr="00571BAA">
        <w:rPr>
          <w:rtl/>
        </w:rPr>
        <w:t xml:space="preserve"> ה-</w:t>
      </w:r>
      <w:r w:rsidRPr="00571BAA">
        <w:t>PPP</w:t>
      </w:r>
      <w:r w:rsidRPr="00571BAA">
        <w:rPr>
          <w:rtl/>
        </w:rPr>
        <w:t xml:space="preserve">, </w:t>
      </w:r>
      <w:r>
        <w:rPr>
          <w:rFonts w:hint="cs"/>
          <w:rtl/>
        </w:rPr>
        <w:t>ייבחנו המשמעויות הכלכליות והתקציביות הנגזרות מ</w:t>
      </w:r>
      <w:r w:rsidRPr="00571BAA">
        <w:rPr>
          <w:rFonts w:hint="cs"/>
          <w:rtl/>
        </w:rPr>
        <w:t>פרי</w:t>
      </w:r>
      <w:r>
        <w:rPr>
          <w:rFonts w:hint="cs"/>
          <w:rtl/>
        </w:rPr>
        <w:t>ס</w:t>
      </w:r>
      <w:r w:rsidRPr="00571BAA">
        <w:rPr>
          <w:rFonts w:hint="cs"/>
          <w:rtl/>
        </w:rPr>
        <w:t>ת החזר ההתחייבויות הנקבעות לפי התזרים של כל אחד מהפרויקטים, לאורך כל תקופת ההתקשרות,</w:t>
      </w:r>
      <w:r w:rsidRPr="00BD1EA8">
        <w:rPr>
          <w:rFonts w:hint="cs"/>
          <w:rtl/>
        </w:rPr>
        <w:t xml:space="preserve"> </w:t>
      </w:r>
      <w:r>
        <w:rPr>
          <w:rFonts w:hint="cs"/>
          <w:rtl/>
        </w:rPr>
        <w:t>ובהתחשב בכלל ההתחייבויות הנגזרות מפרויקטים המוקמים במתווה זה</w:t>
      </w:r>
      <w:r w:rsidRPr="00BD1EA8">
        <w:rPr>
          <w:rFonts w:hint="cs"/>
          <w:rtl/>
        </w:rPr>
        <w:t>.</w:t>
      </w:r>
      <w:r>
        <w:rPr>
          <w:rFonts w:hint="cs"/>
          <w:rtl/>
        </w:rPr>
        <w:t xml:space="preserve"> </w:t>
      </w:r>
    </w:p>
    <w:p w14:paraId="4FBEF6A2" w14:textId="46C3447A" w:rsidR="00823E3A" w:rsidRDefault="00823E3A" w:rsidP="001B58E5">
      <w:pPr>
        <w:pStyle w:val="414"/>
        <w:rPr>
          <w:rtl/>
        </w:rPr>
      </w:pPr>
      <w:r w:rsidRPr="00D17160">
        <w:rPr>
          <w:rFonts w:hint="cs"/>
          <w:rtl/>
        </w:rPr>
        <w:t>שקיפות</w:t>
      </w:r>
      <w:r>
        <w:rPr>
          <w:rFonts w:hint="cs"/>
          <w:rtl/>
        </w:rPr>
        <w:t>ה של</w:t>
      </w:r>
      <w:r w:rsidRPr="00D17160">
        <w:rPr>
          <w:rFonts w:hint="cs"/>
          <w:rtl/>
        </w:rPr>
        <w:t xml:space="preserve"> פרי</w:t>
      </w:r>
      <w:r>
        <w:rPr>
          <w:rFonts w:hint="cs"/>
          <w:rtl/>
        </w:rPr>
        <w:t>ס</w:t>
      </w:r>
      <w:r w:rsidRPr="00D17160">
        <w:rPr>
          <w:rFonts w:hint="cs"/>
          <w:rtl/>
        </w:rPr>
        <w:t>ת ההתחייבויות</w:t>
      </w:r>
    </w:p>
    <w:p w14:paraId="6C088E20" w14:textId="77777777" w:rsidR="00823E3A" w:rsidRDefault="00823E3A" w:rsidP="001B58E5">
      <w:pPr>
        <w:pStyle w:val="100"/>
        <w:rPr>
          <w:rtl/>
        </w:rPr>
      </w:pPr>
      <w:r>
        <w:rPr>
          <w:rFonts w:hint="cs"/>
          <w:rtl/>
        </w:rPr>
        <w:t>לנוכח האחריות המוטלת על הממשלה ב</w:t>
      </w:r>
      <w:r>
        <w:rPr>
          <w:rtl/>
        </w:rPr>
        <w:t xml:space="preserve">ניהול </w:t>
      </w:r>
      <w:r>
        <w:rPr>
          <w:rFonts w:hint="cs"/>
          <w:rtl/>
        </w:rPr>
        <w:t>כספי</w:t>
      </w:r>
      <w:r>
        <w:rPr>
          <w:rtl/>
        </w:rPr>
        <w:t xml:space="preserve"> </w:t>
      </w:r>
      <w:r>
        <w:rPr>
          <w:rFonts w:hint="cs"/>
          <w:rtl/>
        </w:rPr>
        <w:t>ה</w:t>
      </w:r>
      <w:r>
        <w:rPr>
          <w:rtl/>
        </w:rPr>
        <w:t>ציבור</w:t>
      </w:r>
      <w:r>
        <w:rPr>
          <w:rFonts w:hint="cs"/>
          <w:rtl/>
        </w:rPr>
        <w:t xml:space="preserve"> ולנוכח נחיצותו של הליך בקרה אפקטיבי על סך ההתחייבויות הנגזרות מיישום מתווה של </w:t>
      </w:r>
      <w:r>
        <w:rPr>
          <w:rFonts w:hint="cs"/>
        </w:rPr>
        <w:t>PPP</w:t>
      </w:r>
      <w:r>
        <w:rPr>
          <w:rFonts w:hint="cs"/>
          <w:rtl/>
        </w:rPr>
        <w:t xml:space="preserve">, הדגיש ארגון </w:t>
      </w:r>
      <w:r>
        <w:rPr>
          <w:rFonts w:hint="cs"/>
        </w:rPr>
        <w:t>OECD</w:t>
      </w:r>
      <w:r>
        <w:rPr>
          <w:rFonts w:hint="cs"/>
          <w:rtl/>
        </w:rPr>
        <w:t xml:space="preserve"> בעקרונותיו לניהול התקשרויות עם המגזר הפרטי את חשיבותה של שקיפות ההשקעה. בפרט בולט הצורך ב</w:t>
      </w:r>
      <w:r w:rsidRPr="00BD72A6">
        <w:rPr>
          <w:rtl/>
        </w:rPr>
        <w:t xml:space="preserve">תיעוד </w:t>
      </w:r>
      <w:r>
        <w:rPr>
          <w:rtl/>
        </w:rPr>
        <w:t xml:space="preserve">כל מידע </w:t>
      </w:r>
      <w:r>
        <w:rPr>
          <w:rFonts w:hint="cs"/>
          <w:rtl/>
        </w:rPr>
        <w:t>הנוגע</w:t>
      </w:r>
      <w:r>
        <w:rPr>
          <w:rtl/>
        </w:rPr>
        <w:t xml:space="preserve"> </w:t>
      </w:r>
      <w:r>
        <w:rPr>
          <w:rFonts w:hint="cs"/>
          <w:rtl/>
        </w:rPr>
        <w:t>ל</w:t>
      </w:r>
      <w:r w:rsidRPr="00BD72A6">
        <w:rPr>
          <w:rtl/>
        </w:rPr>
        <w:t>עלויות ו</w:t>
      </w:r>
      <w:r>
        <w:rPr>
          <w:rFonts w:hint="cs"/>
          <w:rtl/>
        </w:rPr>
        <w:t>ל</w:t>
      </w:r>
      <w:r w:rsidRPr="00BD72A6">
        <w:rPr>
          <w:rtl/>
        </w:rPr>
        <w:t>התחייבויות</w:t>
      </w:r>
      <w:r>
        <w:rPr>
          <w:rFonts w:hint="cs"/>
          <w:rtl/>
        </w:rPr>
        <w:t xml:space="preserve"> הנגזרות מההתקשרות באופן שקוף וברור, כדי להבטיח שלא נוצר תמריץ שלילי לבחירת מתווה זה</w:t>
      </w:r>
      <w:r>
        <w:rPr>
          <w:rStyle w:val="FootnoteReference"/>
          <w:rtl/>
        </w:rPr>
        <w:footnoteReference w:id="58"/>
      </w:r>
      <w:r>
        <w:rPr>
          <w:rFonts w:hint="cs"/>
          <w:rtl/>
        </w:rPr>
        <w:t>.</w:t>
      </w:r>
    </w:p>
    <w:p w14:paraId="25C0E853" w14:textId="77777777" w:rsidR="00823E3A" w:rsidRPr="00C37709" w:rsidRDefault="00823E3A" w:rsidP="001B58E5">
      <w:pPr>
        <w:pStyle w:val="100"/>
        <w:rPr>
          <w:rtl/>
        </w:rPr>
      </w:pPr>
      <w:r>
        <w:rPr>
          <w:rFonts w:hint="cs"/>
          <w:rtl/>
        </w:rPr>
        <w:t>השלכות ההתקשרות ארוכת-הטווח לצד החשיפה לגידול בעלויות של מימון המגזר הפרטי</w:t>
      </w:r>
      <w:r>
        <w:rPr>
          <w:rStyle w:val="FootnoteReference"/>
          <w:rtl/>
        </w:rPr>
        <w:footnoteReference w:id="59"/>
      </w:r>
      <w:r>
        <w:rPr>
          <w:rFonts w:hint="cs"/>
          <w:rtl/>
        </w:rPr>
        <w:t xml:space="preserve"> והחשש לתשואות מוגזמות של זכיינים, הובילו את בריטניה לכונן רפורמה בהגברת שקיפות ההשקעה. במסגרתה הוחלט בשנת 2012 על עדכון נוהלי ההתקשרות של חוזי זיכיון מסוג </w:t>
      </w:r>
      <w:r>
        <w:t>PFI</w:t>
      </w:r>
      <w:r>
        <w:rPr>
          <w:rFonts w:hint="cs"/>
          <w:rtl/>
        </w:rPr>
        <w:t>, על הטלת החובה לפרסם את תשואת הזכיינים ועל קביעת שיעור השתתפות מינימלי של מימון המגזר הציבורי כדי להגדיל את מעורבותו בפרויקט</w:t>
      </w:r>
      <w:r>
        <w:rPr>
          <w:rStyle w:val="FootnoteReference"/>
          <w:rtl/>
        </w:rPr>
        <w:footnoteReference w:id="60"/>
      </w:r>
      <w:r>
        <w:rPr>
          <w:rFonts w:hint="cs"/>
          <w:rtl/>
        </w:rPr>
        <w:t xml:space="preserve">. </w:t>
      </w:r>
    </w:p>
    <w:p w14:paraId="5A4A4237" w14:textId="77777777" w:rsidR="00823E3A" w:rsidRPr="00C12DDB" w:rsidRDefault="00823E3A" w:rsidP="001B58E5">
      <w:pPr>
        <w:pStyle w:val="100"/>
        <w:rPr>
          <w:rtl/>
        </w:rPr>
      </w:pPr>
      <w:r>
        <w:rPr>
          <w:rFonts w:hint="cs"/>
          <w:rtl/>
        </w:rPr>
        <w:t>יתרה מזו, במסגרת המאמצים להגברת השקיפות</w:t>
      </w:r>
      <w:r w:rsidRPr="00BD72A6">
        <w:rPr>
          <w:rtl/>
        </w:rPr>
        <w:t xml:space="preserve"> </w:t>
      </w:r>
      <w:r>
        <w:rPr>
          <w:rFonts w:hint="cs"/>
          <w:rtl/>
        </w:rPr>
        <w:t>בפני מקבלי ההחלטות</w:t>
      </w:r>
      <w:r>
        <w:rPr>
          <w:rtl/>
        </w:rPr>
        <w:t xml:space="preserve"> והציבור </w:t>
      </w:r>
      <w:r>
        <w:rPr>
          <w:rFonts w:hint="cs"/>
          <w:rtl/>
        </w:rPr>
        <w:t>בבריטניה, פותח כלי המציג את סך ההתחייבויות של הממשלה לאורך חייו של כל אחד מהפרויקטים,</w:t>
      </w:r>
      <w:r>
        <w:rPr>
          <w:rtl/>
        </w:rPr>
        <w:t xml:space="preserve"> </w:t>
      </w:r>
      <w:r>
        <w:rPr>
          <w:rFonts w:hint="cs"/>
          <w:rtl/>
        </w:rPr>
        <w:t>כפי שמציג תרשים 9. בנוסף יושמו כלים לשליטה בסך ההתחייבויות כדי</w:t>
      </w:r>
      <w:r>
        <w:rPr>
          <w:rtl/>
        </w:rPr>
        <w:t xml:space="preserve"> להבטיח את</w:t>
      </w:r>
      <w:r>
        <w:rPr>
          <w:rFonts w:hint="cs"/>
          <w:rtl/>
        </w:rPr>
        <w:t xml:space="preserve"> היכולת לעמוד בהן באמצעות הטלת </w:t>
      </w:r>
      <w:r>
        <w:rPr>
          <w:rtl/>
        </w:rPr>
        <w:t>מגבל</w:t>
      </w:r>
      <w:r>
        <w:rPr>
          <w:rFonts w:hint="cs"/>
          <w:rtl/>
        </w:rPr>
        <w:t>ה</w:t>
      </w:r>
      <w:r>
        <w:rPr>
          <w:rtl/>
        </w:rPr>
        <w:t xml:space="preserve"> </w:t>
      </w:r>
      <w:r>
        <w:rPr>
          <w:rFonts w:hint="cs"/>
          <w:rtl/>
        </w:rPr>
        <w:t>על היקף ההשקעה</w:t>
      </w:r>
      <w:r>
        <w:rPr>
          <w:rStyle w:val="FootnoteReference"/>
          <w:rtl/>
        </w:rPr>
        <w:footnoteReference w:id="61"/>
      </w:r>
      <w:r>
        <w:rPr>
          <w:rFonts w:hint="cs"/>
          <w:rtl/>
        </w:rPr>
        <w:t xml:space="preserve"> או על סך ההוצאה מתוך התקציב השנתי.</w:t>
      </w:r>
    </w:p>
    <w:p w14:paraId="0841B739" w14:textId="77777777" w:rsidR="00823E3A" w:rsidRPr="002F0255" w:rsidRDefault="00823E3A" w:rsidP="001B58E5">
      <w:pPr>
        <w:pStyle w:val="aa"/>
        <w:rPr>
          <w:rtl/>
        </w:rPr>
      </w:pPr>
      <w:r w:rsidRPr="002F0255">
        <w:rPr>
          <w:rFonts w:hint="eastAsia"/>
          <w:rtl/>
        </w:rPr>
        <w:lastRenderedPageBreak/>
        <w:t>תרשים</w:t>
      </w:r>
      <w:r w:rsidRPr="002F0255">
        <w:rPr>
          <w:rtl/>
        </w:rPr>
        <w:t xml:space="preserve"> 9</w:t>
      </w:r>
      <w:r w:rsidRPr="00141788">
        <w:rPr>
          <w:rtl/>
        </w:rPr>
        <w:t xml:space="preserve">: </w:t>
      </w:r>
      <w:r w:rsidRPr="001B58E5">
        <w:rPr>
          <w:rFonts w:hint="eastAsia"/>
          <w:b/>
          <w:bCs/>
          <w:rtl/>
        </w:rPr>
        <w:t>פריסת</w:t>
      </w:r>
      <w:r w:rsidRPr="001B58E5">
        <w:rPr>
          <w:b/>
          <w:bCs/>
          <w:rtl/>
        </w:rPr>
        <w:t xml:space="preserve"> תשלומי העבר ותחזית ההוצאות של פרויקטי </w:t>
      </w:r>
      <w:r w:rsidRPr="001B58E5">
        <w:rPr>
          <w:b/>
          <w:bCs/>
        </w:rPr>
        <w:t>PFI</w:t>
      </w:r>
      <w:r w:rsidRPr="001B58E5">
        <w:rPr>
          <w:b/>
          <w:bCs/>
          <w:rtl/>
        </w:rPr>
        <w:t xml:space="preserve"> בבריטניה</w:t>
      </w:r>
      <w:r>
        <w:rPr>
          <w:rStyle w:val="FootnoteReference"/>
          <w:b/>
          <w:bCs/>
          <w:rtl/>
        </w:rPr>
        <w:footnoteReference w:id="62"/>
      </w:r>
    </w:p>
    <w:p w14:paraId="5C1EC0F9" w14:textId="77777777" w:rsidR="00823E3A" w:rsidRDefault="00823E3A" w:rsidP="00823E3A">
      <w:pPr>
        <w:spacing w:line="269" w:lineRule="auto"/>
        <w:jc w:val="center"/>
        <w:rPr>
          <w:rtl/>
        </w:rPr>
      </w:pPr>
      <w:r>
        <w:rPr>
          <w:noProof/>
        </w:rPr>
        <w:drawing>
          <wp:inline distT="0" distB="0" distL="0" distR="0" wp14:anchorId="4CD65DCB" wp14:editId="56D90285">
            <wp:extent cx="5219700" cy="2203450"/>
            <wp:effectExtent l="19050" t="19050" r="19050" b="2540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91574"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219700" cy="2203450"/>
                    </a:xfrm>
                    <a:prstGeom prst="rect">
                      <a:avLst/>
                    </a:prstGeom>
                    <a:noFill/>
                    <a:ln>
                      <a:solidFill>
                        <a:schemeClr val="tx1"/>
                      </a:solidFill>
                    </a:ln>
                  </pic:spPr>
                </pic:pic>
              </a:graphicData>
            </a:graphic>
          </wp:inline>
        </w:drawing>
      </w:r>
    </w:p>
    <w:p w14:paraId="22DE044C" w14:textId="77777777" w:rsidR="00823E3A" w:rsidRPr="00141788" w:rsidRDefault="00823E3A" w:rsidP="001B58E5">
      <w:pPr>
        <w:pStyle w:val="ac"/>
        <w:rPr>
          <w:noProof/>
          <w:rtl/>
        </w:rPr>
      </w:pPr>
      <w:r w:rsidRPr="00141788">
        <w:rPr>
          <w:rFonts w:hint="cs"/>
          <w:noProof/>
          <w:rtl/>
        </w:rPr>
        <w:t>המקור: משרד האוצר של בריטניה (</w:t>
      </w:r>
      <w:r>
        <w:t>Her Majesty's Treasury</w:t>
      </w:r>
      <w:r w:rsidRPr="00141788">
        <w:rPr>
          <w:noProof/>
        </w:rPr>
        <w:t xml:space="preserve"> database</w:t>
      </w:r>
      <w:r w:rsidRPr="00141788">
        <w:rPr>
          <w:rFonts w:hint="cs"/>
          <w:noProof/>
          <w:rtl/>
        </w:rPr>
        <w:t>)</w:t>
      </w:r>
      <w:r w:rsidRPr="00A00B34">
        <w:rPr>
          <w:rStyle w:val="FootnoteReference"/>
          <w:b/>
          <w:bCs/>
          <w:rtl/>
        </w:rPr>
        <w:t xml:space="preserve"> </w:t>
      </w:r>
      <w:r w:rsidRPr="00A00B34">
        <w:rPr>
          <w:rStyle w:val="FootnoteReference"/>
          <w:rtl/>
        </w:rPr>
        <w:footnoteReference w:id="63"/>
      </w:r>
      <w:r>
        <w:rPr>
          <w:rFonts w:hint="cs"/>
          <w:noProof/>
          <w:rtl/>
        </w:rPr>
        <w:t xml:space="preserve">. </w:t>
      </w:r>
    </w:p>
    <w:p w14:paraId="3A57AA68" w14:textId="77777777" w:rsidR="00823E3A" w:rsidRDefault="00823E3A" w:rsidP="00823E3A">
      <w:pPr>
        <w:pStyle w:val="aff8"/>
        <w:spacing w:line="269" w:lineRule="auto"/>
        <w:rPr>
          <w:noProof/>
          <w:rtl/>
        </w:rPr>
      </w:pPr>
    </w:p>
    <w:p w14:paraId="41B41DD4" w14:textId="77777777" w:rsidR="00823E3A" w:rsidRPr="00F2680A" w:rsidRDefault="00823E3A" w:rsidP="001B58E5">
      <w:pPr>
        <w:pStyle w:val="100"/>
        <w:rPr>
          <w:rtl/>
        </w:rPr>
      </w:pPr>
      <w:r>
        <w:rPr>
          <w:rFonts w:hint="cs"/>
          <w:rtl/>
        </w:rPr>
        <w:t xml:space="preserve">פריסת תחזית ההוצאות של פרויקטים, כפי שמוצגת בתרשים לעיל, מאפשרת להפיק </w:t>
      </w:r>
      <w:r>
        <w:rPr>
          <w:rtl/>
        </w:rPr>
        <w:t>תמונה מקיפה</w:t>
      </w:r>
      <w:r>
        <w:rPr>
          <w:rFonts w:hint="cs"/>
          <w:rtl/>
        </w:rPr>
        <w:t xml:space="preserve">, </w:t>
      </w:r>
      <w:r>
        <w:rPr>
          <w:rtl/>
        </w:rPr>
        <w:t xml:space="preserve">מבוססת </w:t>
      </w:r>
      <w:r>
        <w:rPr>
          <w:rFonts w:hint="cs"/>
          <w:rtl/>
        </w:rPr>
        <w:t>ו</w:t>
      </w:r>
      <w:r w:rsidRPr="00BD72A6">
        <w:rPr>
          <w:rtl/>
        </w:rPr>
        <w:t>ארוכת</w:t>
      </w:r>
      <w:r>
        <w:rPr>
          <w:rFonts w:hint="cs"/>
          <w:rtl/>
        </w:rPr>
        <w:t>-</w:t>
      </w:r>
      <w:r w:rsidRPr="00BD72A6">
        <w:rPr>
          <w:rtl/>
        </w:rPr>
        <w:t xml:space="preserve">טווח של </w:t>
      </w:r>
      <w:r>
        <w:rPr>
          <w:rFonts w:hint="cs"/>
          <w:rtl/>
        </w:rPr>
        <w:t>ה</w:t>
      </w:r>
      <w:r w:rsidRPr="00BD72A6">
        <w:rPr>
          <w:rtl/>
        </w:rPr>
        <w:t>תשלומים</w:t>
      </w:r>
      <w:r>
        <w:rPr>
          <w:rStyle w:val="FootnoteReference"/>
          <w:rtl/>
        </w:rPr>
        <w:footnoteReference w:id="64"/>
      </w:r>
      <w:r>
        <w:rPr>
          <w:rFonts w:hint="cs"/>
          <w:rtl/>
        </w:rPr>
        <w:t xml:space="preserve"> להבטחת השקיפות של ההתחייבויות ולהבטחת היכולת לעמוד בהן לאורך זמן.</w:t>
      </w:r>
    </w:p>
    <w:p w14:paraId="4C15606B" w14:textId="77777777" w:rsidR="00823E3A" w:rsidRDefault="00823E3A" w:rsidP="001B58E5">
      <w:pPr>
        <w:pStyle w:val="100"/>
        <w:rPr>
          <w:rtl/>
        </w:rPr>
      </w:pPr>
      <w:r>
        <w:rPr>
          <w:rFonts w:hint="cs"/>
          <w:rtl/>
        </w:rPr>
        <w:t>פריסת ההתחייבויות של הממשלה בגין התקשרויות ציבוריות-פרטיות נקבעת על פי מרכיבי התשלום הנגזרים מסוגו של חוזה הזיכיון. חוזים שההחזר החודשי בהם מכיל מרכיבי תשלום קבועים ומשולם בידי המגזר הציבורי, מאפשרים פריסה מדויקת של ההוצאות. ואילו חוזים סבוכים שמשולבים בהם מרכיבי תשלום משתנים או כאשר התשלום נעשה בידי הצרכנים הפרטיים והוא כולל רשתות ביטחון ומנגנונים לחלוקת עודפים, מקשים לפרוס את ההתחייבויות במערכת התשלום הממשלתית, ולכן אפשר לפרוס אותן במערכות מתקדמות שונות.</w:t>
      </w:r>
    </w:p>
    <w:p w14:paraId="64F4199A" w14:textId="77777777" w:rsidR="00823E3A" w:rsidRPr="00822F0E" w:rsidRDefault="00823E3A" w:rsidP="001B58E5">
      <w:pPr>
        <w:pStyle w:val="100"/>
        <w:rPr>
          <w:rtl/>
        </w:rPr>
      </w:pPr>
      <w:r>
        <w:rPr>
          <w:rFonts w:hint="cs"/>
          <w:rtl/>
        </w:rPr>
        <w:t>ככלל, התחייבויות הממשלה במדינת ישראל נרשמות במערכת מרכב"ה</w:t>
      </w:r>
      <w:r>
        <w:rPr>
          <w:rStyle w:val="FootnoteReference"/>
          <w:rtl/>
        </w:rPr>
        <w:footnoteReference w:id="65"/>
      </w:r>
      <w:r>
        <w:rPr>
          <w:rFonts w:hint="cs"/>
          <w:rtl/>
        </w:rPr>
        <w:t xml:space="preserve"> ופריסתן במערכת אינה משתקפת על פני כל תקופת ההתקשרות. מאחר שמנגנון התשלום סבוך, הפריסה נעשית במערכות מסוג </w:t>
      </w:r>
      <w:r>
        <w:rPr>
          <w:rStyle w:val="FootnoteReference"/>
        </w:rPr>
        <w:footnoteReference w:id="66"/>
      </w:r>
      <w:r>
        <w:rPr>
          <w:rFonts w:hint="cs"/>
        </w:rPr>
        <w:t>BI</w:t>
      </w:r>
      <w:r>
        <w:rPr>
          <w:rFonts w:hint="cs"/>
          <w:rtl/>
        </w:rPr>
        <w:t xml:space="preserve"> ו-</w:t>
      </w:r>
      <w:r>
        <w:rPr>
          <w:rStyle w:val="FootnoteReference"/>
        </w:rPr>
        <w:footnoteReference w:id="67"/>
      </w:r>
      <w:r>
        <w:rPr>
          <w:rFonts w:hint="cs"/>
        </w:rPr>
        <w:t>SAP</w:t>
      </w:r>
      <w:r>
        <w:rPr>
          <w:rFonts w:hint="cs"/>
          <w:rtl/>
        </w:rPr>
        <w:t xml:space="preserve"> ייעודיות שיש להן ממשק עם נתוני הפיקוח והבקרה, ולכן </w:t>
      </w:r>
      <w:r>
        <w:rPr>
          <w:rFonts w:hint="cs"/>
          <w:rtl/>
        </w:rPr>
        <w:lastRenderedPageBreak/>
        <w:t xml:space="preserve">יוזם ההתקשרות מטעם המגזר הציבורי יכול לנהל מעקב רציף אחר התקדמות הפרויקטים ולעדכן תדיר את שיעור ההתחייבויות ואת מועדן. </w:t>
      </w:r>
    </w:p>
    <w:p w14:paraId="72B2AEF1" w14:textId="77777777" w:rsidR="00823E3A" w:rsidRDefault="00823E3A" w:rsidP="001B58E5">
      <w:pPr>
        <w:pStyle w:val="100"/>
        <w:rPr>
          <w:sz w:val="24"/>
          <w:rtl/>
        </w:rPr>
      </w:pPr>
      <w:r w:rsidRPr="003C586F">
        <w:rPr>
          <w:rFonts w:hint="cs"/>
          <w:rtl/>
        </w:rPr>
        <w:t>פרי</w:t>
      </w:r>
      <w:r>
        <w:rPr>
          <w:rFonts w:hint="cs"/>
          <w:rtl/>
        </w:rPr>
        <w:t>ס</w:t>
      </w:r>
      <w:r w:rsidRPr="003C586F">
        <w:rPr>
          <w:rFonts w:hint="cs"/>
          <w:rtl/>
        </w:rPr>
        <w:t>ת</w:t>
      </w:r>
      <w:r>
        <w:rPr>
          <w:rFonts w:hint="cs"/>
          <w:rtl/>
        </w:rPr>
        <w:t xml:space="preserve"> ההתחייבויות במערכות המתקדמות אינה חשופה לעיניהם של כל מקבלי ההחלטות ונעשית על פי רוב לתקופה קצרה למרות חשיבותה של המשמעת הפיסקלית לכל אורך ההתקשרות. לדוגמה, נמצא כי פריסת ההתחייבויות של פרויקטי </w:t>
      </w:r>
      <w:r>
        <w:rPr>
          <w:rFonts w:hint="cs"/>
        </w:rPr>
        <w:t>PPP</w:t>
      </w:r>
      <w:r>
        <w:rPr>
          <w:rFonts w:hint="cs"/>
          <w:rtl/>
        </w:rPr>
        <w:t xml:space="preserve"> שיזם משרד התחבורה, ששיעורם מכלל ההתחייבות הכספית הנובעת מפרויקטים בשיתוף המגזר הפרטי עומד על כ-53%</w:t>
      </w:r>
      <w:r>
        <w:rPr>
          <w:rStyle w:val="FootnoteReference"/>
          <w:rtl/>
        </w:rPr>
        <w:footnoteReference w:id="68"/>
      </w:r>
      <w:r>
        <w:rPr>
          <w:rFonts w:hint="cs"/>
          <w:rtl/>
        </w:rPr>
        <w:t>, מוצגת רק לפרק זמן של כחמש שנים אף שההתחייבויות התקציביות בגינן נפרסות על פני כמה עשורים. בעקבות זאת</w:t>
      </w:r>
      <w:r>
        <w:rPr>
          <w:rFonts w:hint="cs"/>
          <w:sz w:val="24"/>
          <w:rtl/>
        </w:rPr>
        <w:t>, מקבלי ההחלטות אינם מקבלים מידע חשוב על</w:t>
      </w:r>
      <w:r w:rsidRPr="003231CE">
        <w:rPr>
          <w:rFonts w:hint="cs"/>
          <w:sz w:val="24"/>
          <w:rtl/>
        </w:rPr>
        <w:t xml:space="preserve"> יתרת ההתחייבויות בגין פרויקטים שאושרו בעבר</w:t>
      </w:r>
      <w:r>
        <w:rPr>
          <w:rFonts w:hint="cs"/>
          <w:sz w:val="24"/>
          <w:rtl/>
        </w:rPr>
        <w:t>, מידע בעל השפעה רבה על היכולת של הממשלה להתחייב לפרויקטים נוספים בשל הקשחת תקציב המדינה לשנים הבאות.</w:t>
      </w:r>
    </w:p>
    <w:p w14:paraId="0D610F48" w14:textId="77777777" w:rsidR="00823E3A" w:rsidRDefault="00823E3A" w:rsidP="001B58E5">
      <w:pPr>
        <w:pStyle w:val="100"/>
        <w:rPr>
          <w:rtl/>
        </w:rPr>
      </w:pPr>
      <w:r>
        <w:rPr>
          <w:rFonts w:hint="cs"/>
          <w:rtl/>
        </w:rPr>
        <w:t xml:space="preserve">יתר על כן, בחלק מהפרויקטים (למשל פרויקטים מסוג </w:t>
      </w:r>
      <w:r>
        <w:rPr>
          <w:rFonts w:hint="cs"/>
        </w:rPr>
        <w:t>PFI</w:t>
      </w:r>
      <w:r>
        <w:rPr>
          <w:rFonts w:hint="cs"/>
          <w:rtl/>
        </w:rPr>
        <w:t xml:space="preserve">) ננקטה פריסת התחייבויות מלאה, והנתונים המצטברים של סך ההתחייבויות בגינם אינם מוצגים למקבלי ההחלטות או לציבור. בהיעדרם </w:t>
      </w:r>
      <w:r w:rsidRPr="00FE0E5F">
        <w:rPr>
          <w:rFonts w:hint="cs"/>
          <w:rtl/>
        </w:rPr>
        <w:t xml:space="preserve">נמנעת הצגת תמונה </w:t>
      </w:r>
      <w:r>
        <w:rPr>
          <w:rFonts w:hint="cs"/>
          <w:rtl/>
        </w:rPr>
        <w:t>מלאה</w:t>
      </w:r>
      <w:r w:rsidRPr="00FE0E5F">
        <w:rPr>
          <w:rFonts w:hint="cs"/>
          <w:rtl/>
        </w:rPr>
        <w:t xml:space="preserve"> וכוללת של סך ההתחייבות </w:t>
      </w:r>
      <w:r>
        <w:rPr>
          <w:rFonts w:hint="cs"/>
          <w:rtl/>
        </w:rPr>
        <w:t>המשפיעה על</w:t>
      </w:r>
      <w:r w:rsidRPr="00FE0E5F">
        <w:rPr>
          <w:rFonts w:hint="cs"/>
          <w:rtl/>
        </w:rPr>
        <w:t xml:space="preserve"> הקשח</w:t>
      </w:r>
      <w:r>
        <w:rPr>
          <w:rFonts w:hint="cs"/>
          <w:rtl/>
        </w:rPr>
        <w:t xml:space="preserve">ת </w:t>
      </w:r>
      <w:r w:rsidRPr="00FE0E5F">
        <w:rPr>
          <w:rFonts w:hint="cs"/>
          <w:rtl/>
        </w:rPr>
        <w:t>תקציב המדינה</w:t>
      </w:r>
      <w:r>
        <w:rPr>
          <w:rFonts w:hint="cs"/>
          <w:rtl/>
        </w:rPr>
        <w:t>, לרבות נתונים על מחיר ההון שהציבור נדרש לשלם, בפרט לנוכח פריסת התשלומים ותשואת הזכיינים ולנוכח קיבוע סדר העדיפויות הממשלתי הנגזר מיישום המתווה.</w:t>
      </w:r>
    </w:p>
    <w:p w14:paraId="7771B56F" w14:textId="24970BED" w:rsidR="00823E3A" w:rsidRDefault="00823E3A" w:rsidP="001B58E5">
      <w:pPr>
        <w:pStyle w:val="100"/>
        <w:rPr>
          <w:rtl/>
        </w:rPr>
      </w:pPr>
      <w:r>
        <w:rPr>
          <w:rFonts w:hint="cs"/>
          <w:rtl/>
        </w:rPr>
        <w:t xml:space="preserve">לפי עמדתו של משרד התחבורה, כפי שעלתה בפגישה עם חשב המשרד ביוני 2019, היקף ההתחייבויות הנוכחי של פרויקטים תחבורתיים שהוקמו בשיתוף המגזר הפרטי שולי ביחס לפרויקטים התקציביים: סך ההתחייבויות בגין פרויקטים תחבורתיים נאמד בסוף שנת 2018 בכ-107 מיליארדי ש"ח, ואילו יתרת ההתחייבות בגין פרויקטי </w:t>
      </w:r>
      <w:r>
        <w:rPr>
          <w:rFonts w:hint="cs"/>
        </w:rPr>
        <w:t>PPP</w:t>
      </w:r>
      <w:r>
        <w:rPr>
          <w:rFonts w:hint="cs"/>
          <w:rtl/>
        </w:rPr>
        <w:t xml:space="preserve"> למועד זה מוערכת בכ-20 מיליארדי ש"ח. בנוסף, במרבית חוזי הזיכיון התחבורתיים נכלל מנגנון התחשבנות מורכב, המותנה בין היתר במידת הצלחתם של הפרויקטים ולכן אי אפשר לחזות את סכום ההתחייבויות הנגזרות לכל אורכו.</w:t>
      </w:r>
    </w:p>
    <w:p w14:paraId="38D7AC7C" w14:textId="51B1409D" w:rsidR="00823E3A" w:rsidRPr="001B58E5" w:rsidRDefault="00823E3A" w:rsidP="001B58E5">
      <w:pPr>
        <w:pStyle w:val="af5"/>
        <w:rPr>
          <w:rtl/>
        </w:rPr>
      </w:pPr>
      <w:r>
        <w:rPr>
          <w:rFonts w:hint="cs"/>
          <w:rtl/>
        </w:rPr>
        <w:t>לנוכח הגידול הצפוי בהיקף ההשקעה בפרויקטים אלו למען קידום התשתיות בישראל, נודעת חשיבות ל</w:t>
      </w:r>
      <w:r w:rsidRPr="00CF6E21">
        <w:rPr>
          <w:rFonts w:hint="cs"/>
          <w:rtl/>
        </w:rPr>
        <w:t>ש</w:t>
      </w:r>
      <w:r>
        <w:rPr>
          <w:rFonts w:hint="cs"/>
          <w:rtl/>
        </w:rPr>
        <w:t>קיפות מלאה</w:t>
      </w:r>
      <w:r w:rsidRPr="00CF6E21">
        <w:rPr>
          <w:rFonts w:hint="cs"/>
          <w:rtl/>
        </w:rPr>
        <w:t xml:space="preserve"> </w:t>
      </w:r>
      <w:r>
        <w:rPr>
          <w:rFonts w:hint="cs"/>
          <w:rtl/>
        </w:rPr>
        <w:t xml:space="preserve">ככל הניתן </w:t>
      </w:r>
      <w:r w:rsidRPr="00CF6E21">
        <w:rPr>
          <w:rFonts w:hint="cs"/>
          <w:rtl/>
        </w:rPr>
        <w:t xml:space="preserve">של </w:t>
      </w:r>
      <w:r>
        <w:rPr>
          <w:rFonts w:hint="cs"/>
          <w:rtl/>
        </w:rPr>
        <w:t xml:space="preserve">סכום </w:t>
      </w:r>
      <w:r w:rsidRPr="00CF6E21">
        <w:rPr>
          <w:rFonts w:hint="cs"/>
          <w:rtl/>
        </w:rPr>
        <w:t>ההתחייבויות</w:t>
      </w:r>
      <w:r>
        <w:rPr>
          <w:rFonts w:hint="cs"/>
          <w:rtl/>
        </w:rPr>
        <w:t xml:space="preserve"> ושל פריסתן</w:t>
      </w:r>
      <w:r w:rsidRPr="00CF6E21">
        <w:rPr>
          <w:rFonts w:hint="cs"/>
          <w:rtl/>
        </w:rPr>
        <w:t xml:space="preserve"> למשך כל תקופת ההתקשרות</w:t>
      </w:r>
      <w:r>
        <w:rPr>
          <w:rFonts w:hint="cs"/>
          <w:rtl/>
        </w:rPr>
        <w:t xml:space="preserve"> בפני מקבלי ההחלטות</w:t>
      </w:r>
      <w:r w:rsidRPr="00087F59">
        <w:rPr>
          <w:rFonts w:hint="cs"/>
          <w:rtl/>
        </w:rPr>
        <w:t>,</w:t>
      </w:r>
      <w:r w:rsidRPr="00087F59">
        <w:rPr>
          <w:rFonts w:hint="cs"/>
          <w:sz w:val="24"/>
          <w:rtl/>
        </w:rPr>
        <w:t xml:space="preserve"> ובהם הגופים האמונים על ניהול ההתקשרויות, אגף </w:t>
      </w:r>
      <w:r>
        <w:rPr>
          <w:rFonts w:hint="cs"/>
          <w:sz w:val="24"/>
          <w:rtl/>
        </w:rPr>
        <w:t>ה</w:t>
      </w:r>
      <w:r w:rsidRPr="00087F59">
        <w:rPr>
          <w:rFonts w:hint="cs"/>
          <w:sz w:val="24"/>
          <w:rtl/>
        </w:rPr>
        <w:t>תקציבים והגורם היוזם את הפרויקט</w:t>
      </w:r>
      <w:r>
        <w:rPr>
          <w:rFonts w:hint="cs"/>
          <w:sz w:val="24"/>
          <w:rtl/>
        </w:rPr>
        <w:t xml:space="preserve">. </w:t>
      </w:r>
      <w:r>
        <w:rPr>
          <w:rFonts w:hint="cs"/>
          <w:rtl/>
        </w:rPr>
        <w:t>משום כך</w:t>
      </w:r>
      <w:r w:rsidRPr="00CD4547">
        <w:rPr>
          <w:rFonts w:hint="cs"/>
          <w:rtl/>
        </w:rPr>
        <w:t xml:space="preserve"> </w:t>
      </w:r>
      <w:r>
        <w:rPr>
          <w:rFonts w:hint="cs"/>
          <w:rtl/>
        </w:rPr>
        <w:t>על אגף התקציבים ואגף החשכ"ל לבחון את האפשרות להחיל כ</w:t>
      </w:r>
      <w:r w:rsidRPr="00CD4547">
        <w:rPr>
          <w:rFonts w:hint="cs"/>
          <w:rtl/>
        </w:rPr>
        <w:t>ל</w:t>
      </w:r>
      <w:r>
        <w:rPr>
          <w:rFonts w:hint="cs"/>
          <w:rtl/>
        </w:rPr>
        <w:t>ל</w:t>
      </w:r>
      <w:r w:rsidRPr="00CD4547">
        <w:rPr>
          <w:rFonts w:hint="cs"/>
          <w:rtl/>
        </w:rPr>
        <w:t>ים להגברת שקיפות</w:t>
      </w:r>
      <w:r>
        <w:rPr>
          <w:rFonts w:hint="cs"/>
          <w:rtl/>
        </w:rPr>
        <w:t>ה של</w:t>
      </w:r>
      <w:r w:rsidRPr="00CD4547">
        <w:rPr>
          <w:rFonts w:hint="cs"/>
          <w:rtl/>
        </w:rPr>
        <w:t xml:space="preserve"> ההשקעה</w:t>
      </w:r>
      <w:r>
        <w:rPr>
          <w:rFonts w:hint="cs"/>
          <w:rtl/>
        </w:rPr>
        <w:t>, ובכלל זה לקבוע את אופן הצגת הנתונים המצטברים של כל ההתחייבויות הנגזרות מכל הפרויקטים. כמו כן עליהם לבחון את ה</w:t>
      </w:r>
      <w:r w:rsidRPr="0033242B">
        <w:rPr>
          <w:rFonts w:hint="cs"/>
          <w:rtl/>
        </w:rPr>
        <w:t xml:space="preserve">אפשרות </w:t>
      </w:r>
      <w:r>
        <w:rPr>
          <w:rFonts w:hint="cs"/>
          <w:rtl/>
        </w:rPr>
        <w:t xml:space="preserve">לפרסם את </w:t>
      </w:r>
      <w:r w:rsidRPr="0033242B">
        <w:rPr>
          <w:rFonts w:hint="cs"/>
          <w:rtl/>
        </w:rPr>
        <w:t>תשואת המשקיעים תוך שמירה על חסיון סוד מסחרי</w:t>
      </w:r>
      <w:r>
        <w:rPr>
          <w:rFonts w:hint="cs"/>
          <w:rtl/>
        </w:rPr>
        <w:t>,</w:t>
      </w:r>
      <w:r w:rsidRPr="0033242B">
        <w:rPr>
          <w:rFonts w:hint="cs"/>
          <w:rtl/>
        </w:rPr>
        <w:t xml:space="preserve"> כנהוג במדינות אחרות.</w:t>
      </w:r>
    </w:p>
    <w:p w14:paraId="504E0BFB" w14:textId="079FD3D2" w:rsidR="00823E3A" w:rsidRPr="0033242B" w:rsidRDefault="00823E3A" w:rsidP="001B58E5">
      <w:pPr>
        <w:pStyle w:val="414"/>
        <w:rPr>
          <w:rtl/>
        </w:rPr>
      </w:pPr>
      <w:r w:rsidRPr="0033242B">
        <w:rPr>
          <w:rFonts w:hint="cs"/>
          <w:rtl/>
        </w:rPr>
        <w:t>שימוש בהון ציבורי</w:t>
      </w:r>
    </w:p>
    <w:p w14:paraId="5D2E71D3" w14:textId="77777777" w:rsidR="00823E3A" w:rsidRPr="000513D2" w:rsidRDefault="00823E3A" w:rsidP="001B58E5">
      <w:pPr>
        <w:pStyle w:val="100"/>
        <w:rPr>
          <w:rtl/>
        </w:rPr>
      </w:pPr>
      <w:r w:rsidRPr="0033242B">
        <w:rPr>
          <w:rFonts w:hint="cs"/>
          <w:rtl/>
        </w:rPr>
        <w:t xml:space="preserve">מחיר ההון שמגייס המגזר הציבורי נמוך ממחיר ההון שמקורו במגזר הפרטי, הנושא בעלויות מימון. ישנן דרכים שונות </w:t>
      </w:r>
      <w:r w:rsidRPr="0033242B">
        <w:rPr>
          <w:rtl/>
        </w:rPr>
        <w:t xml:space="preserve">בהן </w:t>
      </w:r>
      <w:r w:rsidRPr="0033242B">
        <w:rPr>
          <w:rFonts w:hint="cs"/>
          <w:rtl/>
        </w:rPr>
        <w:t>המגזר הציבורי</w:t>
      </w:r>
      <w:r w:rsidRPr="0033242B">
        <w:rPr>
          <w:rtl/>
        </w:rPr>
        <w:t xml:space="preserve"> יכול לתרום למבנה המימון של</w:t>
      </w:r>
      <w:r w:rsidRPr="0033242B">
        <w:rPr>
          <w:rFonts w:hint="cs"/>
          <w:rtl/>
        </w:rPr>
        <w:t xml:space="preserve"> שותפות ציבורית-</w:t>
      </w:r>
      <w:r w:rsidRPr="0033242B">
        <w:rPr>
          <w:rFonts w:hint="cs"/>
          <w:rtl/>
        </w:rPr>
        <w:lastRenderedPageBreak/>
        <w:t>פרטית, בין היתר</w:t>
      </w:r>
      <w:r w:rsidRPr="0033242B">
        <w:rPr>
          <w:rtl/>
        </w:rPr>
        <w:t xml:space="preserve"> </w:t>
      </w:r>
      <w:r w:rsidRPr="0033242B">
        <w:rPr>
          <w:rFonts w:hint="cs"/>
          <w:rtl/>
        </w:rPr>
        <w:t xml:space="preserve">במתן </w:t>
      </w:r>
      <w:r w:rsidRPr="0033242B">
        <w:rPr>
          <w:rtl/>
        </w:rPr>
        <w:t>הלווא</w:t>
      </w:r>
      <w:r w:rsidRPr="0033242B">
        <w:rPr>
          <w:rFonts w:hint="cs"/>
          <w:rtl/>
        </w:rPr>
        <w:t>ות ומענקי הקמה, במ</w:t>
      </w:r>
      <w:r w:rsidRPr="0033242B">
        <w:rPr>
          <w:rtl/>
        </w:rPr>
        <w:t>ימון ישיר לחבר</w:t>
      </w:r>
      <w:r w:rsidRPr="0033242B">
        <w:rPr>
          <w:rFonts w:hint="cs"/>
          <w:rtl/>
        </w:rPr>
        <w:t>ת</w:t>
      </w:r>
      <w:r w:rsidRPr="0033242B">
        <w:rPr>
          <w:rtl/>
        </w:rPr>
        <w:t xml:space="preserve"> הפרויקט</w:t>
      </w:r>
      <w:r w:rsidRPr="0033242B">
        <w:rPr>
          <w:rFonts w:hint="cs"/>
          <w:rtl/>
        </w:rPr>
        <w:t xml:space="preserve"> ובהעמדת </w:t>
      </w:r>
      <w:r w:rsidRPr="0033242B">
        <w:rPr>
          <w:rtl/>
        </w:rPr>
        <w:t>ערבו</w:t>
      </w:r>
      <w:r w:rsidRPr="0033242B">
        <w:rPr>
          <w:rFonts w:hint="cs"/>
          <w:rtl/>
        </w:rPr>
        <w:t>יו</w:t>
      </w:r>
      <w:r w:rsidRPr="0033242B">
        <w:rPr>
          <w:rtl/>
        </w:rPr>
        <w:t xml:space="preserve">ת </w:t>
      </w:r>
      <w:r w:rsidRPr="0033242B">
        <w:rPr>
          <w:rFonts w:hint="cs"/>
          <w:rtl/>
        </w:rPr>
        <w:t>מדינה</w:t>
      </w:r>
      <w:r>
        <w:rPr>
          <w:rStyle w:val="FootnoteReference"/>
          <w:rtl/>
        </w:rPr>
        <w:footnoteReference w:id="69"/>
      </w:r>
      <w:r w:rsidRPr="0033242B">
        <w:rPr>
          <w:rFonts w:hint="cs"/>
          <w:rtl/>
        </w:rPr>
        <w:t xml:space="preserve">. </w:t>
      </w:r>
      <w:r>
        <w:rPr>
          <w:rFonts w:hint="cs"/>
          <w:rtl/>
        </w:rPr>
        <w:t>ל</w:t>
      </w:r>
      <w:r w:rsidRPr="0033242B">
        <w:rPr>
          <w:rFonts w:hint="cs"/>
          <w:rtl/>
        </w:rPr>
        <w:t>שימוש</w:t>
      </w:r>
      <w:r w:rsidRPr="000513D2">
        <w:rPr>
          <w:rFonts w:hint="cs"/>
          <w:rtl/>
        </w:rPr>
        <w:t xml:space="preserve"> ב</w:t>
      </w:r>
      <w:r>
        <w:rPr>
          <w:rFonts w:hint="cs"/>
          <w:rtl/>
        </w:rPr>
        <w:t xml:space="preserve">כלים אלו </w:t>
      </w:r>
      <w:r w:rsidRPr="000513D2">
        <w:rPr>
          <w:rFonts w:hint="cs"/>
          <w:rtl/>
        </w:rPr>
        <w:t>הש</w:t>
      </w:r>
      <w:r>
        <w:rPr>
          <w:rFonts w:hint="cs"/>
          <w:rtl/>
        </w:rPr>
        <w:t xml:space="preserve">פעות </w:t>
      </w:r>
      <w:r w:rsidRPr="000513D2">
        <w:rPr>
          <w:rFonts w:hint="cs"/>
          <w:rtl/>
        </w:rPr>
        <w:t xml:space="preserve">כלכליות שונות, אולם כולם פועלים להשגת תוצאה </w:t>
      </w:r>
      <w:r>
        <w:rPr>
          <w:rFonts w:hint="cs"/>
          <w:rtl/>
        </w:rPr>
        <w:t>דומה</w:t>
      </w:r>
      <w:r w:rsidRPr="000513D2">
        <w:rPr>
          <w:rFonts w:hint="cs"/>
          <w:rtl/>
        </w:rPr>
        <w:t xml:space="preserve"> ש</w:t>
      </w:r>
      <w:r>
        <w:rPr>
          <w:rFonts w:hint="cs"/>
          <w:rtl/>
        </w:rPr>
        <w:t xml:space="preserve">נועדה </w:t>
      </w:r>
      <w:r w:rsidRPr="000513D2">
        <w:rPr>
          <w:rFonts w:hint="cs"/>
          <w:rtl/>
        </w:rPr>
        <w:t>להבטיח את ה</w:t>
      </w:r>
      <w:r>
        <w:rPr>
          <w:rFonts w:hint="cs"/>
          <w:rtl/>
        </w:rPr>
        <w:t>י</w:t>
      </w:r>
      <w:r w:rsidRPr="000513D2">
        <w:rPr>
          <w:rFonts w:hint="cs"/>
          <w:rtl/>
        </w:rPr>
        <w:t>תכנות הפרויקט ולה</w:t>
      </w:r>
      <w:r>
        <w:rPr>
          <w:rFonts w:hint="cs"/>
          <w:rtl/>
        </w:rPr>
        <w:t xml:space="preserve">פחית את עלותו. </w:t>
      </w:r>
      <w:r w:rsidRPr="000513D2">
        <w:rPr>
          <w:rFonts w:hint="cs"/>
          <w:rtl/>
        </w:rPr>
        <w:t xml:space="preserve">תרומה מהותית נוספת הגלומה בשילוב ההון הציבורי היא </w:t>
      </w:r>
      <w:r>
        <w:rPr>
          <w:rFonts w:hint="cs"/>
          <w:rtl/>
        </w:rPr>
        <w:t>הגברת שקיפותה של ההשקעה ו</w:t>
      </w:r>
      <w:r w:rsidRPr="000513D2">
        <w:rPr>
          <w:rFonts w:hint="cs"/>
          <w:rtl/>
        </w:rPr>
        <w:t>הפחתת החשש כי ההחלטה על שיתוף המגזר הפרטי התקבלה משיקולי תקציב גרידא.</w:t>
      </w:r>
    </w:p>
    <w:p w14:paraId="59847BB5" w14:textId="77777777" w:rsidR="00823E3A" w:rsidRPr="000513D2" w:rsidRDefault="00823E3A" w:rsidP="001B58E5">
      <w:pPr>
        <w:pStyle w:val="100"/>
        <w:rPr>
          <w:rtl/>
        </w:rPr>
      </w:pPr>
      <w:r w:rsidRPr="000513D2">
        <w:rPr>
          <w:rFonts w:hint="cs"/>
          <w:rtl/>
        </w:rPr>
        <w:t>מנגד, שילוב הון ציבורי בפרויקטי תשתית ארוכי</w:t>
      </w:r>
      <w:r>
        <w:rPr>
          <w:rFonts w:hint="cs"/>
          <w:rtl/>
        </w:rPr>
        <w:t>-</w:t>
      </w:r>
      <w:r w:rsidRPr="000513D2">
        <w:rPr>
          <w:rFonts w:hint="cs"/>
          <w:rtl/>
        </w:rPr>
        <w:t xml:space="preserve">טווח ובעלויות גבוהות יוצר התחייבויות והוצאות </w:t>
      </w:r>
      <w:r>
        <w:rPr>
          <w:rFonts w:hint="cs"/>
          <w:rtl/>
        </w:rPr>
        <w:t>ה</w:t>
      </w:r>
      <w:r w:rsidRPr="000513D2">
        <w:rPr>
          <w:rFonts w:hint="cs"/>
          <w:rtl/>
        </w:rPr>
        <w:t xml:space="preserve">עלולות לפגוע ביתרונות </w:t>
      </w:r>
      <w:r>
        <w:rPr>
          <w:rFonts w:hint="cs"/>
          <w:rtl/>
        </w:rPr>
        <w:t>המתווה</w:t>
      </w:r>
      <w:r w:rsidRPr="000513D2">
        <w:rPr>
          <w:rFonts w:hint="cs"/>
          <w:rtl/>
        </w:rPr>
        <w:t xml:space="preserve">. הלוואות, מענקי הקמה ומימון ישיר של </w:t>
      </w:r>
      <w:r>
        <w:rPr>
          <w:rFonts w:hint="cs"/>
          <w:rtl/>
        </w:rPr>
        <w:t>ה</w:t>
      </w:r>
      <w:r w:rsidRPr="000513D2">
        <w:rPr>
          <w:rFonts w:hint="cs"/>
          <w:rtl/>
        </w:rPr>
        <w:t>חבר</w:t>
      </w:r>
      <w:r>
        <w:rPr>
          <w:rFonts w:hint="cs"/>
          <w:rtl/>
        </w:rPr>
        <w:t>ה</w:t>
      </w:r>
      <w:r w:rsidRPr="000513D2">
        <w:rPr>
          <w:rFonts w:hint="cs"/>
          <w:rtl/>
        </w:rPr>
        <w:t xml:space="preserve"> </w:t>
      </w:r>
      <w:r>
        <w:rPr>
          <w:rFonts w:hint="cs"/>
          <w:rtl/>
        </w:rPr>
        <w:t>הייעודית</w:t>
      </w:r>
      <w:r w:rsidRPr="000513D2">
        <w:rPr>
          <w:rFonts w:hint="cs"/>
          <w:rtl/>
        </w:rPr>
        <w:t xml:space="preserve"> הם השקעות </w:t>
      </w:r>
      <w:r>
        <w:rPr>
          <w:rFonts w:hint="cs"/>
          <w:rtl/>
        </w:rPr>
        <w:t xml:space="preserve">של הממשלה </w:t>
      </w:r>
      <w:r w:rsidRPr="000513D2">
        <w:rPr>
          <w:rFonts w:hint="cs"/>
          <w:rtl/>
        </w:rPr>
        <w:t xml:space="preserve">הנרשמות כהוצאות תקציביות ומכבידות על תקציב המדינה. שימוש </w:t>
      </w:r>
      <w:r>
        <w:rPr>
          <w:rFonts w:hint="cs"/>
          <w:rtl/>
        </w:rPr>
        <w:t>נרחב בהון ציבורי</w:t>
      </w:r>
      <w:r w:rsidRPr="000513D2">
        <w:rPr>
          <w:rFonts w:hint="cs"/>
          <w:rtl/>
        </w:rPr>
        <w:t xml:space="preserve"> אף </w:t>
      </w:r>
      <w:r>
        <w:rPr>
          <w:rFonts w:hint="cs"/>
          <w:rtl/>
        </w:rPr>
        <w:t>עשוי ל</w:t>
      </w:r>
      <w:r w:rsidRPr="000513D2">
        <w:rPr>
          <w:rFonts w:hint="cs"/>
          <w:rtl/>
        </w:rPr>
        <w:t xml:space="preserve">בטל </w:t>
      </w:r>
      <w:r>
        <w:rPr>
          <w:rFonts w:hint="cs"/>
          <w:rtl/>
        </w:rPr>
        <w:t xml:space="preserve">או לצמצם </w:t>
      </w:r>
      <w:r w:rsidRPr="000513D2">
        <w:rPr>
          <w:rFonts w:hint="cs"/>
          <w:rtl/>
        </w:rPr>
        <w:t>את היתרון הטמון בפריסת החוב לתקופה ארוכה ועלול לפגוע בה</w:t>
      </w:r>
      <w:r>
        <w:rPr>
          <w:rFonts w:hint="cs"/>
          <w:rtl/>
        </w:rPr>
        <w:t>י</w:t>
      </w:r>
      <w:r w:rsidRPr="000513D2">
        <w:rPr>
          <w:rFonts w:hint="cs"/>
          <w:rtl/>
        </w:rPr>
        <w:t>תכנות המסחרית</w:t>
      </w:r>
      <w:r>
        <w:rPr>
          <w:rFonts w:hint="cs"/>
          <w:rtl/>
        </w:rPr>
        <w:t xml:space="preserve"> של הפרויקט</w:t>
      </w:r>
      <w:r w:rsidRPr="000513D2">
        <w:rPr>
          <w:rFonts w:hint="cs"/>
          <w:rtl/>
        </w:rPr>
        <w:t xml:space="preserve"> ובהקצאת הסיכונים </w:t>
      </w:r>
      <w:r>
        <w:rPr>
          <w:rFonts w:hint="cs"/>
          <w:rtl/>
        </w:rPr>
        <w:t xml:space="preserve">הכרוכים בו </w:t>
      </w:r>
      <w:r w:rsidRPr="000513D2">
        <w:rPr>
          <w:rFonts w:hint="cs"/>
          <w:rtl/>
        </w:rPr>
        <w:t>המושפע</w:t>
      </w:r>
      <w:r>
        <w:rPr>
          <w:rFonts w:hint="cs"/>
          <w:rtl/>
        </w:rPr>
        <w:t>ים</w:t>
      </w:r>
      <w:r w:rsidRPr="000513D2">
        <w:rPr>
          <w:rFonts w:hint="cs"/>
          <w:rtl/>
        </w:rPr>
        <w:t xml:space="preserve"> מאיזון מקורות המימון. על כן יש לקבוע </w:t>
      </w:r>
      <w:r>
        <w:rPr>
          <w:rFonts w:hint="cs"/>
          <w:rtl/>
        </w:rPr>
        <w:t xml:space="preserve">בזהירות </w:t>
      </w:r>
      <w:r w:rsidRPr="000513D2">
        <w:rPr>
          <w:rFonts w:hint="cs"/>
          <w:rtl/>
        </w:rPr>
        <w:t>את מידת השימוש ב</w:t>
      </w:r>
      <w:r>
        <w:rPr>
          <w:rFonts w:hint="cs"/>
          <w:rtl/>
        </w:rPr>
        <w:t>הון הציבורי</w:t>
      </w:r>
      <w:r w:rsidRPr="000513D2">
        <w:rPr>
          <w:rFonts w:hint="cs"/>
          <w:rtl/>
        </w:rPr>
        <w:t xml:space="preserve"> עבור כל פרויקט</w:t>
      </w:r>
      <w:r>
        <w:rPr>
          <w:rFonts w:hint="cs"/>
          <w:rtl/>
        </w:rPr>
        <w:t xml:space="preserve"> לגופו</w:t>
      </w:r>
      <w:r w:rsidRPr="000513D2">
        <w:rPr>
          <w:rFonts w:hint="cs"/>
          <w:rtl/>
        </w:rPr>
        <w:t xml:space="preserve"> כ</w:t>
      </w:r>
      <w:r>
        <w:rPr>
          <w:rFonts w:hint="cs"/>
          <w:rtl/>
        </w:rPr>
        <w:t xml:space="preserve">די לוודא </w:t>
      </w:r>
      <w:r w:rsidRPr="000513D2">
        <w:rPr>
          <w:rtl/>
        </w:rPr>
        <w:t xml:space="preserve">כי </w:t>
      </w:r>
      <w:r w:rsidRPr="000513D2">
        <w:rPr>
          <w:rFonts w:hint="cs"/>
          <w:rtl/>
        </w:rPr>
        <w:t xml:space="preserve">השימוש </w:t>
      </w:r>
      <w:r w:rsidRPr="000513D2">
        <w:rPr>
          <w:rtl/>
        </w:rPr>
        <w:t xml:space="preserve">תואם </w:t>
      </w:r>
      <w:r>
        <w:rPr>
          <w:rFonts w:hint="cs"/>
          <w:rtl/>
        </w:rPr>
        <w:t xml:space="preserve">את </w:t>
      </w:r>
      <w:r w:rsidRPr="000513D2">
        <w:rPr>
          <w:rtl/>
        </w:rPr>
        <w:t>צרכי</w:t>
      </w:r>
      <w:r w:rsidRPr="000513D2">
        <w:rPr>
          <w:rFonts w:hint="cs"/>
          <w:rtl/>
        </w:rPr>
        <w:t>ו</w:t>
      </w:r>
      <w:r w:rsidRPr="000513D2">
        <w:rPr>
          <w:rtl/>
        </w:rPr>
        <w:t xml:space="preserve"> </w:t>
      </w:r>
      <w:r w:rsidRPr="000513D2">
        <w:rPr>
          <w:rFonts w:hint="cs"/>
          <w:rtl/>
        </w:rPr>
        <w:t>ומוביל ל</w:t>
      </w:r>
      <w:r w:rsidRPr="000513D2">
        <w:rPr>
          <w:rtl/>
        </w:rPr>
        <w:t>יעילות כלכלית</w:t>
      </w:r>
      <w:r>
        <w:rPr>
          <w:rFonts w:hint="cs"/>
          <w:rtl/>
        </w:rPr>
        <w:t xml:space="preserve"> מיטבית</w:t>
      </w:r>
      <w:r w:rsidRPr="000513D2">
        <w:rPr>
          <w:rFonts w:hint="cs"/>
          <w:rtl/>
        </w:rPr>
        <w:t xml:space="preserve">. </w:t>
      </w:r>
    </w:p>
    <w:p w14:paraId="27C0FDCD" w14:textId="6FE725DD" w:rsidR="00823E3A" w:rsidRDefault="00823E3A" w:rsidP="001B58E5">
      <w:pPr>
        <w:pStyle w:val="100"/>
        <w:rPr>
          <w:rtl/>
        </w:rPr>
      </w:pPr>
      <w:r w:rsidRPr="000513D2">
        <w:rPr>
          <w:rFonts w:hint="cs"/>
          <w:rtl/>
        </w:rPr>
        <w:t>בפגישות</w:t>
      </w:r>
      <w:r>
        <w:rPr>
          <w:rFonts w:hint="cs"/>
          <w:rtl/>
        </w:rPr>
        <w:t xml:space="preserve"> ובשיחות</w:t>
      </w:r>
      <w:r w:rsidRPr="000513D2">
        <w:rPr>
          <w:rFonts w:hint="cs"/>
          <w:rtl/>
        </w:rPr>
        <w:t xml:space="preserve"> ש</w:t>
      </w:r>
      <w:r>
        <w:rPr>
          <w:rFonts w:hint="cs"/>
          <w:rtl/>
        </w:rPr>
        <w:t>ל</w:t>
      </w:r>
      <w:r w:rsidRPr="000513D2">
        <w:rPr>
          <w:rFonts w:hint="cs"/>
          <w:rtl/>
        </w:rPr>
        <w:t xml:space="preserve"> צוות הביקורת עם מנהלת</w:t>
      </w:r>
      <w:r w:rsidRPr="000513D2">
        <w:rPr>
          <w:rFonts w:hint="cs"/>
        </w:rPr>
        <w:t xml:space="preserve"> </w:t>
      </w:r>
      <w:r w:rsidRPr="000513D2">
        <w:rPr>
          <w:rFonts w:hint="cs"/>
          <w:rtl/>
        </w:rPr>
        <w:t>הבינוי עלה כי התייעלות כלכלית</w:t>
      </w:r>
      <w:r>
        <w:rPr>
          <w:rFonts w:hint="cs"/>
          <w:rtl/>
        </w:rPr>
        <w:t xml:space="preserve"> כוללת של הפרויקט</w:t>
      </w:r>
      <w:r w:rsidRPr="000513D2">
        <w:rPr>
          <w:rFonts w:hint="cs"/>
          <w:rtl/>
        </w:rPr>
        <w:t xml:space="preserve"> מושגת </w:t>
      </w:r>
      <w:r>
        <w:rPr>
          <w:rFonts w:hint="cs"/>
          <w:rtl/>
        </w:rPr>
        <w:t>בדרך כלל</w:t>
      </w:r>
      <w:r w:rsidRPr="000513D2">
        <w:rPr>
          <w:rFonts w:hint="cs"/>
          <w:rtl/>
        </w:rPr>
        <w:t xml:space="preserve"> ב</w:t>
      </w:r>
      <w:r>
        <w:rPr>
          <w:rFonts w:hint="cs"/>
          <w:rtl/>
        </w:rPr>
        <w:t xml:space="preserve">זכות </w:t>
      </w:r>
      <w:r w:rsidRPr="000513D2">
        <w:rPr>
          <w:rFonts w:hint="cs"/>
          <w:rtl/>
        </w:rPr>
        <w:t>מענק</w:t>
      </w:r>
      <w:r>
        <w:rPr>
          <w:rFonts w:hint="cs"/>
          <w:rtl/>
        </w:rPr>
        <w:t>י</w:t>
      </w:r>
      <w:r w:rsidRPr="000513D2">
        <w:rPr>
          <w:rFonts w:hint="cs"/>
          <w:rtl/>
        </w:rPr>
        <w:t xml:space="preserve"> הקמה גבוהים. עם זאת</w:t>
      </w:r>
      <w:r>
        <w:rPr>
          <w:rFonts w:hint="cs"/>
          <w:rtl/>
        </w:rPr>
        <w:t>, המענקים עלולים לפגוע בהיתכנות הכלכלית והמסחרית</w:t>
      </w:r>
      <w:r>
        <w:rPr>
          <w:rStyle w:val="FootnoteReference"/>
          <w:rtl/>
        </w:rPr>
        <w:footnoteReference w:id="70"/>
      </w:r>
      <w:r>
        <w:rPr>
          <w:rFonts w:hint="cs"/>
          <w:rtl/>
        </w:rPr>
        <w:t xml:space="preserve"> של גופים במגזר הפרטי אם ברצונם להשתתף בפרויקט. לא זו בלבד, אלא ש</w:t>
      </w:r>
      <w:r w:rsidRPr="000513D2">
        <w:rPr>
          <w:rFonts w:hint="cs"/>
          <w:rtl/>
        </w:rPr>
        <w:t xml:space="preserve">ההחלטה על גובה מענק ההקמה בכל פרויקט </w:t>
      </w:r>
      <w:r>
        <w:rPr>
          <w:rFonts w:hint="cs"/>
          <w:rtl/>
        </w:rPr>
        <w:t xml:space="preserve">נעשית על פי </w:t>
      </w:r>
      <w:r w:rsidRPr="000513D2">
        <w:rPr>
          <w:rFonts w:hint="cs"/>
          <w:rtl/>
        </w:rPr>
        <w:t xml:space="preserve">שיקולים </w:t>
      </w:r>
      <w:r>
        <w:rPr>
          <w:rFonts w:hint="cs"/>
          <w:rtl/>
        </w:rPr>
        <w:t xml:space="preserve">תקציביים ואינה נבחנת בהכרח לפי </w:t>
      </w:r>
      <w:r w:rsidRPr="000513D2">
        <w:rPr>
          <w:rFonts w:hint="cs"/>
          <w:rtl/>
        </w:rPr>
        <w:t>צ</w:t>
      </w:r>
      <w:r>
        <w:rPr>
          <w:rFonts w:hint="cs"/>
          <w:rtl/>
        </w:rPr>
        <w:t>ו</w:t>
      </w:r>
      <w:r w:rsidRPr="000513D2">
        <w:rPr>
          <w:rFonts w:hint="cs"/>
          <w:rtl/>
        </w:rPr>
        <w:t xml:space="preserve">רכי הפרויקט </w:t>
      </w:r>
      <w:r>
        <w:rPr>
          <w:rFonts w:hint="cs"/>
          <w:rtl/>
        </w:rPr>
        <w:t xml:space="preserve">ולאו דווקא מתוך </w:t>
      </w:r>
      <w:r w:rsidRPr="000513D2">
        <w:rPr>
          <w:rFonts w:hint="cs"/>
          <w:rtl/>
        </w:rPr>
        <w:t xml:space="preserve">מטרה להוביל להתייעלות כלכלית. </w:t>
      </w:r>
      <w:r>
        <w:rPr>
          <w:rFonts w:hint="cs"/>
          <w:rtl/>
        </w:rPr>
        <w:t>לפיכך נמצא</w:t>
      </w:r>
      <w:r w:rsidRPr="000513D2">
        <w:rPr>
          <w:rFonts w:hint="cs"/>
          <w:rtl/>
        </w:rPr>
        <w:t xml:space="preserve"> כי השימוש במענקי ההקמה</w:t>
      </w:r>
      <w:r>
        <w:rPr>
          <w:rFonts w:hint="cs"/>
          <w:rtl/>
        </w:rPr>
        <w:t xml:space="preserve"> בחלק מ</w:t>
      </w:r>
      <w:r w:rsidRPr="000513D2">
        <w:rPr>
          <w:rFonts w:hint="cs"/>
          <w:rtl/>
        </w:rPr>
        <w:t>בדיקות ההתאמה</w:t>
      </w:r>
      <w:r>
        <w:rPr>
          <w:rStyle w:val="FootnoteReference"/>
          <w:rtl/>
        </w:rPr>
        <w:footnoteReference w:id="71"/>
      </w:r>
      <w:r w:rsidRPr="000513D2">
        <w:rPr>
          <w:rFonts w:hint="cs"/>
          <w:rtl/>
        </w:rPr>
        <w:t xml:space="preserve"> נועד להוביל לה</w:t>
      </w:r>
      <w:r>
        <w:rPr>
          <w:rFonts w:hint="cs"/>
          <w:rtl/>
        </w:rPr>
        <w:t>י</w:t>
      </w:r>
      <w:r w:rsidRPr="000513D2">
        <w:rPr>
          <w:rFonts w:hint="cs"/>
          <w:rtl/>
        </w:rPr>
        <w:t xml:space="preserve">תכנות </w:t>
      </w:r>
      <w:r>
        <w:rPr>
          <w:rFonts w:hint="cs"/>
          <w:rtl/>
        </w:rPr>
        <w:t>מסחרית</w:t>
      </w:r>
      <w:r w:rsidRPr="000513D2">
        <w:rPr>
          <w:rFonts w:hint="cs"/>
          <w:rtl/>
        </w:rPr>
        <w:t xml:space="preserve"> עבור המגזר הפרטי במקרים </w:t>
      </w:r>
      <w:r>
        <w:rPr>
          <w:rFonts w:hint="cs"/>
          <w:rtl/>
        </w:rPr>
        <w:t>ש</w:t>
      </w:r>
      <w:r w:rsidRPr="000513D2">
        <w:rPr>
          <w:rFonts w:hint="cs"/>
          <w:rtl/>
        </w:rPr>
        <w:t xml:space="preserve">בהם הפרויקט אינו מניב את התשואה הנדרשת ואינו בוחן </w:t>
      </w:r>
      <w:r>
        <w:rPr>
          <w:rFonts w:hint="cs"/>
          <w:rtl/>
        </w:rPr>
        <w:t xml:space="preserve">במונחים אובייקטיביים </w:t>
      </w:r>
      <w:r w:rsidRPr="000513D2">
        <w:rPr>
          <w:rFonts w:hint="cs"/>
          <w:rtl/>
        </w:rPr>
        <w:t>את תמהיל המימון הראו</w:t>
      </w:r>
      <w:r>
        <w:rPr>
          <w:rFonts w:hint="cs"/>
          <w:rtl/>
        </w:rPr>
        <w:t xml:space="preserve">י לפרויקט. </w:t>
      </w:r>
    </w:p>
    <w:p w14:paraId="31D5662F" w14:textId="77777777" w:rsidR="00823E3A" w:rsidRPr="00653DDE" w:rsidRDefault="00823E3A" w:rsidP="001B58E5">
      <w:pPr>
        <w:pStyle w:val="100"/>
        <w:rPr>
          <w:rtl/>
        </w:rPr>
      </w:pPr>
      <w:r>
        <w:rPr>
          <w:rFonts w:hint="cs"/>
          <w:rtl/>
        </w:rPr>
        <w:t>להלן דוגמאות ליישום השימוש במענקי הקמה בין מנהלי ההתקשרויות:</w:t>
      </w:r>
    </w:p>
    <w:p w14:paraId="26482A74" w14:textId="097C1575" w:rsidR="00823E3A" w:rsidRDefault="00823E3A" w:rsidP="001B58E5">
      <w:pPr>
        <w:pStyle w:val="a3"/>
        <w:rPr>
          <w:rtl/>
        </w:rPr>
      </w:pPr>
      <w:r w:rsidRPr="001B58E5">
        <w:rPr>
          <w:rStyle w:val="Heading6Char"/>
          <w:rFonts w:hint="cs"/>
          <w:color w:val="387026"/>
          <w:spacing w:val="0"/>
          <w:rtl/>
        </w:rPr>
        <w:t>חטיבת תשתיות ופרויקטים</w:t>
      </w:r>
      <w:r w:rsidRPr="001B58E5">
        <w:rPr>
          <w:rStyle w:val="Heading6Char"/>
          <w:color w:val="387026"/>
          <w:spacing w:val="0"/>
          <w:rtl/>
        </w:rPr>
        <w:t>:</w:t>
      </w:r>
      <w:r>
        <w:rPr>
          <w:rFonts w:hint="cs"/>
          <w:rtl/>
        </w:rPr>
        <w:t xml:space="preserve"> נמצא כי לא נבחן השימוש במענקי הקמה בכל בדיקות ההתאמה. לא נבחן גם השימוש במענקי הקמה בפרויקטים בתחומי המים והאנרגיה מכיוון שהתשלום עבורם ממומן באמצעות תעריף המים והחשמל בהתאמה ואף שהנטל התקציבי מושת על אזרחי המדינה. לא זו בלבד, גם בפרויקטים בתחומי התחבורה, הסביבה והבינוי אין מדיניות אחידה לבחינת היישום של המענקים בכל הפרויקטים.</w:t>
      </w:r>
    </w:p>
    <w:p w14:paraId="39916780" w14:textId="77777777" w:rsidR="00823E3A" w:rsidRDefault="00823E3A" w:rsidP="001B58E5">
      <w:pPr>
        <w:pStyle w:val="af4"/>
        <w:rPr>
          <w:rtl/>
        </w:rPr>
      </w:pPr>
      <w:r>
        <w:rPr>
          <w:rFonts w:hint="cs"/>
          <w:rtl/>
        </w:rPr>
        <w:t>בתשובתה של חטיבת תשתיות ופרויקטים נאמר כי ההחלטה על אופן השימוש במענקי ההקמה מתקבלת בעת קביעת המנגנונים המסחריים ובמסגרת הגיבוש של מסמכי המכרז לאחר שמאפייני הפרויקט נבחנו בדקדקנות. לעומת זאת, בדיקות ההתאמה ליישום מתווה ה-</w:t>
      </w:r>
      <w:r>
        <w:rPr>
          <w:rFonts w:hint="cs"/>
        </w:rPr>
        <w:t>PPP</w:t>
      </w:r>
      <w:r>
        <w:rPr>
          <w:rFonts w:hint="cs"/>
          <w:rtl/>
        </w:rPr>
        <w:t xml:space="preserve"> מתבצעות בחטיבה בשלב מוקדם יותר.</w:t>
      </w:r>
    </w:p>
    <w:p w14:paraId="1DD3AEC0" w14:textId="77777777" w:rsidR="00823E3A" w:rsidRPr="00CC4CB9" w:rsidRDefault="00823E3A" w:rsidP="001B58E5">
      <w:pPr>
        <w:pStyle w:val="ae"/>
      </w:pPr>
      <w:r>
        <w:rPr>
          <w:rFonts w:hint="cs"/>
          <w:rtl/>
        </w:rPr>
        <w:lastRenderedPageBreak/>
        <w:t>הבחירה בשיטת ביצוע הפרויקט מושפעת בין היתר מקיומו ומגודלו של מענק ההקמה. על כן ראוי שבדיקות ההתאמה יבחנו לעומקן את המשמעויות של אופן יישומו, בפרט לנוכח ההשקעה הגדולה הכרוכה במעבר לשלבי המכרז המתקדמים המקשה לסגת מבחירת מתווה ה-</w:t>
      </w:r>
      <w:r>
        <w:rPr>
          <w:rFonts w:hint="cs"/>
        </w:rPr>
        <w:t>PPP</w:t>
      </w:r>
      <w:r>
        <w:rPr>
          <w:rFonts w:hint="cs"/>
          <w:rtl/>
        </w:rPr>
        <w:t>.</w:t>
      </w:r>
    </w:p>
    <w:p w14:paraId="2A2FC2EB" w14:textId="77777777" w:rsidR="00823E3A" w:rsidRDefault="00823E3A" w:rsidP="005614EB">
      <w:pPr>
        <w:pStyle w:val="a3"/>
      </w:pPr>
      <w:r w:rsidRPr="001B58E5">
        <w:rPr>
          <w:rStyle w:val="Heading6Char"/>
          <w:rFonts w:hint="eastAsia"/>
          <w:color w:val="387026"/>
          <w:spacing w:val="0"/>
          <w:rtl/>
        </w:rPr>
        <w:t>מנהלת</w:t>
      </w:r>
      <w:r w:rsidRPr="001B58E5">
        <w:rPr>
          <w:rStyle w:val="Heading6Char"/>
          <w:color w:val="387026"/>
          <w:spacing w:val="0"/>
          <w:rtl/>
        </w:rPr>
        <w:t xml:space="preserve"> </w:t>
      </w:r>
      <w:r w:rsidRPr="001B58E5">
        <w:rPr>
          <w:rStyle w:val="Heading6Char"/>
          <w:rFonts w:hint="eastAsia"/>
          <w:color w:val="387026"/>
          <w:spacing w:val="0"/>
          <w:rtl/>
        </w:rPr>
        <w:t>הבינוי</w:t>
      </w:r>
      <w:r w:rsidRPr="001B58E5">
        <w:rPr>
          <w:rStyle w:val="Heading6Char"/>
          <w:color w:val="387026"/>
          <w:spacing w:val="0"/>
          <w:rtl/>
        </w:rPr>
        <w:t>:</w:t>
      </w:r>
      <w:r w:rsidRPr="002F0255">
        <w:rPr>
          <w:rtl/>
        </w:rPr>
        <w:t xml:space="preserve"> נמצא </w:t>
      </w:r>
      <w:r w:rsidRPr="002F0255">
        <w:rPr>
          <w:rFonts w:hint="eastAsia"/>
          <w:rtl/>
        </w:rPr>
        <w:t>לחיוב</w:t>
      </w:r>
      <w:r w:rsidRPr="002F0255">
        <w:rPr>
          <w:rtl/>
        </w:rPr>
        <w:t xml:space="preserve"> </w:t>
      </w:r>
      <w:r w:rsidRPr="002F0255">
        <w:rPr>
          <w:rFonts w:hint="eastAsia"/>
          <w:rtl/>
        </w:rPr>
        <w:t>כי</w:t>
      </w:r>
      <w:r w:rsidRPr="002F0255">
        <w:rPr>
          <w:rtl/>
        </w:rPr>
        <w:t xml:space="preserve"> </w:t>
      </w:r>
      <w:r w:rsidRPr="002F0255">
        <w:rPr>
          <w:rFonts w:hint="eastAsia"/>
          <w:rtl/>
        </w:rPr>
        <w:t>המנהלת</w:t>
      </w:r>
      <w:r w:rsidRPr="002F0255">
        <w:rPr>
          <w:rtl/>
        </w:rPr>
        <w:t xml:space="preserve"> </w:t>
      </w:r>
      <w:r w:rsidRPr="002F0255">
        <w:rPr>
          <w:rFonts w:hint="eastAsia"/>
          <w:rtl/>
        </w:rPr>
        <w:t>בוחנת</w:t>
      </w:r>
      <w:r w:rsidRPr="002F0255">
        <w:rPr>
          <w:rtl/>
        </w:rPr>
        <w:t xml:space="preserve"> </w:t>
      </w:r>
      <w:r w:rsidRPr="002F0255">
        <w:rPr>
          <w:rFonts w:hint="eastAsia"/>
          <w:rtl/>
        </w:rPr>
        <w:t>דרך</w:t>
      </w:r>
      <w:r w:rsidRPr="002F0255">
        <w:rPr>
          <w:rtl/>
        </w:rPr>
        <w:t xml:space="preserve"> </w:t>
      </w:r>
      <w:r w:rsidRPr="002F0255">
        <w:rPr>
          <w:rFonts w:hint="eastAsia"/>
          <w:rtl/>
        </w:rPr>
        <w:t>קבע</w:t>
      </w:r>
      <w:r w:rsidRPr="002F0255">
        <w:rPr>
          <w:rtl/>
        </w:rPr>
        <w:t xml:space="preserve"> </w:t>
      </w:r>
      <w:r>
        <w:rPr>
          <w:rFonts w:hint="cs"/>
          <w:rtl/>
        </w:rPr>
        <w:t>את ה</w:t>
      </w:r>
      <w:r w:rsidRPr="002F0255">
        <w:rPr>
          <w:rFonts w:hint="eastAsia"/>
          <w:rtl/>
        </w:rPr>
        <w:t>יישום</w:t>
      </w:r>
      <w:r w:rsidRPr="002F0255">
        <w:rPr>
          <w:rtl/>
        </w:rPr>
        <w:t xml:space="preserve"> </w:t>
      </w:r>
      <w:r w:rsidRPr="002F0255">
        <w:rPr>
          <w:rFonts w:hint="eastAsia"/>
          <w:rtl/>
        </w:rPr>
        <w:t>של</w:t>
      </w:r>
      <w:r w:rsidRPr="002F0255">
        <w:rPr>
          <w:rtl/>
        </w:rPr>
        <w:t xml:space="preserve"> </w:t>
      </w:r>
      <w:r w:rsidRPr="002F0255">
        <w:rPr>
          <w:rFonts w:hint="eastAsia"/>
          <w:rtl/>
        </w:rPr>
        <w:t>מענקי</w:t>
      </w:r>
      <w:r w:rsidRPr="002F0255">
        <w:rPr>
          <w:rtl/>
        </w:rPr>
        <w:t xml:space="preserve"> </w:t>
      </w:r>
      <w:r>
        <w:rPr>
          <w:rFonts w:hint="cs"/>
          <w:rtl/>
        </w:rPr>
        <w:t>ה</w:t>
      </w:r>
      <w:r w:rsidRPr="002F0255">
        <w:rPr>
          <w:rFonts w:hint="eastAsia"/>
          <w:rtl/>
        </w:rPr>
        <w:t>הקמה</w:t>
      </w:r>
      <w:r w:rsidRPr="002F0255">
        <w:rPr>
          <w:rtl/>
        </w:rPr>
        <w:t xml:space="preserve">. עם זאת, </w:t>
      </w:r>
      <w:r>
        <w:rPr>
          <w:rFonts w:hint="cs"/>
          <w:rtl/>
        </w:rPr>
        <w:t xml:space="preserve">עמדת המנהלת היא כי </w:t>
      </w:r>
      <w:r w:rsidRPr="002F0255">
        <w:rPr>
          <w:rFonts w:hint="eastAsia"/>
          <w:rtl/>
        </w:rPr>
        <w:t>שיעור</w:t>
      </w:r>
      <w:r w:rsidRPr="002F0255">
        <w:rPr>
          <w:rtl/>
        </w:rPr>
        <w:t xml:space="preserve"> </w:t>
      </w:r>
      <w:r w:rsidRPr="002F0255">
        <w:rPr>
          <w:rFonts w:hint="eastAsia"/>
          <w:rtl/>
        </w:rPr>
        <w:t>מענק</w:t>
      </w:r>
      <w:r w:rsidRPr="002F0255">
        <w:rPr>
          <w:rtl/>
        </w:rPr>
        <w:t xml:space="preserve"> ההקמה הניתן בפועל </w:t>
      </w:r>
      <w:r w:rsidRPr="002F0255">
        <w:rPr>
          <w:rFonts w:hint="eastAsia"/>
          <w:rtl/>
        </w:rPr>
        <w:t>נמוך</w:t>
      </w:r>
      <w:r w:rsidRPr="002F0255">
        <w:rPr>
          <w:rtl/>
        </w:rPr>
        <w:t xml:space="preserve"> מהשיעור </w:t>
      </w:r>
      <w:r>
        <w:rPr>
          <w:rFonts w:hint="cs"/>
          <w:rtl/>
        </w:rPr>
        <w:t xml:space="preserve">הרצוי </w:t>
      </w:r>
      <w:r w:rsidRPr="002F0255">
        <w:rPr>
          <w:rtl/>
        </w:rPr>
        <w:t>להשגת</w:t>
      </w:r>
      <w:r>
        <w:rPr>
          <w:rFonts w:hint="cs"/>
          <w:rtl/>
        </w:rPr>
        <w:t xml:space="preserve"> התייעלות כלכלית מיטבית, ככלל.</w:t>
      </w:r>
    </w:p>
    <w:p w14:paraId="3C7A176C" w14:textId="77777777" w:rsidR="00823E3A" w:rsidRDefault="00823E3A" w:rsidP="005614EB">
      <w:pPr>
        <w:pStyle w:val="a3"/>
      </w:pPr>
      <w:r w:rsidRPr="001B58E5">
        <w:rPr>
          <w:rStyle w:val="Heading6Char"/>
          <w:rFonts w:hint="cs"/>
          <w:color w:val="387026"/>
          <w:spacing w:val="0"/>
          <w:rtl/>
        </w:rPr>
        <w:t>משרד הביטחון:</w:t>
      </w:r>
      <w:r>
        <w:rPr>
          <w:rFonts w:hint="cs"/>
          <w:rtl/>
        </w:rPr>
        <w:t xml:space="preserve"> נמצא</w:t>
      </w:r>
      <w:r w:rsidRPr="000513D2">
        <w:rPr>
          <w:rFonts w:hint="cs"/>
          <w:rtl/>
        </w:rPr>
        <w:t xml:space="preserve"> כי </w:t>
      </w:r>
      <w:r>
        <w:rPr>
          <w:rFonts w:hint="cs"/>
          <w:rtl/>
        </w:rPr>
        <w:t>בבדיקות ההתאמה של שלושה מתוך חמשת הפרויקטים</w:t>
      </w:r>
      <w:r w:rsidRPr="000513D2">
        <w:rPr>
          <w:rFonts w:hint="cs"/>
          <w:rtl/>
        </w:rPr>
        <w:t xml:space="preserve"> של משרד הביטחון לא נבחן </w:t>
      </w:r>
      <w:r>
        <w:rPr>
          <w:rFonts w:hint="cs"/>
          <w:rtl/>
        </w:rPr>
        <w:t xml:space="preserve">כלל </w:t>
      </w:r>
      <w:r w:rsidRPr="000513D2">
        <w:rPr>
          <w:rFonts w:hint="cs"/>
          <w:rtl/>
        </w:rPr>
        <w:t>השימוש במענקי ההקמה</w:t>
      </w:r>
      <w:r>
        <w:rPr>
          <w:rStyle w:val="FootnoteReference"/>
          <w:rtl/>
        </w:rPr>
        <w:footnoteReference w:id="72"/>
      </w:r>
      <w:r w:rsidRPr="000513D2">
        <w:rPr>
          <w:rFonts w:hint="cs"/>
          <w:rtl/>
        </w:rPr>
        <w:t xml:space="preserve">, </w:t>
      </w:r>
      <w:r>
        <w:rPr>
          <w:rFonts w:hint="cs"/>
          <w:rtl/>
        </w:rPr>
        <w:t xml:space="preserve">וזאת </w:t>
      </w:r>
      <w:r w:rsidRPr="000513D2">
        <w:rPr>
          <w:rFonts w:hint="cs"/>
          <w:rtl/>
        </w:rPr>
        <w:t>למרות הנהוג ב</w:t>
      </w:r>
      <w:r>
        <w:rPr>
          <w:rFonts w:hint="cs"/>
          <w:rtl/>
        </w:rPr>
        <w:t>עריכת חוזי זיכיון מהסוג שבו משתמש המשרד ביישום המתווה</w:t>
      </w:r>
      <w:r>
        <w:rPr>
          <w:rStyle w:val="FootnoteReference"/>
          <w:rtl/>
        </w:rPr>
        <w:footnoteReference w:id="73"/>
      </w:r>
      <w:r>
        <w:rPr>
          <w:rFonts w:hint="cs"/>
          <w:rtl/>
        </w:rPr>
        <w:t>. יתר על כן, שתי בדיקות ההתאמה אשר כללו בחינה של השימוש במענקי הקמה התבססו על מענקים בשיעור של 80%</w:t>
      </w:r>
      <w:r>
        <w:rPr>
          <w:rStyle w:val="FootnoteReference"/>
          <w:rtl/>
        </w:rPr>
        <w:footnoteReference w:id="74"/>
      </w:r>
      <w:r>
        <w:rPr>
          <w:rFonts w:hint="cs"/>
          <w:rtl/>
        </w:rPr>
        <w:t>, אם כי בפועל ניתנו מענקי הקמה בשיעורים נמוכים בעשרות אחוזים, וזאת בלא שנשקלה השפעתה של הקטנת המענקים על הפרויקטים.</w:t>
      </w:r>
    </w:p>
    <w:p w14:paraId="093C7BEF" w14:textId="77777777" w:rsidR="00823E3A" w:rsidRDefault="00823E3A" w:rsidP="005614EB">
      <w:pPr>
        <w:pStyle w:val="af4"/>
        <w:rPr>
          <w:rtl/>
        </w:rPr>
      </w:pPr>
      <w:r>
        <w:rPr>
          <w:rFonts w:hint="cs"/>
          <w:rtl/>
        </w:rPr>
        <w:t xml:space="preserve">משרד הביטחון כתב לצוות הביקורת ביולי 2019 </w:t>
      </w:r>
      <w:r w:rsidRPr="000513D2">
        <w:rPr>
          <w:rFonts w:hint="cs"/>
          <w:rtl/>
        </w:rPr>
        <w:t xml:space="preserve">כי בכל הפרויקטים נבחן קיומו של מענק הקמה גם אם </w:t>
      </w:r>
      <w:r>
        <w:rPr>
          <w:rFonts w:hint="cs"/>
          <w:rtl/>
        </w:rPr>
        <w:t xml:space="preserve">הדבר </w:t>
      </w:r>
      <w:r w:rsidRPr="000513D2">
        <w:rPr>
          <w:rFonts w:hint="cs"/>
          <w:rtl/>
        </w:rPr>
        <w:t xml:space="preserve">לא נרשם </w:t>
      </w:r>
      <w:r>
        <w:rPr>
          <w:rFonts w:hint="cs"/>
          <w:rtl/>
        </w:rPr>
        <w:t>בבירור</w:t>
      </w:r>
      <w:r w:rsidRPr="000513D2">
        <w:rPr>
          <w:rFonts w:hint="cs"/>
          <w:rtl/>
        </w:rPr>
        <w:t xml:space="preserve">, ובפועל הוחלט </w:t>
      </w:r>
      <w:r>
        <w:rPr>
          <w:rFonts w:hint="cs"/>
          <w:rtl/>
        </w:rPr>
        <w:t>שיינתנו</w:t>
      </w:r>
      <w:r w:rsidRPr="000513D2">
        <w:rPr>
          <w:rFonts w:hint="cs"/>
          <w:rtl/>
        </w:rPr>
        <w:t xml:space="preserve"> מענקי הקמה בכל הפרויקטים ב</w:t>
      </w:r>
      <w:r>
        <w:rPr>
          <w:rFonts w:hint="cs"/>
          <w:rtl/>
        </w:rPr>
        <w:t xml:space="preserve">שיעור </w:t>
      </w:r>
      <w:r w:rsidRPr="000513D2">
        <w:rPr>
          <w:rFonts w:hint="cs"/>
          <w:rtl/>
        </w:rPr>
        <w:t>של 20% עד 60% ובת</w:t>
      </w:r>
      <w:r>
        <w:rPr>
          <w:rFonts w:hint="cs"/>
          <w:rtl/>
        </w:rPr>
        <w:t>י</w:t>
      </w:r>
      <w:r w:rsidRPr="000513D2">
        <w:rPr>
          <w:rFonts w:hint="cs"/>
          <w:rtl/>
        </w:rPr>
        <w:t>אום עם אגף התקציבים</w:t>
      </w:r>
      <w:r>
        <w:rPr>
          <w:rFonts w:hint="cs"/>
          <w:rtl/>
        </w:rPr>
        <w:t xml:space="preserve"> במשרד האוצר.</w:t>
      </w:r>
    </w:p>
    <w:p w14:paraId="5DC0E9F1" w14:textId="77777777" w:rsidR="00823E3A" w:rsidRPr="00FA7B8F" w:rsidRDefault="00823E3A" w:rsidP="005614EB">
      <w:pPr>
        <w:pStyle w:val="af4"/>
        <w:rPr>
          <w:rtl/>
        </w:rPr>
      </w:pPr>
      <w:r>
        <w:rPr>
          <w:rFonts w:hint="cs"/>
          <w:rtl/>
        </w:rPr>
        <w:t>בתשובת אגף התקציבים צוין כי בשנת 2019 נבחן שוב שיעורו הרצוי של מענק ההקמה בחלק מהפרויקטים. הבחינה נעשתה בשיתוף משרד הביטחון, ונבדקו היבטי הכדאיות הכלכלית, התחרות בין המציעים, עלויות המימון וכן עלות הפרויקטים בכללותם. בעקבות זאת עודכן שיעורם של המענקים תוך ביצוע איזון מיטבי.</w:t>
      </w:r>
    </w:p>
    <w:p w14:paraId="22C31AB5" w14:textId="77777777" w:rsidR="00823E3A" w:rsidRDefault="00823E3A" w:rsidP="005614EB">
      <w:pPr>
        <w:pStyle w:val="af5"/>
        <w:rPr>
          <w:rtl/>
        </w:rPr>
      </w:pPr>
      <w:r w:rsidRPr="0037705F">
        <w:rPr>
          <w:rFonts w:hint="cs"/>
          <w:rtl/>
        </w:rPr>
        <w:t>מענקי ההקמה משפיעים במידה רבה על עלות הפרויקט ועל פריסתו התזרימית. לפיכך חשוב מאוד לבחון בכל פרויקט מהו התמהיל הרצוי בין מימון ציבורי באמצעות מענקי הקמה לבין מימון באמצעות המגזר הפרטי המעורב בפרויקט. על בחינה זו לכלול ניתוחי רגישות של מכלול הנושאים המשפיעים על הציבור, לרבות היקף ותזרים הפרויקט, הסיכונים הקיימים בו ומצב התחרות בשוק, לצד בחינה של השפעת השינויים על כדאיות הפרויקט למגזר הפרטי. על כן ראוי שבדיקות ההתאמה ישקפו בבירור בחינת חלופות שונות של גובה מענק ההקמה.</w:t>
      </w:r>
    </w:p>
    <w:p w14:paraId="31E444EE" w14:textId="282409B5" w:rsidR="00823E3A" w:rsidRDefault="00823E3A" w:rsidP="00823E3A">
      <w:pPr>
        <w:pStyle w:val="aff8"/>
        <w:spacing w:line="269" w:lineRule="auto"/>
        <w:rPr>
          <w:rtl/>
        </w:rPr>
      </w:pPr>
    </w:p>
    <w:p w14:paraId="1E16CFA3" w14:textId="5297A349" w:rsidR="00823E3A" w:rsidRDefault="00823E3A" w:rsidP="005614EB">
      <w:pPr>
        <w:pStyle w:val="100"/>
        <w:rPr>
          <w:rtl/>
        </w:rPr>
      </w:pPr>
      <w:r>
        <w:rPr>
          <w:rFonts w:hint="cs"/>
          <w:rtl/>
        </w:rPr>
        <w:t xml:space="preserve">בתשובת משרד הביטחון למשרד מבקר המדינה מדצמבר 2019 (להלן - תשובת משרד הביטחון) צוין כי הערת הביקורת מקובלת. </w:t>
      </w:r>
    </w:p>
    <w:p w14:paraId="12B49A43" w14:textId="1E6019CA" w:rsidR="00823E3A" w:rsidRDefault="00823E3A" w:rsidP="005614EB">
      <w:pPr>
        <w:pStyle w:val="100"/>
        <w:rPr>
          <w:rtl/>
        </w:rPr>
      </w:pPr>
      <w:r>
        <w:rPr>
          <w:rFonts w:hint="cs"/>
          <w:rtl/>
        </w:rPr>
        <w:lastRenderedPageBreak/>
        <w:t>כלי פיננסי נוסף העשוי לתרום ל</w:t>
      </w:r>
      <w:r w:rsidRPr="000513D2">
        <w:rPr>
          <w:rFonts w:hint="cs"/>
          <w:rtl/>
        </w:rPr>
        <w:t>תמהיל המימון</w:t>
      </w:r>
      <w:r>
        <w:rPr>
          <w:rFonts w:hint="cs"/>
          <w:rtl/>
        </w:rPr>
        <w:t xml:space="preserve"> של פרויקטים בשיטת </w:t>
      </w:r>
      <w:r>
        <w:rPr>
          <w:rFonts w:hint="cs"/>
        </w:rPr>
        <w:t>PPP</w:t>
      </w:r>
      <w:r w:rsidRPr="000513D2">
        <w:rPr>
          <w:rFonts w:hint="cs"/>
          <w:rtl/>
        </w:rPr>
        <w:t xml:space="preserve"> </w:t>
      </w:r>
      <w:r>
        <w:rPr>
          <w:rFonts w:hint="cs"/>
          <w:rtl/>
        </w:rPr>
        <w:t>הוא</w:t>
      </w:r>
      <w:r w:rsidRPr="000513D2">
        <w:rPr>
          <w:rFonts w:hint="cs"/>
          <w:rtl/>
        </w:rPr>
        <w:t xml:space="preserve"> ערבויות מדינה. </w:t>
      </w:r>
      <w:r>
        <w:rPr>
          <w:rFonts w:hint="cs"/>
          <w:rtl/>
        </w:rPr>
        <w:t>ערבויות אלה נועדו להבטיח</w:t>
      </w:r>
      <w:r>
        <w:rPr>
          <w:rtl/>
        </w:rPr>
        <w:t xml:space="preserve"> למ</w:t>
      </w:r>
      <w:r>
        <w:rPr>
          <w:rFonts w:hint="cs"/>
          <w:rtl/>
        </w:rPr>
        <w:t>ממן הפרויקט</w:t>
      </w:r>
      <w:r>
        <w:rPr>
          <w:rtl/>
        </w:rPr>
        <w:t xml:space="preserve"> כי</w:t>
      </w:r>
      <w:r>
        <w:rPr>
          <w:rFonts w:hint="cs"/>
          <w:rtl/>
        </w:rPr>
        <w:t xml:space="preserve"> המדינה</w:t>
      </w:r>
      <w:r>
        <w:rPr>
          <w:rtl/>
        </w:rPr>
        <w:t xml:space="preserve"> תיכנס לנעלי </w:t>
      </w:r>
      <w:r>
        <w:rPr>
          <w:rFonts w:hint="cs"/>
          <w:rtl/>
        </w:rPr>
        <w:t>הזכיין במידת הצורך</w:t>
      </w:r>
      <w:r>
        <w:rPr>
          <w:rtl/>
        </w:rPr>
        <w:t xml:space="preserve"> ות</w:t>
      </w:r>
      <w:r>
        <w:rPr>
          <w:rFonts w:hint="cs"/>
          <w:rtl/>
        </w:rPr>
        <w:t>פרע</w:t>
      </w:r>
      <w:r>
        <w:rPr>
          <w:rtl/>
        </w:rPr>
        <w:t xml:space="preserve"> את </w:t>
      </w:r>
      <w:r>
        <w:rPr>
          <w:rFonts w:hint="cs"/>
          <w:rtl/>
        </w:rPr>
        <w:t>חובו</w:t>
      </w:r>
      <w:r>
        <w:rPr>
          <w:rtl/>
        </w:rPr>
        <w:t xml:space="preserve"> </w:t>
      </w:r>
      <w:r>
        <w:rPr>
          <w:rFonts w:hint="cs"/>
          <w:rtl/>
        </w:rPr>
        <w:t xml:space="preserve">אם </w:t>
      </w:r>
      <w:r>
        <w:rPr>
          <w:rtl/>
        </w:rPr>
        <w:t xml:space="preserve">לא יוכל לעמוד בהתחייבויותיו. </w:t>
      </w:r>
      <w:r>
        <w:rPr>
          <w:rFonts w:hint="cs"/>
          <w:rtl/>
        </w:rPr>
        <w:t xml:space="preserve">מתן הערבות מפחית את עלויות המימון של המגזר הפרטי ולכן גם את עלויות הפרויקט. </w:t>
      </w:r>
    </w:p>
    <w:p w14:paraId="415FCF8B" w14:textId="4D856277" w:rsidR="00823E3A" w:rsidRDefault="00823E3A" w:rsidP="005614EB">
      <w:pPr>
        <w:pStyle w:val="100"/>
        <w:rPr>
          <w:rtl/>
        </w:rPr>
      </w:pPr>
      <w:r>
        <w:rPr>
          <w:rFonts w:hint="cs"/>
          <w:rtl/>
        </w:rPr>
        <w:t>כלי מימון זה אינו נושא ע</w:t>
      </w:r>
      <w:r>
        <w:rPr>
          <w:rtl/>
        </w:rPr>
        <w:t xml:space="preserve">לות </w:t>
      </w:r>
      <w:r>
        <w:rPr>
          <w:rFonts w:hint="cs"/>
          <w:rtl/>
        </w:rPr>
        <w:t>מיידית</w:t>
      </w:r>
      <w:r>
        <w:rPr>
          <w:rtl/>
        </w:rPr>
        <w:t xml:space="preserve"> ו</w:t>
      </w:r>
      <w:r>
        <w:rPr>
          <w:rFonts w:hint="cs"/>
          <w:rtl/>
        </w:rPr>
        <w:t>אף עשוי ש</w:t>
      </w:r>
      <w:r>
        <w:rPr>
          <w:rtl/>
        </w:rPr>
        <w:t>לא</w:t>
      </w:r>
      <w:r>
        <w:rPr>
          <w:rFonts w:hint="cs"/>
          <w:rtl/>
        </w:rPr>
        <w:t xml:space="preserve"> לשאת עלות כלל, ולכן הוא עשוי לשמש כמנוע צמיחה חשוב. לצד יתרונות אלו,</w:t>
      </w:r>
      <w:r>
        <w:rPr>
          <w:rtl/>
        </w:rPr>
        <w:t xml:space="preserve"> </w:t>
      </w:r>
      <w:r>
        <w:rPr>
          <w:rFonts w:hint="cs"/>
          <w:rtl/>
        </w:rPr>
        <w:t>חסרונן של ערבויות מדינה בא לידי ביטוי ברמת הוודאות הנמוכה</w:t>
      </w:r>
      <w:r>
        <w:rPr>
          <w:rtl/>
        </w:rPr>
        <w:t xml:space="preserve"> בנוגע למועד התשלום</w:t>
      </w:r>
      <w:r>
        <w:rPr>
          <w:rFonts w:hint="cs"/>
          <w:rtl/>
        </w:rPr>
        <w:t xml:space="preserve"> ולהיקפו העשויים להידרש מהמדינה, ולכן </w:t>
      </w:r>
      <w:r>
        <w:rPr>
          <w:rtl/>
        </w:rPr>
        <w:t>שימוש נרחב ב</w:t>
      </w:r>
      <w:r>
        <w:rPr>
          <w:rFonts w:hint="cs"/>
          <w:rtl/>
        </w:rPr>
        <w:t xml:space="preserve">ערבויות </w:t>
      </w:r>
      <w:r>
        <w:rPr>
          <w:rtl/>
        </w:rPr>
        <w:t>עלול לגרום להכבדה פיסקלית</w:t>
      </w:r>
      <w:r>
        <w:rPr>
          <w:rFonts w:hint="cs"/>
          <w:rtl/>
        </w:rPr>
        <w:t>.</w:t>
      </w:r>
    </w:p>
    <w:p w14:paraId="749B8FEA" w14:textId="7793B119" w:rsidR="00823E3A" w:rsidRDefault="00823E3A" w:rsidP="005614EB">
      <w:pPr>
        <w:pStyle w:val="100"/>
        <w:rPr>
          <w:rtl/>
        </w:rPr>
      </w:pPr>
      <w:r>
        <w:rPr>
          <w:rFonts w:hint="cs"/>
          <w:rtl/>
        </w:rPr>
        <w:t xml:space="preserve">מרבית ערבויות המדינה מועמדות </w:t>
      </w:r>
      <w:r w:rsidRPr="000513D2">
        <w:rPr>
          <w:rFonts w:hint="cs"/>
          <w:rtl/>
        </w:rPr>
        <w:t xml:space="preserve">מתוקף </w:t>
      </w:r>
      <w:r>
        <w:rPr>
          <w:rFonts w:hint="cs"/>
          <w:rtl/>
        </w:rPr>
        <w:t>חוק ערבויות מטעם המדינה, התשי"ח</w:t>
      </w:r>
      <w:r w:rsidRPr="000513D2">
        <w:rPr>
          <w:rFonts w:hint="cs"/>
          <w:rtl/>
        </w:rPr>
        <w:t>-1958</w:t>
      </w:r>
      <w:r>
        <w:rPr>
          <w:rFonts w:hint="cs"/>
          <w:rtl/>
        </w:rPr>
        <w:t>,</w:t>
      </w:r>
      <w:r w:rsidRPr="000513D2">
        <w:rPr>
          <w:rFonts w:hint="cs"/>
          <w:rtl/>
        </w:rPr>
        <w:t xml:space="preserve"> להתחייבויות כספיות </w:t>
      </w:r>
      <w:r>
        <w:rPr>
          <w:rFonts w:hint="cs"/>
          <w:rtl/>
        </w:rPr>
        <w:t xml:space="preserve">החשובות מבחינה </w:t>
      </w:r>
      <w:r w:rsidRPr="000513D2">
        <w:rPr>
          <w:rFonts w:hint="cs"/>
          <w:rtl/>
        </w:rPr>
        <w:t xml:space="preserve">כלכלית או </w:t>
      </w:r>
      <w:r>
        <w:rPr>
          <w:rFonts w:hint="cs"/>
          <w:rtl/>
        </w:rPr>
        <w:t xml:space="preserve">שיש בהן </w:t>
      </w:r>
      <w:r w:rsidRPr="000513D2">
        <w:rPr>
          <w:rFonts w:hint="cs"/>
          <w:rtl/>
        </w:rPr>
        <w:t>עניין לכלל</w:t>
      </w:r>
      <w:r>
        <w:rPr>
          <w:rStyle w:val="FootnoteReference"/>
          <w:rtl/>
        </w:rPr>
        <w:footnoteReference w:id="75"/>
      </w:r>
      <w:r w:rsidRPr="000513D2">
        <w:rPr>
          <w:rFonts w:hint="cs"/>
          <w:rtl/>
        </w:rPr>
        <w:t xml:space="preserve">. סעיף 3(ב) לחוק קובע כי סכום הערבויות התקפות לא יעלה, בכל עת, על </w:t>
      </w:r>
      <w:r>
        <w:rPr>
          <w:rFonts w:hint="cs"/>
          <w:rtl/>
        </w:rPr>
        <w:t xml:space="preserve">10% </w:t>
      </w:r>
      <w:r w:rsidRPr="000513D2">
        <w:rPr>
          <w:rFonts w:hint="cs"/>
          <w:rtl/>
        </w:rPr>
        <w:t>מתקציב המדינה לאותה שנת כספים</w:t>
      </w:r>
      <w:r>
        <w:rPr>
          <w:rFonts w:hint="cs"/>
          <w:rtl/>
        </w:rPr>
        <w:t xml:space="preserve"> (</w:t>
      </w:r>
      <w:r w:rsidRPr="000513D2">
        <w:rPr>
          <w:rFonts w:hint="cs"/>
          <w:rtl/>
        </w:rPr>
        <w:t>למעט תקציב הפיתוח</w:t>
      </w:r>
      <w:r>
        <w:rPr>
          <w:rFonts w:hint="cs"/>
          <w:rtl/>
        </w:rPr>
        <w:t>)</w:t>
      </w:r>
      <w:r w:rsidRPr="000513D2">
        <w:rPr>
          <w:rFonts w:hint="cs"/>
          <w:rtl/>
        </w:rPr>
        <w:t xml:space="preserve">. בשנת 2018 עמד </w:t>
      </w:r>
      <w:r>
        <w:rPr>
          <w:rFonts w:hint="cs"/>
          <w:rtl/>
        </w:rPr>
        <w:t>ה</w:t>
      </w:r>
      <w:r w:rsidRPr="000513D2">
        <w:rPr>
          <w:rFonts w:hint="cs"/>
          <w:rtl/>
        </w:rPr>
        <w:t xml:space="preserve">סכום </w:t>
      </w:r>
      <w:r>
        <w:rPr>
          <w:rFonts w:hint="cs"/>
          <w:rtl/>
        </w:rPr>
        <w:t xml:space="preserve">של </w:t>
      </w:r>
      <w:r w:rsidRPr="000513D2">
        <w:rPr>
          <w:rFonts w:hint="cs"/>
          <w:rtl/>
        </w:rPr>
        <w:t>מגבלת הערבויות על כ-33,711 מיליוני ש"ח. תרשים</w:t>
      </w:r>
      <w:r>
        <w:rPr>
          <w:rFonts w:hint="cs"/>
          <w:rtl/>
        </w:rPr>
        <w:t xml:space="preserve"> 10</w:t>
      </w:r>
      <w:r w:rsidRPr="000513D2">
        <w:rPr>
          <w:rFonts w:hint="cs"/>
          <w:rtl/>
        </w:rPr>
        <w:t xml:space="preserve"> מציג את המסגרת האפקטיבית</w:t>
      </w:r>
      <w:r>
        <w:rPr>
          <w:rStyle w:val="FootnoteReference"/>
          <w:rtl/>
        </w:rPr>
        <w:footnoteReference w:id="76"/>
      </w:r>
      <w:r w:rsidRPr="000513D2">
        <w:rPr>
          <w:rFonts w:hint="cs"/>
          <w:rtl/>
        </w:rPr>
        <w:t xml:space="preserve">, </w:t>
      </w:r>
      <w:r>
        <w:rPr>
          <w:rFonts w:hint="cs"/>
          <w:rtl/>
        </w:rPr>
        <w:t xml:space="preserve">את </w:t>
      </w:r>
      <w:r w:rsidRPr="000513D2">
        <w:rPr>
          <w:rFonts w:hint="cs"/>
          <w:rtl/>
        </w:rPr>
        <w:t>החשיפה בפועל</w:t>
      </w:r>
      <w:r>
        <w:rPr>
          <w:rStyle w:val="FootnoteReference"/>
          <w:rtl/>
        </w:rPr>
        <w:footnoteReference w:id="77"/>
      </w:r>
      <w:r w:rsidRPr="000513D2">
        <w:rPr>
          <w:rFonts w:hint="cs"/>
          <w:rtl/>
        </w:rPr>
        <w:t xml:space="preserve"> ואת יתרת המסגרות שלא נוצלו ביחס למסגרת האפקטיבית ולמגבלה הקבועה בחוק.</w:t>
      </w:r>
    </w:p>
    <w:p w14:paraId="0EED00C4" w14:textId="77777777" w:rsidR="00823E3A" w:rsidRDefault="00823E3A" w:rsidP="005614EB">
      <w:pPr>
        <w:pStyle w:val="aa"/>
        <w:rPr>
          <w:rtl/>
        </w:rPr>
      </w:pPr>
      <w:r w:rsidRPr="00750830">
        <w:rPr>
          <w:rFonts w:hint="cs"/>
          <w:rtl/>
        </w:rPr>
        <w:t xml:space="preserve">תרשים </w:t>
      </w:r>
      <w:r>
        <w:rPr>
          <w:rFonts w:hint="cs"/>
          <w:rtl/>
        </w:rPr>
        <w:t xml:space="preserve">10: </w:t>
      </w:r>
      <w:r w:rsidRPr="005614EB">
        <w:rPr>
          <w:rFonts w:hint="cs"/>
          <w:b/>
          <w:bCs/>
          <w:rtl/>
        </w:rPr>
        <w:t>ניצול מסגרת ערבויות המדינה (במיליוני ש"ח)</w:t>
      </w:r>
    </w:p>
    <w:p w14:paraId="35432350" w14:textId="77777777" w:rsidR="00823E3A" w:rsidRPr="00750830" w:rsidRDefault="00823E3A" w:rsidP="00823E3A">
      <w:pPr>
        <w:widowControl w:val="0"/>
        <w:spacing w:line="269" w:lineRule="auto"/>
        <w:jc w:val="center"/>
        <w:rPr>
          <w:b/>
          <w:bCs/>
          <w:rtl/>
        </w:rPr>
      </w:pPr>
      <w:r>
        <w:rPr>
          <w:noProof/>
        </w:rPr>
        <w:drawing>
          <wp:inline distT="0" distB="0" distL="0" distR="0" wp14:anchorId="5E4296FC" wp14:editId="3BA72640">
            <wp:extent cx="5219700" cy="1358900"/>
            <wp:effectExtent l="19050" t="19050" r="19050" b="12700"/>
            <wp:docPr id="22"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700" cy="1358900"/>
                    </a:xfrm>
                    <a:prstGeom prst="rect">
                      <a:avLst/>
                    </a:prstGeom>
                    <a:noFill/>
                    <a:ln>
                      <a:solidFill>
                        <a:schemeClr val="tx1"/>
                      </a:solidFill>
                    </a:ln>
                  </pic:spPr>
                </pic:pic>
              </a:graphicData>
            </a:graphic>
          </wp:inline>
        </w:drawing>
      </w:r>
    </w:p>
    <w:p w14:paraId="6BAE922C" w14:textId="77777777" w:rsidR="00823E3A" w:rsidRPr="00760A71" w:rsidRDefault="00823E3A" w:rsidP="00B10E6B">
      <w:pPr>
        <w:pStyle w:val="aff3"/>
        <w:rPr>
          <w:rtl/>
        </w:rPr>
      </w:pPr>
      <w:r w:rsidRPr="00760A71">
        <w:rPr>
          <w:rFonts w:hint="eastAsia"/>
          <w:rtl/>
        </w:rPr>
        <w:t>המקור</w:t>
      </w:r>
      <w:r w:rsidRPr="00760A71">
        <w:rPr>
          <w:rtl/>
        </w:rPr>
        <w:t xml:space="preserve">: </w:t>
      </w:r>
      <w:r w:rsidRPr="00760A71">
        <w:rPr>
          <w:rFonts w:hint="eastAsia"/>
          <w:rtl/>
        </w:rPr>
        <w:t>ביאור</w:t>
      </w:r>
      <w:r w:rsidRPr="00760A71">
        <w:rPr>
          <w:rtl/>
        </w:rPr>
        <w:t xml:space="preserve"> 22 </w:t>
      </w:r>
      <w:r w:rsidRPr="00760A71">
        <w:rPr>
          <w:rFonts w:hint="eastAsia"/>
          <w:rtl/>
        </w:rPr>
        <w:t>בדוחות</w:t>
      </w:r>
      <w:r w:rsidRPr="00760A71">
        <w:rPr>
          <w:rtl/>
        </w:rPr>
        <w:t xml:space="preserve"> </w:t>
      </w:r>
      <w:r w:rsidRPr="00760A71">
        <w:rPr>
          <w:rFonts w:hint="eastAsia"/>
          <w:rtl/>
        </w:rPr>
        <w:t>הכספיים</w:t>
      </w:r>
      <w:r w:rsidRPr="00760A71">
        <w:rPr>
          <w:rtl/>
        </w:rPr>
        <w:t xml:space="preserve"> </w:t>
      </w:r>
      <w:r w:rsidRPr="00760A71">
        <w:rPr>
          <w:rFonts w:hint="eastAsia"/>
          <w:rtl/>
        </w:rPr>
        <w:t>של</w:t>
      </w:r>
      <w:r w:rsidRPr="00760A71">
        <w:rPr>
          <w:rtl/>
        </w:rPr>
        <w:t xml:space="preserve"> </w:t>
      </w:r>
      <w:r w:rsidRPr="00760A71">
        <w:rPr>
          <w:rFonts w:hint="eastAsia"/>
          <w:rtl/>
        </w:rPr>
        <w:t>מדינת</w:t>
      </w:r>
      <w:r w:rsidRPr="00760A71">
        <w:rPr>
          <w:rtl/>
        </w:rPr>
        <w:t xml:space="preserve"> </w:t>
      </w:r>
      <w:r w:rsidRPr="00760A71">
        <w:rPr>
          <w:rFonts w:hint="eastAsia"/>
          <w:rtl/>
        </w:rPr>
        <w:t>ישראל</w:t>
      </w:r>
      <w:r w:rsidRPr="00760A71">
        <w:rPr>
          <w:rtl/>
        </w:rPr>
        <w:t xml:space="preserve"> </w:t>
      </w:r>
      <w:r w:rsidRPr="00760A71">
        <w:rPr>
          <w:rFonts w:hint="eastAsia"/>
          <w:rtl/>
        </w:rPr>
        <w:t>ליום</w:t>
      </w:r>
      <w:r w:rsidRPr="00760A71">
        <w:rPr>
          <w:rtl/>
        </w:rPr>
        <w:t xml:space="preserve"> 31.12.18, </w:t>
      </w:r>
      <w:r w:rsidRPr="00760A71">
        <w:rPr>
          <w:rFonts w:hint="eastAsia"/>
          <w:rtl/>
        </w:rPr>
        <w:t>בעיבוד</w:t>
      </w:r>
      <w:r w:rsidRPr="00760A71">
        <w:rPr>
          <w:rtl/>
        </w:rPr>
        <w:t xml:space="preserve"> משרד מבקר המדינה</w:t>
      </w:r>
    </w:p>
    <w:p w14:paraId="232A8138" w14:textId="3D83CBBD" w:rsidR="00823E3A" w:rsidRPr="000513D2" w:rsidRDefault="00823E3A" w:rsidP="005614EB">
      <w:pPr>
        <w:pStyle w:val="aff8"/>
        <w:spacing w:line="269" w:lineRule="auto"/>
        <w:ind w:left="0"/>
        <w:rPr>
          <w:rtl/>
        </w:rPr>
      </w:pPr>
    </w:p>
    <w:p w14:paraId="30AC1617" w14:textId="77777777" w:rsidR="00823E3A" w:rsidRDefault="00823E3A" w:rsidP="005614EB">
      <w:pPr>
        <w:pStyle w:val="100"/>
        <w:rPr>
          <w:rtl/>
        </w:rPr>
      </w:pPr>
      <w:r w:rsidRPr="000513D2">
        <w:rPr>
          <w:rFonts w:hint="cs"/>
          <w:rtl/>
        </w:rPr>
        <w:t>מנתוני התרשים עולה כי כ-</w:t>
      </w:r>
      <w:r>
        <w:rPr>
          <w:rFonts w:hint="cs"/>
          <w:rtl/>
        </w:rPr>
        <w:t>49</w:t>
      </w:r>
      <w:r w:rsidRPr="000513D2">
        <w:rPr>
          <w:rFonts w:hint="cs"/>
          <w:rtl/>
        </w:rPr>
        <w:t xml:space="preserve">% ממגבלת </w:t>
      </w:r>
      <w:r>
        <w:rPr>
          <w:rFonts w:hint="cs"/>
          <w:rtl/>
        </w:rPr>
        <w:t>ה</w:t>
      </w:r>
      <w:r w:rsidRPr="000513D2">
        <w:rPr>
          <w:rFonts w:hint="cs"/>
          <w:rtl/>
        </w:rPr>
        <w:t xml:space="preserve">ערבויות </w:t>
      </w:r>
      <w:r>
        <w:rPr>
          <w:rFonts w:hint="cs"/>
          <w:rtl/>
        </w:rPr>
        <w:t xml:space="preserve">של </w:t>
      </w:r>
      <w:r w:rsidRPr="000513D2">
        <w:rPr>
          <w:rFonts w:hint="cs"/>
          <w:rtl/>
        </w:rPr>
        <w:t>המדינה</w:t>
      </w:r>
      <w:r>
        <w:rPr>
          <w:rFonts w:hint="cs"/>
          <w:rtl/>
        </w:rPr>
        <w:t xml:space="preserve"> כפי שנקבעה בחוק (10% מהתקציב השנתי)</w:t>
      </w:r>
      <w:r w:rsidRPr="000513D2">
        <w:rPr>
          <w:rFonts w:hint="cs"/>
          <w:rtl/>
        </w:rPr>
        <w:t xml:space="preserve"> אינ</w:t>
      </w:r>
      <w:r>
        <w:rPr>
          <w:rFonts w:hint="cs"/>
          <w:rtl/>
        </w:rPr>
        <w:t>ם</w:t>
      </w:r>
      <w:r w:rsidRPr="000513D2">
        <w:rPr>
          <w:rFonts w:hint="cs"/>
          <w:rtl/>
        </w:rPr>
        <w:t xml:space="preserve"> מנוצל</w:t>
      </w:r>
      <w:r>
        <w:rPr>
          <w:rFonts w:hint="cs"/>
          <w:rtl/>
        </w:rPr>
        <w:t>ים</w:t>
      </w:r>
      <w:r w:rsidRPr="000513D2">
        <w:rPr>
          <w:rFonts w:hint="cs"/>
          <w:rtl/>
        </w:rPr>
        <w:t xml:space="preserve"> ואף אינ</w:t>
      </w:r>
      <w:r>
        <w:rPr>
          <w:rFonts w:hint="cs"/>
          <w:rtl/>
        </w:rPr>
        <w:t>ם</w:t>
      </w:r>
      <w:r w:rsidRPr="000513D2">
        <w:rPr>
          <w:rFonts w:hint="cs"/>
          <w:rtl/>
        </w:rPr>
        <w:t xml:space="preserve"> מקבל</w:t>
      </w:r>
      <w:r>
        <w:rPr>
          <w:rFonts w:hint="cs"/>
          <w:rtl/>
        </w:rPr>
        <w:t>ים</w:t>
      </w:r>
      <w:r w:rsidRPr="000513D2">
        <w:rPr>
          <w:rFonts w:hint="cs"/>
          <w:rtl/>
        </w:rPr>
        <w:t xml:space="preserve"> ביטוי בדוחות הכספיים למרות היתרון הכלכלי </w:t>
      </w:r>
      <w:r>
        <w:rPr>
          <w:rFonts w:hint="cs"/>
          <w:rtl/>
        </w:rPr>
        <w:t xml:space="preserve">שעשוי להיות </w:t>
      </w:r>
      <w:r w:rsidRPr="000513D2">
        <w:rPr>
          <w:rFonts w:hint="cs"/>
          <w:rtl/>
        </w:rPr>
        <w:t>טמון ב</w:t>
      </w:r>
      <w:r>
        <w:rPr>
          <w:rFonts w:hint="cs"/>
          <w:rtl/>
        </w:rPr>
        <w:t>ערבויות</w:t>
      </w:r>
      <w:r w:rsidRPr="000513D2">
        <w:rPr>
          <w:rFonts w:hint="cs"/>
          <w:rtl/>
        </w:rPr>
        <w:t>, ו</w:t>
      </w:r>
      <w:r>
        <w:rPr>
          <w:rFonts w:hint="cs"/>
          <w:rtl/>
        </w:rPr>
        <w:t>כ-</w:t>
      </w:r>
      <w:r w:rsidRPr="000513D2">
        <w:rPr>
          <w:rFonts w:hint="cs"/>
          <w:rtl/>
        </w:rPr>
        <w:t xml:space="preserve">31% מהמסגרת האפקטיבית </w:t>
      </w:r>
      <w:r>
        <w:rPr>
          <w:rFonts w:hint="cs"/>
          <w:rtl/>
        </w:rPr>
        <w:t xml:space="preserve">השנתית </w:t>
      </w:r>
      <w:r w:rsidRPr="000513D2">
        <w:rPr>
          <w:rFonts w:hint="cs"/>
          <w:rtl/>
        </w:rPr>
        <w:t>אינ</w:t>
      </w:r>
      <w:r>
        <w:rPr>
          <w:rFonts w:hint="cs"/>
          <w:rtl/>
        </w:rPr>
        <w:t>ם</w:t>
      </w:r>
      <w:r w:rsidRPr="000513D2">
        <w:rPr>
          <w:rFonts w:hint="cs"/>
          <w:rtl/>
        </w:rPr>
        <w:t xml:space="preserve"> מנוצל</w:t>
      </w:r>
      <w:r>
        <w:rPr>
          <w:rFonts w:hint="cs"/>
          <w:rtl/>
        </w:rPr>
        <w:t>ים</w:t>
      </w:r>
      <w:r w:rsidRPr="000513D2">
        <w:rPr>
          <w:rFonts w:hint="cs"/>
          <w:rtl/>
        </w:rPr>
        <w:t xml:space="preserve">. </w:t>
      </w:r>
      <w:r>
        <w:rPr>
          <w:rFonts w:hint="cs"/>
          <w:rtl/>
        </w:rPr>
        <w:t>הפער בין החשיפה בפועל לבין המסגרת האפקטיבית מוסבר בכך ש</w:t>
      </w:r>
      <w:r w:rsidRPr="000513D2">
        <w:rPr>
          <w:rFonts w:hint="cs"/>
          <w:rtl/>
        </w:rPr>
        <w:t>היקף מימוש הערבויות</w:t>
      </w:r>
      <w:r>
        <w:rPr>
          <w:rFonts w:hint="cs"/>
          <w:rtl/>
        </w:rPr>
        <w:t xml:space="preserve"> וזמן מימושן</w:t>
      </w:r>
      <w:r w:rsidRPr="000513D2">
        <w:rPr>
          <w:rFonts w:hint="cs"/>
          <w:rtl/>
        </w:rPr>
        <w:t xml:space="preserve"> אינם ידועים בהווה ותלויים באירועי </w:t>
      </w:r>
      <w:r>
        <w:rPr>
          <w:rFonts w:hint="cs"/>
          <w:rtl/>
        </w:rPr>
        <w:t>ה</w:t>
      </w:r>
      <w:r w:rsidRPr="000513D2">
        <w:rPr>
          <w:rFonts w:hint="cs"/>
          <w:rtl/>
        </w:rPr>
        <w:t xml:space="preserve">עתיד </w:t>
      </w:r>
      <w:r>
        <w:rPr>
          <w:rFonts w:hint="cs"/>
          <w:rtl/>
        </w:rPr>
        <w:t xml:space="preserve">שאינם ודאיים. לפיכך הוחלט באגף </w:t>
      </w:r>
      <w:r w:rsidRPr="000513D2">
        <w:rPr>
          <w:rFonts w:hint="cs"/>
          <w:rtl/>
        </w:rPr>
        <w:t xml:space="preserve">חשב הכללי </w:t>
      </w:r>
      <w:r>
        <w:rPr>
          <w:rFonts w:hint="cs"/>
          <w:rtl/>
        </w:rPr>
        <w:t xml:space="preserve">כי </w:t>
      </w:r>
      <w:r w:rsidRPr="000513D2">
        <w:rPr>
          <w:rFonts w:hint="cs"/>
          <w:rtl/>
        </w:rPr>
        <w:t xml:space="preserve">יתרת המגבלה שאינה מנוצלת </w:t>
      </w:r>
      <w:r>
        <w:rPr>
          <w:rFonts w:hint="cs"/>
          <w:rtl/>
        </w:rPr>
        <w:t>תיועד</w:t>
      </w:r>
      <w:r w:rsidRPr="000513D2">
        <w:rPr>
          <w:rFonts w:hint="cs"/>
          <w:rtl/>
        </w:rPr>
        <w:t xml:space="preserve"> למקרה של קריסת גוף חיוני בישראל </w:t>
      </w:r>
      <w:r w:rsidRPr="000513D2">
        <w:rPr>
          <w:rFonts w:hint="cs"/>
          <w:rtl/>
        </w:rPr>
        <w:lastRenderedPageBreak/>
        <w:t>ו</w:t>
      </w:r>
      <w:r>
        <w:rPr>
          <w:rFonts w:hint="cs"/>
          <w:rtl/>
        </w:rPr>
        <w:t>ל</w:t>
      </w:r>
      <w:r w:rsidRPr="000513D2">
        <w:rPr>
          <w:rFonts w:hint="cs"/>
          <w:rtl/>
        </w:rPr>
        <w:t xml:space="preserve">יוזמות </w:t>
      </w:r>
      <w:r>
        <w:rPr>
          <w:rFonts w:hint="cs"/>
          <w:rtl/>
        </w:rPr>
        <w:t>ה</w:t>
      </w:r>
      <w:r w:rsidRPr="000513D2">
        <w:rPr>
          <w:rFonts w:hint="cs"/>
          <w:rtl/>
        </w:rPr>
        <w:t xml:space="preserve">עתידות לצאת לפועל. עם זאת, </w:t>
      </w:r>
      <w:r>
        <w:rPr>
          <w:rFonts w:hint="cs"/>
          <w:rtl/>
        </w:rPr>
        <w:t>מ</w:t>
      </w:r>
      <w:r w:rsidRPr="000513D2">
        <w:rPr>
          <w:rFonts w:hint="cs"/>
          <w:rtl/>
        </w:rPr>
        <w:t>עבודה ש</w:t>
      </w:r>
      <w:r>
        <w:rPr>
          <w:rFonts w:hint="cs"/>
          <w:rtl/>
        </w:rPr>
        <w:t xml:space="preserve">ל </w:t>
      </w:r>
      <w:r w:rsidRPr="000513D2">
        <w:rPr>
          <w:rFonts w:hint="cs"/>
          <w:rtl/>
        </w:rPr>
        <w:t>מכון ירושלים לחקר ישראל - מרכז מילקן לחדשנות עולה כי מדינת ישראל עושה שימוש שמרני בערבויות ביחס למדינות אירופה</w:t>
      </w:r>
      <w:r>
        <w:rPr>
          <w:rStyle w:val="FootnoteReference"/>
          <w:rtl/>
        </w:rPr>
        <w:footnoteReference w:id="78"/>
      </w:r>
      <w:r>
        <w:rPr>
          <w:rFonts w:hint="cs"/>
          <w:rtl/>
        </w:rPr>
        <w:t>.</w:t>
      </w:r>
    </w:p>
    <w:p w14:paraId="7A3E2DBA" w14:textId="30F95B3C" w:rsidR="00823E3A" w:rsidRPr="000513D2" w:rsidRDefault="00823E3A" w:rsidP="005614EB">
      <w:pPr>
        <w:pStyle w:val="100"/>
        <w:rPr>
          <w:rtl/>
        </w:rPr>
      </w:pPr>
      <w:r>
        <w:rPr>
          <w:rFonts w:hint="cs"/>
          <w:rtl/>
        </w:rPr>
        <w:t>בתשובתה של חטיבת תשתיות ופרויקטים צוין כי יש שיתוף פעולה בין המגזרים, ובמסגרתו מספקת המדינה הגנה על החוב הבכיר במימון הפרויקט שתורמת להפחתת העלויות ולתוצאה כלכלית מיטבית. עם זאת, נדרש לשמור על האיזון הקיים בכדי שלא להציב את המדינה בניגוד עניינים בין מקומה כמזמינת השירותים לבין הזכיין שאמון על הספקתם ומעמיד ערבויות כנגד התחייבויותיו.</w:t>
      </w:r>
    </w:p>
    <w:p w14:paraId="7E6FDDF3" w14:textId="692DEC07" w:rsidR="00823E3A" w:rsidRPr="005614EB" w:rsidRDefault="00823E3A" w:rsidP="005614EB">
      <w:pPr>
        <w:pStyle w:val="af5"/>
        <w:rPr>
          <w:rtl/>
        </w:rPr>
      </w:pPr>
      <w:r w:rsidRPr="000513D2">
        <w:rPr>
          <w:rFonts w:hint="cs"/>
          <w:rtl/>
        </w:rPr>
        <w:t>לדעת</w:t>
      </w:r>
      <w:r>
        <w:rPr>
          <w:rFonts w:hint="cs"/>
          <w:rtl/>
        </w:rPr>
        <w:t>ו של</w:t>
      </w:r>
      <w:r w:rsidRPr="000513D2">
        <w:rPr>
          <w:rFonts w:hint="cs"/>
          <w:rtl/>
        </w:rPr>
        <w:t xml:space="preserve"> משרד מבקר המדינה</w:t>
      </w:r>
      <w:r>
        <w:rPr>
          <w:rFonts w:hint="cs"/>
          <w:rtl/>
        </w:rPr>
        <w:t>,</w:t>
      </w:r>
      <w:r w:rsidRPr="000513D2">
        <w:rPr>
          <w:rFonts w:hint="cs"/>
          <w:rtl/>
        </w:rPr>
        <w:t xml:space="preserve"> </w:t>
      </w:r>
      <w:r>
        <w:rPr>
          <w:rFonts w:hint="cs"/>
          <w:rtl/>
        </w:rPr>
        <w:t xml:space="preserve">יש מקום </w:t>
      </w:r>
      <w:r w:rsidRPr="001D51D0">
        <w:rPr>
          <w:rFonts w:hint="cs"/>
          <w:rtl/>
        </w:rPr>
        <w:t>לבחון</w:t>
      </w:r>
      <w:r>
        <w:rPr>
          <w:rFonts w:hint="cs"/>
          <w:rtl/>
        </w:rPr>
        <w:t xml:space="preserve"> שיתוף נרחב יותר של</w:t>
      </w:r>
      <w:r w:rsidRPr="000513D2">
        <w:rPr>
          <w:rFonts w:hint="cs"/>
          <w:rtl/>
        </w:rPr>
        <w:t xml:space="preserve"> המגזר הציבורי במימון פרויקטים בשיתוף המגזר הפרטי </w:t>
      </w:r>
      <w:r>
        <w:rPr>
          <w:rFonts w:hint="cs"/>
          <w:rtl/>
        </w:rPr>
        <w:t>תוך הקפדה</w:t>
      </w:r>
      <w:r w:rsidRPr="000513D2">
        <w:rPr>
          <w:rFonts w:hint="cs"/>
          <w:rtl/>
        </w:rPr>
        <w:t xml:space="preserve"> על אחריות </w:t>
      </w:r>
      <w:r>
        <w:rPr>
          <w:rFonts w:hint="cs"/>
          <w:rtl/>
        </w:rPr>
        <w:t xml:space="preserve">רציפה </w:t>
      </w:r>
      <w:r w:rsidRPr="000513D2">
        <w:rPr>
          <w:rFonts w:hint="cs"/>
          <w:rtl/>
        </w:rPr>
        <w:t>להוצאותיו לכל אורך ח</w:t>
      </w:r>
      <w:r>
        <w:rPr>
          <w:rFonts w:hint="cs"/>
          <w:rtl/>
        </w:rPr>
        <w:t>י</w:t>
      </w:r>
      <w:r w:rsidRPr="000513D2">
        <w:rPr>
          <w:rFonts w:hint="cs"/>
          <w:rtl/>
        </w:rPr>
        <w:t>י</w:t>
      </w:r>
      <w:r>
        <w:rPr>
          <w:rFonts w:hint="cs"/>
          <w:rtl/>
        </w:rPr>
        <w:t xml:space="preserve"> הפרויקט ועל יצירת תמהיל מימון אופטימלי</w:t>
      </w:r>
      <w:r w:rsidRPr="000513D2">
        <w:rPr>
          <w:rFonts w:hint="cs"/>
          <w:rtl/>
        </w:rPr>
        <w:t xml:space="preserve">. לפיכך על הבדיקות לכלול באופן </w:t>
      </w:r>
      <w:r>
        <w:rPr>
          <w:rFonts w:hint="cs"/>
          <w:rtl/>
        </w:rPr>
        <w:t>מובנה</w:t>
      </w:r>
      <w:r w:rsidRPr="000513D2">
        <w:rPr>
          <w:rFonts w:hint="cs"/>
          <w:rtl/>
        </w:rPr>
        <w:t xml:space="preserve"> את האפשרות לשילוב הון ציבורי </w:t>
      </w:r>
      <w:r>
        <w:rPr>
          <w:rFonts w:hint="cs"/>
          <w:rtl/>
        </w:rPr>
        <w:t xml:space="preserve">או כלים נוספים, לרבות ערבויות מדינה, כדי </w:t>
      </w:r>
      <w:r w:rsidRPr="000513D2">
        <w:rPr>
          <w:rFonts w:hint="cs"/>
          <w:rtl/>
        </w:rPr>
        <w:t>להוביל ל</w:t>
      </w:r>
      <w:r>
        <w:rPr>
          <w:rFonts w:hint="cs"/>
          <w:rtl/>
        </w:rPr>
        <w:t>הפחתת עלויות הפרויקט ול</w:t>
      </w:r>
      <w:r w:rsidRPr="000513D2">
        <w:rPr>
          <w:rFonts w:hint="cs"/>
          <w:rtl/>
        </w:rPr>
        <w:t xml:space="preserve">התייעלות כלכלית. </w:t>
      </w:r>
      <w:r>
        <w:rPr>
          <w:rFonts w:hint="cs"/>
          <w:rtl/>
        </w:rPr>
        <w:t>לצד זאת, יש להקפיד כי הבחינה</w:t>
      </w:r>
      <w:r w:rsidRPr="00E72334">
        <w:rPr>
          <w:rFonts w:hint="cs"/>
          <w:rtl/>
        </w:rPr>
        <w:t xml:space="preserve"> </w:t>
      </w:r>
      <w:r>
        <w:rPr>
          <w:rFonts w:hint="cs"/>
          <w:rtl/>
        </w:rPr>
        <w:t xml:space="preserve">תבוצע לאחר </w:t>
      </w:r>
      <w:r w:rsidRPr="00E72334">
        <w:rPr>
          <w:rFonts w:hint="cs"/>
          <w:rtl/>
        </w:rPr>
        <w:t>בדיקה מעמיקה</w:t>
      </w:r>
      <w:r>
        <w:rPr>
          <w:rFonts w:hint="cs"/>
          <w:rtl/>
        </w:rPr>
        <w:t xml:space="preserve"> של מידת ההשפעה על מכלול פרמטרים, לרבות </w:t>
      </w:r>
      <w:r w:rsidRPr="00E72334">
        <w:rPr>
          <w:rFonts w:hint="cs"/>
          <w:rtl/>
        </w:rPr>
        <w:t>פרופיל הסיכון של המדינה</w:t>
      </w:r>
      <w:r>
        <w:rPr>
          <w:rFonts w:hint="cs"/>
          <w:rtl/>
        </w:rPr>
        <w:t xml:space="preserve"> ועלות </w:t>
      </w:r>
      <w:r w:rsidRPr="00E72334">
        <w:rPr>
          <w:rFonts w:hint="cs"/>
          <w:rtl/>
        </w:rPr>
        <w:t xml:space="preserve">גיוס החוב. </w:t>
      </w:r>
    </w:p>
    <w:p w14:paraId="110E6489" w14:textId="148FC1FC" w:rsidR="00823E3A" w:rsidRDefault="00823E3A" w:rsidP="005614EB">
      <w:pPr>
        <w:pStyle w:val="316"/>
        <w:rPr>
          <w:rtl/>
        </w:rPr>
      </w:pPr>
      <w:r>
        <w:rPr>
          <w:rFonts w:hint="cs"/>
          <w:rtl/>
        </w:rPr>
        <w:t xml:space="preserve">בדיקות התאמה לביצוע פרויקטים בשיטת </w:t>
      </w:r>
      <w:r w:rsidRPr="00B10E6B">
        <w:rPr>
          <w:rFonts w:hint="cs"/>
          <w:bCs/>
        </w:rPr>
        <w:t>PPP</w:t>
      </w:r>
    </w:p>
    <w:p w14:paraId="70338AAC" w14:textId="77777777" w:rsidR="00823E3A" w:rsidRPr="00E1067E" w:rsidRDefault="00823E3A" w:rsidP="005614EB">
      <w:pPr>
        <w:pStyle w:val="100"/>
        <w:rPr>
          <w:rtl/>
        </w:rPr>
      </w:pPr>
      <w:r>
        <w:rPr>
          <w:rFonts w:hint="cs"/>
          <w:rtl/>
        </w:rPr>
        <w:t>בדיקת התאמה ליישום מתווה של שותפות ציבורית-פרטית מבררת מהי שיטת הביצוע המיטבית להקמה ולתפעול של פרויקט מבחינת החיסכון, היעילות והתועלת בשימוש בכספי ציבור. הבדיקה היא</w:t>
      </w:r>
      <w:r w:rsidRPr="007B1CD3">
        <w:rPr>
          <w:rtl/>
        </w:rPr>
        <w:t xml:space="preserve"> הערכה אובייקטיבית </w:t>
      </w:r>
      <w:r>
        <w:rPr>
          <w:rFonts w:hint="cs"/>
          <w:rtl/>
        </w:rPr>
        <w:t>של פרויקטים שנמצאו כלכליים,</w:t>
      </w:r>
      <w:r w:rsidRPr="007B1CD3">
        <w:rPr>
          <w:rtl/>
        </w:rPr>
        <w:t xml:space="preserve"> </w:t>
      </w:r>
      <w:r>
        <w:rPr>
          <w:rFonts w:hint="cs"/>
          <w:rtl/>
        </w:rPr>
        <w:t>ו</w:t>
      </w:r>
      <w:r>
        <w:rPr>
          <w:rtl/>
        </w:rPr>
        <w:t>מטר</w:t>
      </w:r>
      <w:r>
        <w:rPr>
          <w:rFonts w:hint="cs"/>
          <w:rtl/>
        </w:rPr>
        <w:t>ת</w:t>
      </w:r>
      <w:r>
        <w:rPr>
          <w:rtl/>
        </w:rPr>
        <w:t xml:space="preserve">ה להגביר </w:t>
      </w:r>
      <w:r>
        <w:rPr>
          <w:rFonts w:hint="cs"/>
          <w:rtl/>
        </w:rPr>
        <w:t>את</w:t>
      </w:r>
      <w:r w:rsidRPr="007B1CD3">
        <w:rPr>
          <w:rtl/>
        </w:rPr>
        <w:t xml:space="preserve"> יעי</w:t>
      </w:r>
      <w:r>
        <w:rPr>
          <w:rtl/>
        </w:rPr>
        <w:t xml:space="preserve">לות ההשקעה </w:t>
      </w:r>
      <w:r>
        <w:rPr>
          <w:rFonts w:hint="cs"/>
          <w:rtl/>
        </w:rPr>
        <w:t xml:space="preserve">ואת שקיפותה בקרב מקבלי ההחלטות. ארגון </w:t>
      </w:r>
      <w:r>
        <w:rPr>
          <w:rFonts w:hint="cs"/>
        </w:rPr>
        <w:t>OECD</w:t>
      </w:r>
      <w:r>
        <w:rPr>
          <w:rFonts w:hint="cs"/>
          <w:rtl/>
        </w:rPr>
        <w:t xml:space="preserve"> הדגיש את חשיבותה של הערכה קפדנית בתהליך בחירת חלופות הביצוע, ובפרט את חשיבותה של הצדקת יישום מתווה זה</w:t>
      </w:r>
      <w:r>
        <w:rPr>
          <w:rStyle w:val="FootnoteReference"/>
          <w:rtl/>
        </w:rPr>
        <w:footnoteReference w:id="79"/>
      </w:r>
      <w:r>
        <w:rPr>
          <w:rFonts w:hint="cs"/>
          <w:rtl/>
        </w:rPr>
        <w:t>. הבדיקה כוללת מגוון רחב של בחינות היתכנות, לרבות בחינת התרומה הכלכלית ותפיסת הערך לכסף (</w:t>
      </w:r>
      <w:r>
        <w:rPr>
          <w:rFonts w:hint="cs"/>
        </w:rPr>
        <w:t>V</w:t>
      </w:r>
      <w:r>
        <w:t>alue for Money</w:t>
      </w:r>
      <w:r>
        <w:rPr>
          <w:rFonts w:hint="cs"/>
          <w:rtl/>
        </w:rPr>
        <w:t>), שלפיה משווים בין חלופות ביצוע אפשריות כדי לסייע בבחירה של החלופה הצפויה להניב את הערך הגבוה ביותר עבור הכסף שיושקע</w:t>
      </w:r>
      <w:r>
        <w:rPr>
          <w:rStyle w:val="FootnoteReference"/>
          <w:rtl/>
        </w:rPr>
        <w:footnoteReference w:id="80"/>
      </w:r>
      <w:r>
        <w:rPr>
          <w:rFonts w:hint="cs"/>
          <w:rtl/>
        </w:rPr>
        <w:t>.</w:t>
      </w:r>
    </w:p>
    <w:p w14:paraId="534B4D15" w14:textId="77777777" w:rsidR="00823E3A" w:rsidRDefault="00823E3A" w:rsidP="005614EB">
      <w:pPr>
        <w:pStyle w:val="100"/>
        <w:rPr>
          <w:rtl/>
        </w:rPr>
      </w:pPr>
      <w:r w:rsidRPr="008F7B73">
        <w:rPr>
          <w:rFonts w:hint="cs"/>
          <w:rtl/>
        </w:rPr>
        <w:t>כדאיות</w:t>
      </w:r>
      <w:r>
        <w:rPr>
          <w:rFonts w:hint="cs"/>
          <w:rtl/>
        </w:rPr>
        <w:t>ו</w:t>
      </w:r>
      <w:r w:rsidRPr="008F7B73">
        <w:rPr>
          <w:rFonts w:hint="cs"/>
          <w:rtl/>
        </w:rPr>
        <w:t xml:space="preserve"> הכל</w:t>
      </w:r>
      <w:r>
        <w:rPr>
          <w:rFonts w:hint="cs"/>
          <w:rtl/>
        </w:rPr>
        <w:t>כ</w:t>
      </w:r>
      <w:r w:rsidRPr="008F7B73">
        <w:rPr>
          <w:rFonts w:hint="cs"/>
          <w:rtl/>
        </w:rPr>
        <w:t xml:space="preserve">לית </w:t>
      </w:r>
      <w:r>
        <w:rPr>
          <w:rFonts w:hint="cs"/>
          <w:rtl/>
        </w:rPr>
        <w:t>ש</w:t>
      </w:r>
      <w:r w:rsidRPr="008F7B73">
        <w:rPr>
          <w:rFonts w:hint="cs"/>
          <w:rtl/>
        </w:rPr>
        <w:t>ל</w:t>
      </w:r>
      <w:r>
        <w:rPr>
          <w:rFonts w:hint="cs"/>
          <w:rtl/>
        </w:rPr>
        <w:t xml:space="preserve"> ה</w:t>
      </w:r>
      <w:r w:rsidRPr="008F7B73">
        <w:rPr>
          <w:rFonts w:hint="cs"/>
          <w:rtl/>
        </w:rPr>
        <w:t xml:space="preserve">פרויקט אינה </w:t>
      </w:r>
      <w:r>
        <w:rPr>
          <w:rFonts w:hint="cs"/>
          <w:rtl/>
        </w:rPr>
        <w:t>בגדר</w:t>
      </w:r>
      <w:r w:rsidRPr="008F7B73">
        <w:rPr>
          <w:rFonts w:hint="cs"/>
          <w:rtl/>
        </w:rPr>
        <w:t xml:space="preserve"> תנאי </w:t>
      </w:r>
      <w:r>
        <w:rPr>
          <w:rFonts w:hint="cs"/>
          <w:rtl/>
        </w:rPr>
        <w:t xml:space="preserve">בלעדי להקמתו בשיתוף המגזר הפרטי, אלא בסיס לקבלת ההחלטה על המתווה הראוי. יש לבחון מגוון </w:t>
      </w:r>
      <w:r w:rsidRPr="008F7B73">
        <w:rPr>
          <w:rFonts w:hint="cs"/>
          <w:rtl/>
        </w:rPr>
        <w:t xml:space="preserve">שיקולים </w:t>
      </w:r>
      <w:r>
        <w:rPr>
          <w:rFonts w:hint="cs"/>
          <w:rtl/>
        </w:rPr>
        <w:t xml:space="preserve">נוספים, ועל כן נהוג </w:t>
      </w:r>
      <w:r>
        <w:rPr>
          <w:rFonts w:hint="cs"/>
          <w:rtl/>
        </w:rPr>
        <w:lastRenderedPageBreak/>
        <w:t>להשתמש בהערכה אינטגרטיבית</w:t>
      </w:r>
      <w:r>
        <w:rPr>
          <w:rStyle w:val="FootnoteReference"/>
          <w:rtl/>
        </w:rPr>
        <w:footnoteReference w:id="81"/>
      </w:r>
      <w:r>
        <w:rPr>
          <w:rFonts w:hint="cs"/>
          <w:rtl/>
        </w:rPr>
        <w:t>, המשלבת גישה כמותית ואיכותית כדי להבין סוגיות אלה: צורכי הפרויקט, הסיכונים הכרוכים בו, עלויות הפרויקט, התחרות הפוטנציאלית, מידת הרגישות ופרמטרים מהותיים נוספים המסייעים לבחור את חלופת הביצוע הראויה. תרשים 11 להלן מציג תהליך ההערכה של פרויקטים בשיתוף המגזר הפרטי, שהוא בדיקה ר</w:t>
      </w:r>
      <w:r w:rsidRPr="001A0A89">
        <w:rPr>
          <w:rtl/>
        </w:rPr>
        <w:t>ב-תחומי</w:t>
      </w:r>
      <w:r>
        <w:rPr>
          <w:rFonts w:hint="cs"/>
          <w:rtl/>
        </w:rPr>
        <w:t>ת הבוחנת היבטים טכניים, מסחריים, משפטיים, כלכליים, חברתיים, סביבתיים ופיסקליים. שקלול היבטים אלו מאפשר לקבוע מהם</w:t>
      </w:r>
      <w:r w:rsidRPr="00D00E06">
        <w:rPr>
          <w:rFonts w:hint="cs"/>
          <w:rtl/>
        </w:rPr>
        <w:t xml:space="preserve"> </w:t>
      </w:r>
      <w:r>
        <w:rPr>
          <w:rFonts w:hint="cs"/>
          <w:rtl/>
        </w:rPr>
        <w:t>הדרישות הטכניות, המודל הפיננסי ומבנה החוזה הרצויים אשר ישקפו את שיטת הביצוע המיטבית.</w:t>
      </w:r>
    </w:p>
    <w:p w14:paraId="390A353D" w14:textId="77777777" w:rsidR="00823E3A" w:rsidRDefault="00823E3A" w:rsidP="005614EB">
      <w:pPr>
        <w:pStyle w:val="aa"/>
        <w:rPr>
          <w:rtl/>
        </w:rPr>
      </w:pPr>
      <w:r w:rsidRPr="002D282D">
        <w:rPr>
          <w:rFonts w:hint="cs"/>
          <w:rtl/>
        </w:rPr>
        <w:t xml:space="preserve">תרשים </w:t>
      </w:r>
      <w:r>
        <w:rPr>
          <w:rFonts w:hint="cs"/>
          <w:rtl/>
        </w:rPr>
        <w:t xml:space="preserve">11: </w:t>
      </w:r>
      <w:r w:rsidRPr="005614EB">
        <w:rPr>
          <w:rFonts w:hint="cs"/>
          <w:b/>
          <w:bCs/>
          <w:rtl/>
        </w:rPr>
        <w:t>תהליך ההערכה של פרויקטים המתבצעים בשיתוף המגזר הפרטי</w:t>
      </w:r>
    </w:p>
    <w:p w14:paraId="57A94358" w14:textId="77777777" w:rsidR="00823E3A" w:rsidRPr="002D282D" w:rsidRDefault="00823E3A" w:rsidP="00066579">
      <w:pPr>
        <w:pStyle w:val="100"/>
        <w:jc w:val="center"/>
        <w:rPr>
          <w:b/>
          <w:bCs/>
          <w:rtl/>
        </w:rPr>
      </w:pPr>
      <w:r>
        <w:rPr>
          <w:noProof/>
        </w:rPr>
        <w:drawing>
          <wp:inline distT="0" distB="0" distL="0" distR="0" wp14:anchorId="167343E3" wp14:editId="1CDF0D42">
            <wp:extent cx="3848100" cy="3409950"/>
            <wp:effectExtent l="19050" t="19050" r="19050" b="1905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A85521-4463-415E-872E-F83F5635B996" descr="cid:5F27689A-E097-4A35-98D7-00365D1A23D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597" t="6678" r="8741" b="10325"/>
                    <a:stretch/>
                  </pic:blipFill>
                  <pic:spPr bwMode="auto">
                    <a:xfrm>
                      <a:off x="0" y="0"/>
                      <a:ext cx="3857304" cy="341810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3896D2D" w14:textId="77777777" w:rsidR="00823E3A" w:rsidRPr="00CD24CA" w:rsidRDefault="00823E3A" w:rsidP="00B10E6B">
      <w:pPr>
        <w:pStyle w:val="aff3"/>
        <w:rPr>
          <w:rtl/>
        </w:rPr>
      </w:pPr>
      <w:r>
        <w:rPr>
          <w:rFonts w:hint="cs"/>
          <w:rtl/>
        </w:rPr>
        <w:t xml:space="preserve"> </w:t>
      </w:r>
      <w:r w:rsidRPr="00CD24CA">
        <w:rPr>
          <w:rFonts w:hint="eastAsia"/>
          <w:rtl/>
        </w:rPr>
        <w:t>המקור</w:t>
      </w:r>
      <w:r w:rsidRPr="00CD24CA">
        <w:rPr>
          <w:rtl/>
        </w:rPr>
        <w:t xml:space="preserve">: </w:t>
      </w:r>
      <w:r w:rsidRPr="00CD24CA">
        <w:rPr>
          <w:rFonts w:hint="eastAsia"/>
          <w:rtl/>
        </w:rPr>
        <w:t>הבנק</w:t>
      </w:r>
      <w:r w:rsidRPr="00CD24CA">
        <w:rPr>
          <w:rtl/>
        </w:rPr>
        <w:t xml:space="preserve"> </w:t>
      </w:r>
      <w:r w:rsidRPr="00CD24CA">
        <w:rPr>
          <w:rFonts w:hint="eastAsia"/>
          <w:rtl/>
        </w:rPr>
        <w:t>העולמי</w:t>
      </w:r>
      <w:r w:rsidRPr="00CD24CA">
        <w:rPr>
          <w:rtl/>
        </w:rPr>
        <w:t xml:space="preserve">, </w:t>
      </w:r>
      <w:r w:rsidRPr="00CD24CA">
        <w:rPr>
          <w:rFonts w:hint="eastAsia"/>
          <w:rtl/>
        </w:rPr>
        <w:t>בעיבוד</w:t>
      </w:r>
      <w:r w:rsidRPr="00CD24CA">
        <w:rPr>
          <w:rtl/>
        </w:rPr>
        <w:t xml:space="preserve"> משרד מבקר המדינה</w:t>
      </w:r>
    </w:p>
    <w:p w14:paraId="18AE8908" w14:textId="77777777" w:rsidR="009D4D73" w:rsidRDefault="009D4D73" w:rsidP="005614EB">
      <w:pPr>
        <w:pStyle w:val="100"/>
        <w:rPr>
          <w:rtl/>
        </w:rPr>
      </w:pPr>
    </w:p>
    <w:p w14:paraId="71FDA25C" w14:textId="77777777" w:rsidR="00823E3A" w:rsidRDefault="00823E3A" w:rsidP="005614EB">
      <w:pPr>
        <w:pStyle w:val="100"/>
        <w:rPr>
          <w:rtl/>
        </w:rPr>
      </w:pPr>
      <w:r>
        <w:rPr>
          <w:rFonts w:hint="cs"/>
          <w:rtl/>
        </w:rPr>
        <w:t xml:space="preserve">באופן מעשי מקובל תחילה לקבוע בכל בדיקת התאמה ליישום מתווה של שותפות ציבורית-פרטית תנאי סף מחייבים ומקדימים שעל הפרויקט לעמוד בהם. חריגה מהם תעמיד בספק את התאמת הפרויקט למתווה הנבדק. </w:t>
      </w:r>
    </w:p>
    <w:p w14:paraId="5C409813" w14:textId="1138094A" w:rsidR="00823E3A" w:rsidRDefault="00823E3A" w:rsidP="005614EB">
      <w:pPr>
        <w:pStyle w:val="100"/>
        <w:rPr>
          <w:rtl/>
        </w:rPr>
      </w:pPr>
      <w:r>
        <w:rPr>
          <w:rFonts w:hint="cs"/>
          <w:rtl/>
        </w:rPr>
        <w:t xml:space="preserve">על פי העקרונות לניהול פרויקטים בשיטת </w:t>
      </w:r>
      <w:r>
        <w:rPr>
          <w:rFonts w:hint="cs"/>
        </w:rPr>
        <w:t>PPP</w:t>
      </w:r>
      <w:r>
        <w:rPr>
          <w:rFonts w:hint="cs"/>
          <w:rtl/>
        </w:rPr>
        <w:t xml:space="preserve"> שגיבש ארגון </w:t>
      </w:r>
      <w:r>
        <w:rPr>
          <w:rFonts w:hint="cs"/>
        </w:rPr>
        <w:t>OECD</w:t>
      </w:r>
      <w:r>
        <w:rPr>
          <w:rFonts w:hint="cs"/>
          <w:rtl/>
        </w:rPr>
        <w:t>, נחוצה בדיקת התאמה גם עבור פרויקטים מאותו התחום</w:t>
      </w:r>
      <w:r>
        <w:rPr>
          <w:rFonts w:hint="cs"/>
        </w:rPr>
        <w:t xml:space="preserve"> </w:t>
      </w:r>
      <w:r>
        <w:rPr>
          <w:rFonts w:hint="cs"/>
          <w:rtl/>
        </w:rPr>
        <w:t>שיש להם היבטים משותפים רבים, אך שונים בהיבטים הייחודיים לכל אחד, למשל הדרישות ההנדסיות</w:t>
      </w:r>
      <w:r w:rsidRPr="006B4AE9">
        <w:rPr>
          <w:rtl/>
        </w:rPr>
        <w:t xml:space="preserve">, </w:t>
      </w:r>
      <w:r w:rsidRPr="006B4AE9">
        <w:rPr>
          <w:rFonts w:hint="eastAsia"/>
          <w:rtl/>
        </w:rPr>
        <w:t>היכולת</w:t>
      </w:r>
      <w:r w:rsidRPr="006B4AE9">
        <w:rPr>
          <w:rtl/>
        </w:rPr>
        <w:t xml:space="preserve"> </w:t>
      </w:r>
      <w:r w:rsidRPr="006B4AE9">
        <w:rPr>
          <w:rFonts w:hint="eastAsia"/>
          <w:rtl/>
        </w:rPr>
        <w:t>ל</w:t>
      </w:r>
      <w:r w:rsidRPr="002F164A">
        <w:rPr>
          <w:rFonts w:hint="eastAsia"/>
          <w:rtl/>
        </w:rPr>
        <w:t>הגיע</w:t>
      </w:r>
      <w:r w:rsidRPr="006B4AE9">
        <w:rPr>
          <w:rtl/>
        </w:rPr>
        <w:t xml:space="preserve"> </w:t>
      </w:r>
      <w:r w:rsidRPr="002F164A">
        <w:rPr>
          <w:rFonts w:hint="eastAsia"/>
          <w:rtl/>
        </w:rPr>
        <w:t>ל</w:t>
      </w:r>
      <w:r w:rsidRPr="006B4AE9">
        <w:rPr>
          <w:rFonts w:hint="eastAsia"/>
          <w:rtl/>
        </w:rPr>
        <w:t>היתכנות</w:t>
      </w:r>
      <w:r w:rsidRPr="006B4AE9">
        <w:rPr>
          <w:rtl/>
        </w:rPr>
        <w:t xml:space="preserve"> מסחרית, </w:t>
      </w:r>
      <w:r w:rsidRPr="002F164A">
        <w:rPr>
          <w:rFonts w:hint="eastAsia"/>
          <w:rtl/>
        </w:rPr>
        <w:t>ה</w:t>
      </w:r>
      <w:r w:rsidRPr="006B4AE9">
        <w:rPr>
          <w:rFonts w:hint="eastAsia"/>
          <w:rtl/>
        </w:rPr>
        <w:t>מיקום</w:t>
      </w:r>
      <w:r w:rsidRPr="006B4AE9">
        <w:rPr>
          <w:rtl/>
        </w:rPr>
        <w:t xml:space="preserve"> </w:t>
      </w:r>
      <w:r w:rsidRPr="006B4AE9">
        <w:rPr>
          <w:rFonts w:hint="eastAsia"/>
          <w:rtl/>
        </w:rPr>
        <w:t>ו</w:t>
      </w:r>
      <w:r w:rsidRPr="002F164A">
        <w:rPr>
          <w:rFonts w:hint="eastAsia"/>
          <w:rtl/>
        </w:rPr>
        <w:t>ה</w:t>
      </w:r>
      <w:r w:rsidRPr="006B4AE9">
        <w:rPr>
          <w:rFonts w:hint="eastAsia"/>
          <w:rtl/>
        </w:rPr>
        <w:t>סביבה</w:t>
      </w:r>
      <w:r w:rsidRPr="006B4AE9">
        <w:rPr>
          <w:rtl/>
        </w:rPr>
        <w:t xml:space="preserve"> </w:t>
      </w:r>
      <w:r w:rsidRPr="002F164A">
        <w:rPr>
          <w:rFonts w:hint="eastAsia"/>
          <w:rtl/>
        </w:rPr>
        <w:t>ה</w:t>
      </w:r>
      <w:r w:rsidRPr="006B4AE9">
        <w:rPr>
          <w:rFonts w:hint="eastAsia"/>
          <w:rtl/>
        </w:rPr>
        <w:t>חיצונית</w:t>
      </w:r>
      <w:r w:rsidRPr="006B4AE9">
        <w:rPr>
          <w:rtl/>
        </w:rPr>
        <w:t xml:space="preserve">. </w:t>
      </w:r>
      <w:r w:rsidRPr="002F164A">
        <w:rPr>
          <w:rFonts w:hint="eastAsia"/>
          <w:rtl/>
        </w:rPr>
        <w:t>כל</w:t>
      </w:r>
      <w:r w:rsidRPr="002F164A">
        <w:rPr>
          <w:rtl/>
        </w:rPr>
        <w:t xml:space="preserve"> </w:t>
      </w:r>
      <w:r w:rsidRPr="002F164A">
        <w:rPr>
          <w:rFonts w:hint="eastAsia"/>
          <w:rtl/>
        </w:rPr>
        <w:t>אלה</w:t>
      </w:r>
      <w:r w:rsidRPr="006B4AE9">
        <w:rPr>
          <w:rtl/>
        </w:rPr>
        <w:t xml:space="preserve"> </w:t>
      </w:r>
      <w:r w:rsidRPr="002F164A">
        <w:rPr>
          <w:rFonts w:hint="eastAsia"/>
          <w:rtl/>
        </w:rPr>
        <w:t>משפיעים</w:t>
      </w:r>
      <w:r w:rsidRPr="002F164A">
        <w:rPr>
          <w:rtl/>
        </w:rPr>
        <w:t xml:space="preserve"> </w:t>
      </w:r>
      <w:r w:rsidRPr="006B4AE9">
        <w:rPr>
          <w:rFonts w:hint="eastAsia"/>
          <w:rtl/>
        </w:rPr>
        <w:t>על</w:t>
      </w:r>
      <w:r w:rsidRPr="006B4AE9">
        <w:rPr>
          <w:rtl/>
        </w:rPr>
        <w:t xml:space="preserve"> </w:t>
      </w:r>
      <w:r w:rsidRPr="006B4AE9">
        <w:rPr>
          <w:rFonts w:hint="eastAsia"/>
          <w:rtl/>
        </w:rPr>
        <w:t>שלבי</w:t>
      </w:r>
      <w:r w:rsidRPr="006B4AE9">
        <w:rPr>
          <w:rtl/>
        </w:rPr>
        <w:t xml:space="preserve"> </w:t>
      </w:r>
      <w:r w:rsidRPr="006B4AE9">
        <w:rPr>
          <w:rFonts w:hint="eastAsia"/>
          <w:rtl/>
        </w:rPr>
        <w:t>ההקמה</w:t>
      </w:r>
      <w:r w:rsidRPr="006B4AE9">
        <w:rPr>
          <w:rtl/>
        </w:rPr>
        <w:t xml:space="preserve"> </w:t>
      </w:r>
      <w:r w:rsidRPr="006B4AE9">
        <w:rPr>
          <w:rFonts w:hint="eastAsia"/>
          <w:rtl/>
        </w:rPr>
        <w:t>והתפעול</w:t>
      </w:r>
      <w:r w:rsidRPr="002F164A">
        <w:rPr>
          <w:rtl/>
        </w:rPr>
        <w:t xml:space="preserve"> -</w:t>
      </w:r>
      <w:r w:rsidRPr="006B4AE9">
        <w:rPr>
          <w:rtl/>
        </w:rPr>
        <w:t xml:space="preserve"> ו</w:t>
      </w:r>
      <w:r w:rsidRPr="002F164A">
        <w:rPr>
          <w:rFonts w:hint="eastAsia"/>
          <w:rtl/>
        </w:rPr>
        <w:t>לכן</w:t>
      </w:r>
      <w:r w:rsidRPr="006B4AE9">
        <w:rPr>
          <w:rtl/>
        </w:rPr>
        <w:t xml:space="preserve"> גם על שיטת הביצוע הראויה.</w:t>
      </w:r>
      <w:r>
        <w:rPr>
          <w:rFonts w:hint="cs"/>
          <w:rtl/>
        </w:rPr>
        <w:t xml:space="preserve"> </w:t>
      </w:r>
    </w:p>
    <w:p w14:paraId="3516EFD6" w14:textId="77777777" w:rsidR="00823E3A" w:rsidRDefault="00823E3A" w:rsidP="005614EB">
      <w:pPr>
        <w:pStyle w:val="100"/>
        <w:rPr>
          <w:rtl/>
        </w:rPr>
      </w:pPr>
      <w:r>
        <w:rPr>
          <w:rFonts w:hint="cs"/>
          <w:rtl/>
        </w:rPr>
        <w:lastRenderedPageBreak/>
        <w:t>לדוגמה, כל הפרויקטים בשיתוף המגזר הפרטי בבריטניה, ללא קשר לתחומם, נדרשים להיבחן בתהליך הערכה זהה, וההחלטה על יישום המתווה נעשית רק לאחר שהוכח יתרונו על פני ביצוע לפי החלופה התקציבית. השגת תמורה גבוהה בעד ההשקעה מחייבת להכיר בסיכונים ולפתח תגובות ניהול מתאימות. לפיכך פרסם משרד האוצר של בריטניה את "הספר הירוק", שהוא מדריך להערכת מדיניות, תוכניות ופרויקטים, ובהם פרויקטי</w:t>
      </w:r>
      <w:r>
        <w:rPr>
          <w:rFonts w:hint="cs"/>
        </w:rPr>
        <w:t xml:space="preserve"> PPP</w:t>
      </w:r>
      <w:r>
        <w:t xml:space="preserve"> </w:t>
      </w:r>
      <w:r>
        <w:rPr>
          <w:rFonts w:hint="cs"/>
          <w:rtl/>
        </w:rPr>
        <w:t>(להלן - הספר הירוק).</w:t>
      </w:r>
      <w:r>
        <w:rPr>
          <w:rFonts w:hint="cs"/>
        </w:rPr>
        <w:t xml:space="preserve"> </w:t>
      </w:r>
      <w:r>
        <w:rPr>
          <w:rFonts w:hint="cs"/>
          <w:rtl/>
        </w:rPr>
        <w:t>המדריך</w:t>
      </w:r>
      <w:r>
        <w:rPr>
          <w:rFonts w:hint="cs"/>
        </w:rPr>
        <w:t xml:space="preserve"> </w:t>
      </w:r>
      <w:r>
        <w:rPr>
          <w:rFonts w:hint="cs"/>
          <w:rtl/>
        </w:rPr>
        <w:t>מציג את מערך השיקולים שעל מבצעי בחינות ההתאמה לכלול בעבודתם טרם ההחלטה על בחירתה של שיטת הביצוע, ויוצר אחידות בתהליך הבחינה שנועדה להשיא את התמורה בעד ההשקעה הציבורית</w:t>
      </w:r>
      <w:r>
        <w:rPr>
          <w:rStyle w:val="FootnoteReference"/>
          <w:rtl/>
        </w:rPr>
        <w:footnoteReference w:id="82"/>
      </w:r>
      <w:r>
        <w:rPr>
          <w:rFonts w:hint="cs"/>
          <w:rtl/>
        </w:rPr>
        <w:t>.</w:t>
      </w:r>
    </w:p>
    <w:p w14:paraId="09E38F1A" w14:textId="77777777" w:rsidR="00823E3A" w:rsidRPr="002053BC" w:rsidRDefault="00823E3A" w:rsidP="005614EB">
      <w:pPr>
        <w:pStyle w:val="414"/>
        <w:rPr>
          <w:rtl/>
        </w:rPr>
      </w:pPr>
      <w:r>
        <w:rPr>
          <w:rFonts w:hint="cs"/>
          <w:rtl/>
        </w:rPr>
        <w:t>היעדר נהלים לביצוע בדיקות התאמה</w:t>
      </w:r>
    </w:p>
    <w:p w14:paraId="79F59AE7" w14:textId="77777777" w:rsidR="00823E3A" w:rsidRDefault="00823E3A" w:rsidP="005614EB">
      <w:pPr>
        <w:pStyle w:val="6105"/>
        <w:rPr>
          <w:rtl/>
        </w:rPr>
      </w:pPr>
      <w:r>
        <w:rPr>
          <w:rFonts w:hint="cs"/>
          <w:rtl/>
        </w:rPr>
        <w:t>נהלים לביצוע בדיקת התאמה מקדמית</w:t>
      </w:r>
    </w:p>
    <w:p w14:paraId="08035F75" w14:textId="77777777" w:rsidR="00823E3A" w:rsidRPr="002D0E22" w:rsidRDefault="00823E3A" w:rsidP="005614EB">
      <w:pPr>
        <w:pStyle w:val="100"/>
        <w:rPr>
          <w:rtl/>
        </w:rPr>
      </w:pPr>
      <w:r>
        <w:rPr>
          <w:rFonts w:hint="cs"/>
          <w:rtl/>
        </w:rPr>
        <w:t xml:space="preserve">במסגרת החלטת ממשלה 3012 </w:t>
      </w:r>
      <w:r w:rsidRPr="00B34A71">
        <w:rPr>
          <w:rFonts w:hint="cs"/>
          <w:rtl/>
        </w:rPr>
        <w:t>על הקמת צוות ליווי בין-משרדי</w:t>
      </w:r>
      <w:r>
        <w:rPr>
          <w:rFonts w:hint="cs"/>
          <w:rtl/>
        </w:rPr>
        <w:t>, הוחלט לכונן הליך</w:t>
      </w:r>
      <w:r w:rsidRPr="00B34A71">
        <w:rPr>
          <w:rFonts w:hint="cs"/>
          <w:rtl/>
        </w:rPr>
        <w:t xml:space="preserve"> הטמעה מחייב</w:t>
      </w:r>
      <w:r>
        <w:rPr>
          <w:rFonts w:hint="cs"/>
          <w:rtl/>
        </w:rPr>
        <w:t xml:space="preserve"> עבור משרדי הממשלה ויחידות הסמך</w:t>
      </w:r>
      <w:r w:rsidRPr="00B34A71">
        <w:rPr>
          <w:rFonts w:hint="cs"/>
          <w:rtl/>
        </w:rPr>
        <w:t xml:space="preserve"> ל</w:t>
      </w:r>
      <w:r>
        <w:rPr>
          <w:rFonts w:hint="cs"/>
          <w:rtl/>
        </w:rPr>
        <w:t xml:space="preserve">שם </w:t>
      </w:r>
      <w:r w:rsidRPr="00B34A71">
        <w:rPr>
          <w:rFonts w:hint="cs"/>
          <w:rtl/>
        </w:rPr>
        <w:t xml:space="preserve">התאמת שיטת המימון והביצוע </w:t>
      </w:r>
      <w:r>
        <w:rPr>
          <w:rFonts w:hint="cs"/>
          <w:rtl/>
        </w:rPr>
        <w:t>ל</w:t>
      </w:r>
      <w:r w:rsidRPr="00B34A71">
        <w:rPr>
          <w:rFonts w:hint="cs"/>
          <w:rtl/>
        </w:rPr>
        <w:t>כל פרויקט תשתית חדש</w:t>
      </w:r>
      <w:r>
        <w:rPr>
          <w:rFonts w:hint="cs"/>
          <w:rtl/>
        </w:rPr>
        <w:t>, ולפיו ייקבעו גם ה</w:t>
      </w:r>
      <w:r w:rsidRPr="00B34A71">
        <w:rPr>
          <w:rFonts w:hint="cs"/>
          <w:rtl/>
        </w:rPr>
        <w:t xml:space="preserve">מועד ואופן </w:t>
      </w:r>
      <w:r>
        <w:rPr>
          <w:rFonts w:hint="cs"/>
          <w:rtl/>
        </w:rPr>
        <w:t>ה</w:t>
      </w:r>
      <w:r w:rsidRPr="00B34A71">
        <w:rPr>
          <w:rFonts w:hint="cs"/>
          <w:rtl/>
        </w:rPr>
        <w:t xml:space="preserve">ביצוע </w:t>
      </w:r>
      <w:r>
        <w:rPr>
          <w:rFonts w:hint="cs"/>
          <w:rtl/>
        </w:rPr>
        <w:t xml:space="preserve">של </w:t>
      </w:r>
      <w:r w:rsidRPr="002D0E22">
        <w:rPr>
          <w:rFonts w:hint="cs"/>
          <w:rtl/>
        </w:rPr>
        <w:t>בדיק</w:t>
      </w:r>
      <w:r>
        <w:rPr>
          <w:rFonts w:hint="cs"/>
          <w:rtl/>
        </w:rPr>
        <w:t>ו</w:t>
      </w:r>
      <w:r w:rsidRPr="002D0E22">
        <w:rPr>
          <w:rFonts w:hint="cs"/>
          <w:rtl/>
        </w:rPr>
        <w:t>ת ההתאמה להקמת פרויקט בשילוב המגזר פרטי</w:t>
      </w:r>
      <w:r>
        <w:rPr>
          <w:rStyle w:val="FootnoteReference"/>
          <w:rtl/>
        </w:rPr>
        <w:footnoteReference w:id="83"/>
      </w:r>
      <w:r>
        <w:rPr>
          <w:rFonts w:hint="cs"/>
          <w:rtl/>
        </w:rPr>
        <w:t xml:space="preserve"> בהיקף של מעל ל-250 מיליוני ש"ח.</w:t>
      </w:r>
    </w:p>
    <w:p w14:paraId="1ACC93F4" w14:textId="77777777" w:rsidR="00823E3A" w:rsidRDefault="00823E3A" w:rsidP="005614EB">
      <w:pPr>
        <w:pStyle w:val="100"/>
        <w:rPr>
          <w:rtl/>
        </w:rPr>
      </w:pPr>
      <w:r>
        <w:rPr>
          <w:rFonts w:hint="cs"/>
          <w:rtl/>
        </w:rPr>
        <w:t>ב</w:t>
      </w:r>
      <w:r w:rsidRPr="00D173D2">
        <w:rPr>
          <w:rtl/>
        </w:rPr>
        <w:t xml:space="preserve">מועד </w:t>
      </w:r>
      <w:r w:rsidRPr="00D173D2">
        <w:rPr>
          <w:rFonts w:hint="eastAsia"/>
          <w:rtl/>
        </w:rPr>
        <w:t>סיום</w:t>
      </w:r>
      <w:r w:rsidRPr="00D173D2">
        <w:rPr>
          <w:rtl/>
        </w:rPr>
        <w:t xml:space="preserve"> </w:t>
      </w:r>
      <w:r w:rsidRPr="00D173D2">
        <w:rPr>
          <w:rFonts w:hint="eastAsia"/>
          <w:rtl/>
        </w:rPr>
        <w:t>הביקורת</w:t>
      </w:r>
      <w:r w:rsidRPr="00D173D2">
        <w:rPr>
          <w:rtl/>
        </w:rPr>
        <w:t xml:space="preserve">, </w:t>
      </w:r>
      <w:r w:rsidRPr="00D173D2">
        <w:rPr>
          <w:rFonts w:hint="eastAsia"/>
          <w:rtl/>
        </w:rPr>
        <w:t>ועל</w:t>
      </w:r>
      <w:r w:rsidRPr="00D173D2">
        <w:rPr>
          <w:rtl/>
        </w:rPr>
        <w:t xml:space="preserve"> </w:t>
      </w:r>
      <w:r w:rsidRPr="00D173D2">
        <w:rPr>
          <w:rFonts w:hint="eastAsia"/>
          <w:rtl/>
        </w:rPr>
        <w:t>אף</w:t>
      </w:r>
      <w:r w:rsidRPr="00D173D2">
        <w:rPr>
          <w:rtl/>
        </w:rPr>
        <w:t xml:space="preserve"> </w:t>
      </w:r>
      <w:r w:rsidRPr="00D173D2">
        <w:rPr>
          <w:rFonts w:hint="eastAsia"/>
          <w:rtl/>
        </w:rPr>
        <w:t>האמור</w:t>
      </w:r>
      <w:r w:rsidRPr="00D173D2">
        <w:rPr>
          <w:rtl/>
        </w:rPr>
        <w:t xml:space="preserve"> </w:t>
      </w:r>
      <w:r w:rsidRPr="00D173D2">
        <w:rPr>
          <w:rFonts w:hint="eastAsia"/>
          <w:rtl/>
        </w:rPr>
        <w:t>בהחלטת</w:t>
      </w:r>
      <w:r w:rsidRPr="00D173D2">
        <w:rPr>
          <w:rtl/>
        </w:rPr>
        <w:t xml:space="preserve"> </w:t>
      </w:r>
      <w:r w:rsidRPr="00D173D2">
        <w:rPr>
          <w:rFonts w:hint="eastAsia"/>
          <w:rtl/>
        </w:rPr>
        <w:t>הממשלה</w:t>
      </w:r>
      <w:r w:rsidRPr="00D173D2">
        <w:rPr>
          <w:rtl/>
        </w:rPr>
        <w:t xml:space="preserve">, </w:t>
      </w:r>
      <w:r w:rsidRPr="00D173D2">
        <w:rPr>
          <w:rFonts w:hint="eastAsia"/>
          <w:rtl/>
        </w:rPr>
        <w:t>אין</w:t>
      </w:r>
      <w:r w:rsidRPr="00D173D2">
        <w:rPr>
          <w:rtl/>
        </w:rPr>
        <w:t xml:space="preserve"> </w:t>
      </w:r>
      <w:r w:rsidRPr="00D173D2">
        <w:rPr>
          <w:rFonts w:hint="eastAsia"/>
          <w:rtl/>
        </w:rPr>
        <w:t>חובה</w:t>
      </w:r>
      <w:r w:rsidRPr="00D173D2">
        <w:rPr>
          <w:rtl/>
        </w:rPr>
        <w:t xml:space="preserve"> </w:t>
      </w:r>
      <w:r w:rsidRPr="00D173D2">
        <w:rPr>
          <w:rFonts w:hint="eastAsia"/>
          <w:rtl/>
        </w:rPr>
        <w:t>לבצע</w:t>
      </w:r>
      <w:r w:rsidRPr="00D173D2">
        <w:rPr>
          <w:rtl/>
        </w:rPr>
        <w:t xml:space="preserve"> </w:t>
      </w:r>
      <w:r w:rsidRPr="00D173D2">
        <w:rPr>
          <w:rFonts w:hint="eastAsia"/>
          <w:rtl/>
        </w:rPr>
        <w:t>בדיקות</w:t>
      </w:r>
      <w:r w:rsidRPr="00D173D2">
        <w:rPr>
          <w:rtl/>
        </w:rPr>
        <w:t xml:space="preserve"> </w:t>
      </w:r>
      <w:r w:rsidRPr="00D173D2">
        <w:rPr>
          <w:rFonts w:hint="eastAsia"/>
          <w:rtl/>
        </w:rPr>
        <w:t>התאמה</w:t>
      </w:r>
      <w:r w:rsidRPr="00D173D2">
        <w:rPr>
          <w:rtl/>
        </w:rPr>
        <w:t xml:space="preserve"> </w:t>
      </w:r>
      <w:r w:rsidRPr="00D173D2">
        <w:rPr>
          <w:rFonts w:hint="eastAsia"/>
          <w:rtl/>
        </w:rPr>
        <w:t>לפרויקטים</w:t>
      </w:r>
      <w:r w:rsidRPr="00D173D2">
        <w:rPr>
          <w:rtl/>
        </w:rPr>
        <w:t xml:space="preserve"> </w:t>
      </w:r>
      <w:r w:rsidRPr="00D173D2">
        <w:rPr>
          <w:rFonts w:hint="eastAsia"/>
          <w:rtl/>
        </w:rPr>
        <w:t>בשיתוף</w:t>
      </w:r>
      <w:r w:rsidRPr="00D173D2">
        <w:rPr>
          <w:rtl/>
        </w:rPr>
        <w:t xml:space="preserve"> </w:t>
      </w:r>
      <w:r w:rsidRPr="00D173D2">
        <w:rPr>
          <w:rFonts w:hint="eastAsia"/>
          <w:rtl/>
        </w:rPr>
        <w:t>המגזר</w:t>
      </w:r>
      <w:r w:rsidRPr="00D173D2">
        <w:rPr>
          <w:rtl/>
        </w:rPr>
        <w:t xml:space="preserve"> </w:t>
      </w:r>
      <w:r w:rsidRPr="00D173D2">
        <w:rPr>
          <w:rFonts w:hint="eastAsia"/>
          <w:rtl/>
        </w:rPr>
        <w:t>הפרטי</w:t>
      </w:r>
      <w:r w:rsidRPr="00D173D2">
        <w:rPr>
          <w:rtl/>
        </w:rPr>
        <w:t xml:space="preserve"> </w:t>
      </w:r>
      <w:r w:rsidRPr="00D173D2">
        <w:rPr>
          <w:rFonts w:hint="eastAsia"/>
          <w:rtl/>
        </w:rPr>
        <w:t>ואין</w:t>
      </w:r>
      <w:r w:rsidRPr="00D173D2">
        <w:rPr>
          <w:rtl/>
        </w:rPr>
        <w:t xml:space="preserve"> </w:t>
      </w:r>
      <w:r w:rsidRPr="00D173D2">
        <w:rPr>
          <w:rFonts w:hint="eastAsia"/>
          <w:rtl/>
        </w:rPr>
        <w:t>חובת</w:t>
      </w:r>
      <w:r w:rsidRPr="00D173D2">
        <w:rPr>
          <w:rtl/>
        </w:rPr>
        <w:t xml:space="preserve"> </w:t>
      </w:r>
      <w:r w:rsidRPr="00D173D2">
        <w:rPr>
          <w:rFonts w:hint="eastAsia"/>
          <w:rtl/>
        </w:rPr>
        <w:t>היוועצות</w:t>
      </w:r>
      <w:r w:rsidRPr="00D173D2">
        <w:rPr>
          <w:rtl/>
        </w:rPr>
        <w:t xml:space="preserve"> </w:t>
      </w:r>
      <w:r w:rsidRPr="00D173D2">
        <w:rPr>
          <w:rFonts w:hint="eastAsia"/>
          <w:rtl/>
        </w:rPr>
        <w:t>עם</w:t>
      </w:r>
      <w:r w:rsidRPr="00D173D2">
        <w:rPr>
          <w:rtl/>
        </w:rPr>
        <w:t xml:space="preserve"> </w:t>
      </w:r>
      <w:r w:rsidRPr="00D173D2">
        <w:rPr>
          <w:rFonts w:hint="eastAsia"/>
          <w:rtl/>
        </w:rPr>
        <w:t>גורם</w:t>
      </w:r>
      <w:r w:rsidRPr="00D173D2">
        <w:rPr>
          <w:rtl/>
        </w:rPr>
        <w:t xml:space="preserve"> </w:t>
      </w:r>
      <w:r w:rsidRPr="00D173D2">
        <w:rPr>
          <w:rFonts w:hint="eastAsia"/>
          <w:rtl/>
        </w:rPr>
        <w:t>מקצועי</w:t>
      </w:r>
      <w:r w:rsidRPr="00D173D2">
        <w:rPr>
          <w:rtl/>
        </w:rPr>
        <w:t xml:space="preserve"> </w:t>
      </w:r>
      <w:r w:rsidRPr="00D173D2">
        <w:rPr>
          <w:rFonts w:hint="eastAsia"/>
          <w:rtl/>
        </w:rPr>
        <w:t>בטרם</w:t>
      </w:r>
      <w:r w:rsidRPr="00D173D2">
        <w:rPr>
          <w:rtl/>
        </w:rPr>
        <w:t xml:space="preserve"> </w:t>
      </w:r>
      <w:r w:rsidRPr="00D173D2">
        <w:rPr>
          <w:rFonts w:hint="eastAsia"/>
          <w:rtl/>
        </w:rPr>
        <w:t>מתקבלת</w:t>
      </w:r>
      <w:r w:rsidRPr="00D173D2">
        <w:rPr>
          <w:rtl/>
        </w:rPr>
        <w:t xml:space="preserve"> </w:t>
      </w:r>
      <w:r w:rsidRPr="00D173D2">
        <w:rPr>
          <w:rFonts w:hint="eastAsia"/>
          <w:rtl/>
        </w:rPr>
        <w:t>החלטת</w:t>
      </w:r>
      <w:r w:rsidRPr="00D173D2">
        <w:rPr>
          <w:rtl/>
        </w:rPr>
        <w:t xml:space="preserve"> </w:t>
      </w:r>
      <w:r w:rsidRPr="00D173D2">
        <w:rPr>
          <w:rFonts w:hint="eastAsia"/>
          <w:rtl/>
        </w:rPr>
        <w:t>ממשלה</w:t>
      </w:r>
      <w:r w:rsidRPr="00D173D2">
        <w:rPr>
          <w:rtl/>
        </w:rPr>
        <w:t xml:space="preserve"> </w:t>
      </w:r>
      <w:r w:rsidRPr="00D173D2">
        <w:rPr>
          <w:rFonts w:hint="eastAsia"/>
          <w:rtl/>
        </w:rPr>
        <w:t>על</w:t>
      </w:r>
      <w:r w:rsidRPr="00D173D2">
        <w:rPr>
          <w:rtl/>
        </w:rPr>
        <w:t xml:space="preserve"> </w:t>
      </w:r>
      <w:r w:rsidRPr="00D173D2">
        <w:rPr>
          <w:rFonts w:hint="eastAsia"/>
          <w:rtl/>
        </w:rPr>
        <w:t>יישום</w:t>
      </w:r>
      <w:r w:rsidRPr="00D173D2">
        <w:rPr>
          <w:rtl/>
        </w:rPr>
        <w:t xml:space="preserve"> </w:t>
      </w:r>
      <w:r w:rsidRPr="00D173D2">
        <w:rPr>
          <w:rFonts w:hint="eastAsia"/>
          <w:rtl/>
        </w:rPr>
        <w:t>המתווה</w:t>
      </w:r>
      <w:r w:rsidRPr="0055318B">
        <w:rPr>
          <w:rFonts w:hint="cs"/>
          <w:rtl/>
        </w:rPr>
        <w:t>.</w:t>
      </w:r>
      <w:r w:rsidRPr="00747894">
        <w:rPr>
          <w:rFonts w:hint="cs"/>
          <w:rtl/>
        </w:rPr>
        <w:t xml:space="preserve"> </w:t>
      </w:r>
      <w:r>
        <w:rPr>
          <w:rFonts w:hint="cs"/>
          <w:rtl/>
        </w:rPr>
        <w:t>במהלך תקופת הביקורת</w:t>
      </w:r>
      <w:r w:rsidRPr="00C720A3">
        <w:rPr>
          <w:rFonts w:hint="cs"/>
          <w:rtl/>
        </w:rPr>
        <w:t xml:space="preserve"> </w:t>
      </w:r>
      <w:r>
        <w:rPr>
          <w:rFonts w:hint="cs"/>
          <w:rtl/>
        </w:rPr>
        <w:t>גובש במשרד ראש הממשלה מודל שנועד לשמש את משרדי הממשלה לבדיקת התאמה ראשונית ליישום מתווה של שותפות ציבורית-פרטית עבור פרויקטים שעלות הקמתם גבוהה מ-250 מיליוני ש"ח. מודל זה משמש לסינון ראשון, ופרויקטים שיימצאו מתאימים לפיו יעברו בחינת התאמה בידי גורם ציבורי בעל מומחיות בביצוע בדיקות התאמה או בידי גורם מטעמו. עם זאת, התברר כי במועד סיום הביקורת, המודל המוצג באתר התשתיות הממשלתי אינו מחייב את משרדי הממשלה ויחידות הסמך או כל גורם אחר.</w:t>
      </w:r>
    </w:p>
    <w:p w14:paraId="0D913FED" w14:textId="77777777" w:rsidR="00823E3A" w:rsidRDefault="00823E3A" w:rsidP="005614EB">
      <w:pPr>
        <w:pStyle w:val="100"/>
        <w:rPr>
          <w:rtl/>
        </w:rPr>
      </w:pPr>
      <w:r>
        <w:rPr>
          <w:rFonts w:hint="cs"/>
          <w:rtl/>
        </w:rPr>
        <w:t>זאת ועוד, מודל זה של בחינת ההתאמה הראשונית מתרכז בבחינת ההשקעה ההונית ובמרכיבי התפעול העיקריים בפרויקט, שהם שני היבטים מרכזיים בהצדקה של יישום מתווה השותפות ציבורית-פרטית. עם זאת, המודל אינו כולל היבטים מהותיים נוספים שהם תנאי סף לבחינת יישום המתווה, ובהם יכולת העברת הסיכונים למגזר הפרטי, היתכנותו של הליך מכרז תחרותי, שיקולי תקציב ומחויבות ארוכת-טווח. כמו כן חסרות בו התייחסות לפגיעה אפשרית ביכולת המבצעית ודרישות סודיות חריגות, ככל שהן נחוצות</w:t>
      </w:r>
      <w:r>
        <w:rPr>
          <w:rStyle w:val="FootnoteReference"/>
          <w:rtl/>
        </w:rPr>
        <w:footnoteReference w:id="84"/>
      </w:r>
      <w:r>
        <w:rPr>
          <w:rFonts w:hint="cs"/>
          <w:rtl/>
        </w:rPr>
        <w:t xml:space="preserve">. </w:t>
      </w:r>
    </w:p>
    <w:p w14:paraId="074FEBB9" w14:textId="77777777" w:rsidR="00823E3A" w:rsidRPr="00E20F17" w:rsidRDefault="00823E3A" w:rsidP="005614EB">
      <w:pPr>
        <w:pStyle w:val="100"/>
        <w:rPr>
          <w:sz w:val="24"/>
          <w:rtl/>
        </w:rPr>
      </w:pPr>
      <w:r>
        <w:rPr>
          <w:rFonts w:hint="cs"/>
          <w:sz w:val="24"/>
          <w:rtl/>
        </w:rPr>
        <w:t xml:space="preserve">בתשובתו של משרד ראש הממשלה נטען כי המודל שנבחר כולל פרמטרים שהמשרדים יכולים לבדוק בעצמם, ואילו הפרמטרים המורכבים נבדקים בידי חטיבת הפרויקטים או בידי מי </w:t>
      </w:r>
      <w:r>
        <w:rPr>
          <w:rFonts w:hint="cs"/>
          <w:sz w:val="24"/>
          <w:rtl/>
        </w:rPr>
        <w:lastRenderedPageBreak/>
        <w:t xml:space="preserve">מטעמה. </w:t>
      </w:r>
      <w:r w:rsidRPr="00E20F17">
        <w:rPr>
          <w:rFonts w:hint="cs"/>
          <w:sz w:val="24"/>
          <w:rtl/>
        </w:rPr>
        <w:t>בתשובת</w:t>
      </w:r>
      <w:r>
        <w:rPr>
          <w:rFonts w:hint="cs"/>
          <w:sz w:val="24"/>
          <w:rtl/>
        </w:rPr>
        <w:t>ה של</w:t>
      </w:r>
      <w:r w:rsidRPr="00E20F17">
        <w:rPr>
          <w:rFonts w:hint="cs"/>
          <w:sz w:val="24"/>
          <w:rtl/>
        </w:rPr>
        <w:t xml:space="preserve"> חטיבת תשתיות ופרויקטים </w:t>
      </w:r>
      <w:r>
        <w:rPr>
          <w:rFonts w:hint="cs"/>
          <w:sz w:val="24"/>
          <w:rtl/>
        </w:rPr>
        <w:t>נאמר:</w:t>
      </w:r>
      <w:r w:rsidRPr="00E20F17">
        <w:rPr>
          <w:rFonts w:hint="cs"/>
          <w:sz w:val="24"/>
          <w:rtl/>
        </w:rPr>
        <w:t xml:space="preserve"> </w:t>
      </w:r>
      <w:r>
        <w:rPr>
          <w:rFonts w:hint="cs"/>
          <w:sz w:val="24"/>
          <w:rtl/>
        </w:rPr>
        <w:t>"</w:t>
      </w:r>
      <w:r w:rsidRPr="00E20F17">
        <w:rPr>
          <w:sz w:val="24"/>
          <w:rtl/>
        </w:rPr>
        <w:t xml:space="preserve">בדיקת ההתאמה הראשונית שפורסמה באתר </w:t>
      </w:r>
      <w:r>
        <w:rPr>
          <w:rFonts w:hint="cs"/>
          <w:sz w:val="24"/>
          <w:rtl/>
        </w:rPr>
        <w:t>ראש הממשלה,</w:t>
      </w:r>
      <w:r w:rsidRPr="00E20F17">
        <w:rPr>
          <w:sz w:val="24"/>
          <w:rtl/>
        </w:rPr>
        <w:t xml:space="preserve"> מיועדת לשמש ככלי ראשוני לבחינת ׳תנאי סף׳ עבור משרדי ממשלה אשר אין ביכולתם לבצע בחינה מעמיקה. פרמטרים נוספים, ובכללם גם פרמטרים איכותיים, נבחנים באופן מעמיק בבדיקת ההתאמה הנוספת אשר תתבצע בחטיבת הפרויקטים, ככל שפרויקט מסוים עבר את תנאי הסף הכלכליים בבדיקת ההתאמה הראשונית. יצוין כי גם אם לפרויקט מסוים יהיו תועלות איכותיות בקידום באמצעות </w:t>
      </w:r>
      <w:r w:rsidRPr="00EE65CE">
        <w:t>PPP</w:t>
      </w:r>
      <w:r w:rsidRPr="00EE65CE">
        <w:rPr>
          <w:rtl/>
        </w:rPr>
        <w:t xml:space="preserve"> </w:t>
      </w:r>
      <w:r w:rsidRPr="00E20F17">
        <w:rPr>
          <w:sz w:val="24"/>
          <w:rtl/>
        </w:rPr>
        <w:t>הוא ממילא לא יקודם במודל זה אם ההשקעה ההונית שלו תהיה נמוכה</w:t>
      </w:r>
      <w:r>
        <w:rPr>
          <w:rFonts w:hint="cs"/>
          <w:sz w:val="24"/>
          <w:rtl/>
        </w:rPr>
        <w:t>"</w:t>
      </w:r>
      <w:r w:rsidRPr="00E20F17">
        <w:rPr>
          <w:sz w:val="24"/>
          <w:rtl/>
        </w:rPr>
        <w:t>.</w:t>
      </w:r>
    </w:p>
    <w:p w14:paraId="0F220776" w14:textId="77777777" w:rsidR="00823E3A" w:rsidRPr="00133651" w:rsidRDefault="00823E3A" w:rsidP="005614EB">
      <w:pPr>
        <w:pStyle w:val="100"/>
        <w:rPr>
          <w:rtl/>
        </w:rPr>
      </w:pPr>
      <w:r>
        <w:rPr>
          <w:rFonts w:hint="cs"/>
          <w:rtl/>
        </w:rPr>
        <w:t xml:space="preserve">לעניין זה מציין משרד מבקר המדינה כי בהיעדר שקלולם של היבטים אלה, ייתכן כי </w:t>
      </w:r>
      <w:r w:rsidRPr="005212D4">
        <w:rPr>
          <w:rFonts w:hint="cs"/>
          <w:rtl/>
        </w:rPr>
        <w:t xml:space="preserve">פרויקטים </w:t>
      </w:r>
      <w:r>
        <w:rPr>
          <w:rFonts w:hint="cs"/>
          <w:rtl/>
        </w:rPr>
        <w:t xml:space="preserve">שונים </w:t>
      </w:r>
      <w:r w:rsidRPr="005212D4">
        <w:rPr>
          <w:rFonts w:hint="cs"/>
          <w:rtl/>
        </w:rPr>
        <w:t>שבוצעו ב</w:t>
      </w:r>
      <w:r>
        <w:rPr>
          <w:rFonts w:hint="cs"/>
          <w:rtl/>
        </w:rPr>
        <w:t>שיתוף המגזר הפרטי</w:t>
      </w:r>
      <w:r w:rsidRPr="005212D4">
        <w:rPr>
          <w:rFonts w:hint="cs"/>
          <w:rtl/>
        </w:rPr>
        <w:t xml:space="preserve"> בעבר </w:t>
      </w:r>
      <w:r>
        <w:rPr>
          <w:rFonts w:hint="cs"/>
          <w:rtl/>
        </w:rPr>
        <w:t>לא היו צולחים</w:t>
      </w:r>
      <w:r w:rsidRPr="005212D4">
        <w:rPr>
          <w:rFonts w:hint="cs"/>
          <w:rtl/>
        </w:rPr>
        <w:t xml:space="preserve"> את בחינת ההתאמה ה</w:t>
      </w:r>
      <w:r>
        <w:rPr>
          <w:rFonts w:hint="cs"/>
          <w:rtl/>
        </w:rPr>
        <w:t xml:space="preserve">ראשונית שגובשה, </w:t>
      </w:r>
      <w:r w:rsidRPr="00D94134">
        <w:rPr>
          <w:rFonts w:hint="eastAsia"/>
          <w:rtl/>
        </w:rPr>
        <w:t>לדוגמ</w:t>
      </w:r>
      <w:r>
        <w:rPr>
          <w:rFonts w:hint="cs"/>
          <w:rtl/>
        </w:rPr>
        <w:t>ה</w:t>
      </w:r>
      <w:r w:rsidRPr="00D94134">
        <w:rPr>
          <w:rtl/>
        </w:rPr>
        <w:t xml:space="preserve"> פרויקטים </w:t>
      </w:r>
      <w:r>
        <w:rPr>
          <w:rFonts w:hint="cs"/>
          <w:rtl/>
        </w:rPr>
        <w:t xml:space="preserve">שבהם עלותו של </w:t>
      </w:r>
      <w:r w:rsidRPr="00D94134">
        <w:rPr>
          <w:rtl/>
        </w:rPr>
        <w:t xml:space="preserve">רכיב </w:t>
      </w:r>
      <w:r>
        <w:rPr>
          <w:rFonts w:hint="cs"/>
          <w:rtl/>
        </w:rPr>
        <w:t>ה</w:t>
      </w:r>
      <w:r w:rsidRPr="00D94134">
        <w:rPr>
          <w:rtl/>
        </w:rPr>
        <w:t>תפעול נמו</w:t>
      </w:r>
      <w:r>
        <w:rPr>
          <w:rFonts w:hint="cs"/>
          <w:rtl/>
        </w:rPr>
        <w:t>כה</w:t>
      </w:r>
      <w:r w:rsidRPr="00D94134">
        <w:rPr>
          <w:rtl/>
        </w:rPr>
        <w:t xml:space="preserve"> ועלות </w:t>
      </w:r>
      <w:r>
        <w:rPr>
          <w:rFonts w:hint="cs"/>
          <w:rtl/>
        </w:rPr>
        <w:t>ה</w:t>
      </w:r>
      <w:r w:rsidRPr="00D94134">
        <w:rPr>
          <w:rtl/>
        </w:rPr>
        <w:t>הקמה גבוהה</w:t>
      </w:r>
      <w:r>
        <w:rPr>
          <w:rStyle w:val="FootnoteReference"/>
          <w:rtl/>
        </w:rPr>
        <w:footnoteReference w:id="85"/>
      </w:r>
      <w:r w:rsidRPr="00D94134">
        <w:rPr>
          <w:rtl/>
        </w:rPr>
        <w:t xml:space="preserve"> </w:t>
      </w:r>
      <w:r>
        <w:rPr>
          <w:rFonts w:hint="cs"/>
          <w:rtl/>
        </w:rPr>
        <w:t xml:space="preserve">או פרויקטים בתחום הבינוי שעלות הקמתם נמוכה </w:t>
      </w:r>
      <w:r w:rsidRPr="00D94134">
        <w:rPr>
          <w:rFonts w:hint="eastAsia"/>
          <w:rtl/>
        </w:rPr>
        <w:t>מ</w:t>
      </w:r>
      <w:r w:rsidRPr="00D94134">
        <w:rPr>
          <w:rtl/>
        </w:rPr>
        <w:t xml:space="preserve">-250 </w:t>
      </w:r>
      <w:r w:rsidRPr="00D94134">
        <w:rPr>
          <w:rFonts w:hint="eastAsia"/>
          <w:rtl/>
        </w:rPr>
        <w:t>מיליוני</w:t>
      </w:r>
      <w:r w:rsidRPr="00D94134">
        <w:rPr>
          <w:rtl/>
        </w:rPr>
        <w:t xml:space="preserve"> </w:t>
      </w:r>
      <w:r w:rsidRPr="00D94134">
        <w:rPr>
          <w:rFonts w:hint="eastAsia"/>
          <w:rtl/>
        </w:rPr>
        <w:t>ש</w:t>
      </w:r>
      <w:r w:rsidRPr="00D94134">
        <w:rPr>
          <w:rtl/>
        </w:rPr>
        <w:t>"ח</w:t>
      </w:r>
      <w:r>
        <w:rPr>
          <w:rStyle w:val="FootnoteReference"/>
          <w:rtl/>
        </w:rPr>
        <w:footnoteReference w:id="86"/>
      </w:r>
      <w:r w:rsidRPr="005212D4">
        <w:rPr>
          <w:rFonts w:hint="cs"/>
          <w:rtl/>
        </w:rPr>
        <w:t xml:space="preserve">. </w:t>
      </w:r>
      <w:r>
        <w:rPr>
          <w:rFonts w:hint="cs"/>
          <w:rtl/>
        </w:rPr>
        <w:t>לפיכך, לצד קביעת סף מינימלי לעלות הפרויקט לצורך בדיקת התאמתו ליישום המתווה, ראוי לבחון אם נחוצה הגדרת תנאים לביצוע בחינת התאמה גם כשהעלות אינה מגיעה לרף שנקבע. ללא קביעת תנאים כאמור</w:t>
      </w:r>
      <w:r w:rsidRPr="007F48F1">
        <w:rPr>
          <w:rFonts w:hint="cs"/>
          <w:rtl/>
        </w:rPr>
        <w:t xml:space="preserve"> </w:t>
      </w:r>
      <w:r w:rsidRPr="007F48F1">
        <w:rPr>
          <w:rFonts w:hint="eastAsia"/>
          <w:rtl/>
        </w:rPr>
        <w:t>עולה</w:t>
      </w:r>
      <w:r w:rsidRPr="007F48F1">
        <w:rPr>
          <w:rtl/>
        </w:rPr>
        <w:t xml:space="preserve"> </w:t>
      </w:r>
      <w:r w:rsidRPr="007F48F1">
        <w:rPr>
          <w:rFonts w:hint="eastAsia"/>
          <w:rtl/>
        </w:rPr>
        <w:t>החשש</w:t>
      </w:r>
      <w:r w:rsidRPr="007F48F1">
        <w:rPr>
          <w:rtl/>
        </w:rPr>
        <w:t xml:space="preserve"> </w:t>
      </w:r>
      <w:r w:rsidRPr="007F48F1">
        <w:rPr>
          <w:rFonts w:hint="eastAsia"/>
          <w:rtl/>
        </w:rPr>
        <w:t>כי</w:t>
      </w:r>
      <w:r w:rsidRPr="007F48F1">
        <w:rPr>
          <w:rtl/>
        </w:rPr>
        <w:t xml:space="preserve"> </w:t>
      </w:r>
      <w:r>
        <w:rPr>
          <w:rFonts w:hint="cs"/>
          <w:rtl/>
        </w:rPr>
        <w:t>כדי</w:t>
      </w:r>
      <w:r w:rsidRPr="007F48F1">
        <w:rPr>
          <w:rtl/>
        </w:rPr>
        <w:t xml:space="preserve"> </w:t>
      </w:r>
      <w:r w:rsidRPr="007F48F1">
        <w:rPr>
          <w:rFonts w:hint="eastAsia"/>
          <w:rtl/>
        </w:rPr>
        <w:t>להצדיק</w:t>
      </w:r>
      <w:r w:rsidRPr="007F48F1">
        <w:rPr>
          <w:rtl/>
        </w:rPr>
        <w:t xml:space="preserve"> </w:t>
      </w:r>
      <w:r w:rsidRPr="007F48F1">
        <w:rPr>
          <w:rFonts w:hint="eastAsia"/>
          <w:rtl/>
        </w:rPr>
        <w:t>את</w:t>
      </w:r>
      <w:r w:rsidRPr="007F48F1">
        <w:rPr>
          <w:rtl/>
        </w:rPr>
        <w:t xml:space="preserve"> </w:t>
      </w:r>
      <w:r w:rsidRPr="007F48F1">
        <w:rPr>
          <w:rFonts w:hint="eastAsia"/>
          <w:rtl/>
        </w:rPr>
        <w:t>העברת</w:t>
      </w:r>
      <w:r w:rsidRPr="007F48F1">
        <w:rPr>
          <w:rtl/>
        </w:rPr>
        <w:t xml:space="preserve"> </w:t>
      </w:r>
      <w:r>
        <w:rPr>
          <w:rFonts w:hint="cs"/>
          <w:rtl/>
        </w:rPr>
        <w:t>ה</w:t>
      </w:r>
      <w:r w:rsidRPr="007F48F1">
        <w:rPr>
          <w:rFonts w:hint="eastAsia"/>
          <w:rtl/>
        </w:rPr>
        <w:t>פרויקט</w:t>
      </w:r>
      <w:r w:rsidRPr="007F48F1">
        <w:rPr>
          <w:rtl/>
        </w:rPr>
        <w:t xml:space="preserve"> </w:t>
      </w:r>
      <w:r w:rsidRPr="007F48F1">
        <w:rPr>
          <w:rFonts w:hint="eastAsia"/>
          <w:rtl/>
        </w:rPr>
        <w:t>לבחינה</w:t>
      </w:r>
      <w:r w:rsidRPr="007F48F1">
        <w:rPr>
          <w:rtl/>
        </w:rPr>
        <w:t xml:space="preserve"> </w:t>
      </w:r>
      <w:r w:rsidRPr="007F48F1">
        <w:rPr>
          <w:rFonts w:hint="eastAsia"/>
          <w:rtl/>
        </w:rPr>
        <w:t>מעמיקה</w:t>
      </w:r>
      <w:r w:rsidRPr="007F48F1">
        <w:rPr>
          <w:rtl/>
        </w:rPr>
        <w:t xml:space="preserve"> </w:t>
      </w:r>
      <w:r w:rsidRPr="007F48F1">
        <w:rPr>
          <w:rFonts w:hint="cs"/>
          <w:rtl/>
        </w:rPr>
        <w:t>ולהקמתו</w:t>
      </w:r>
      <w:r w:rsidRPr="007F48F1">
        <w:rPr>
          <w:rtl/>
        </w:rPr>
        <w:t xml:space="preserve"> ב</w:t>
      </w:r>
      <w:r>
        <w:rPr>
          <w:rFonts w:hint="cs"/>
          <w:rtl/>
        </w:rPr>
        <w:t>מתווה</w:t>
      </w:r>
      <w:r w:rsidRPr="007F48F1">
        <w:rPr>
          <w:rtl/>
        </w:rPr>
        <w:t xml:space="preserve"> של </w:t>
      </w:r>
      <w:r>
        <w:rPr>
          <w:rFonts w:hint="cs"/>
        </w:rPr>
        <w:t>PPP</w:t>
      </w:r>
      <w:r w:rsidRPr="007F48F1">
        <w:rPr>
          <w:rtl/>
        </w:rPr>
        <w:t xml:space="preserve">, </w:t>
      </w:r>
      <w:r w:rsidRPr="00133651">
        <w:rPr>
          <w:rtl/>
        </w:rPr>
        <w:t>יתווס</w:t>
      </w:r>
      <w:r w:rsidRPr="00133651">
        <w:rPr>
          <w:rFonts w:hint="eastAsia"/>
          <w:rtl/>
        </w:rPr>
        <w:t>פו</w:t>
      </w:r>
      <w:r w:rsidRPr="00133651">
        <w:rPr>
          <w:rtl/>
        </w:rPr>
        <w:t xml:space="preserve"> </w:t>
      </w:r>
      <w:r w:rsidRPr="00133651">
        <w:rPr>
          <w:rFonts w:hint="eastAsia"/>
          <w:rtl/>
        </w:rPr>
        <w:t>לו</w:t>
      </w:r>
      <w:r w:rsidRPr="00133651">
        <w:rPr>
          <w:rtl/>
        </w:rPr>
        <w:t xml:space="preserve"> </w:t>
      </w:r>
      <w:r w:rsidRPr="00133651">
        <w:rPr>
          <w:rFonts w:hint="eastAsia"/>
          <w:rtl/>
        </w:rPr>
        <w:t>מרכיבים</w:t>
      </w:r>
      <w:r w:rsidRPr="00133651">
        <w:rPr>
          <w:rtl/>
        </w:rPr>
        <w:t xml:space="preserve"> </w:t>
      </w:r>
      <w:r w:rsidRPr="00133651">
        <w:rPr>
          <w:rFonts w:hint="eastAsia"/>
          <w:rtl/>
        </w:rPr>
        <w:t>של</w:t>
      </w:r>
      <w:r w:rsidRPr="00133651">
        <w:rPr>
          <w:rtl/>
        </w:rPr>
        <w:t xml:space="preserve"> </w:t>
      </w:r>
      <w:r w:rsidRPr="00133651">
        <w:rPr>
          <w:rFonts w:hint="eastAsia"/>
          <w:rtl/>
        </w:rPr>
        <w:t>שירותים</w:t>
      </w:r>
      <w:r w:rsidRPr="00133651">
        <w:rPr>
          <w:rtl/>
        </w:rPr>
        <w:t xml:space="preserve"> </w:t>
      </w:r>
      <w:r w:rsidRPr="00133651">
        <w:rPr>
          <w:rFonts w:hint="eastAsia"/>
          <w:rtl/>
        </w:rPr>
        <w:t>רכים</w:t>
      </w:r>
      <w:r w:rsidRPr="00133651">
        <w:rPr>
          <w:rStyle w:val="FootnoteReference"/>
          <w:rtl/>
        </w:rPr>
        <w:footnoteReference w:id="87"/>
      </w:r>
      <w:r w:rsidRPr="00133651">
        <w:rPr>
          <w:rtl/>
        </w:rPr>
        <w:t xml:space="preserve"> </w:t>
      </w:r>
      <w:r w:rsidRPr="00133651">
        <w:rPr>
          <w:rFonts w:hint="eastAsia"/>
          <w:rtl/>
        </w:rPr>
        <w:t>שאינם</w:t>
      </w:r>
      <w:r w:rsidRPr="00133651">
        <w:rPr>
          <w:rtl/>
        </w:rPr>
        <w:t xml:space="preserve"> </w:t>
      </w:r>
      <w:r w:rsidRPr="00133651">
        <w:rPr>
          <w:rFonts w:hint="eastAsia"/>
          <w:rtl/>
        </w:rPr>
        <w:t>בבסיס</w:t>
      </w:r>
      <w:r w:rsidRPr="00133651">
        <w:rPr>
          <w:rtl/>
        </w:rPr>
        <w:t xml:space="preserve"> </w:t>
      </w:r>
      <w:r w:rsidRPr="00133651">
        <w:rPr>
          <w:rFonts w:hint="eastAsia"/>
          <w:rtl/>
        </w:rPr>
        <w:t>צ</w:t>
      </w:r>
      <w:r w:rsidRPr="00133651">
        <w:rPr>
          <w:rFonts w:hint="cs"/>
          <w:rtl/>
        </w:rPr>
        <w:t>ו</w:t>
      </w:r>
      <w:r w:rsidRPr="00133651">
        <w:rPr>
          <w:rFonts w:hint="eastAsia"/>
          <w:rtl/>
        </w:rPr>
        <w:t>רכי</w:t>
      </w:r>
      <w:r w:rsidRPr="00133651">
        <w:rPr>
          <w:rtl/>
        </w:rPr>
        <w:t xml:space="preserve"> </w:t>
      </w:r>
      <w:r w:rsidRPr="00133651">
        <w:rPr>
          <w:rFonts w:hint="eastAsia"/>
          <w:rtl/>
        </w:rPr>
        <w:t>הפרויקט</w:t>
      </w:r>
      <w:r w:rsidRPr="00133651">
        <w:rPr>
          <w:rFonts w:hint="cs"/>
          <w:rtl/>
        </w:rPr>
        <w:t>,</w:t>
      </w:r>
      <w:r w:rsidRPr="00133651">
        <w:rPr>
          <w:rtl/>
        </w:rPr>
        <w:t xml:space="preserve"> </w:t>
      </w:r>
      <w:r w:rsidRPr="00133651">
        <w:rPr>
          <w:rFonts w:hint="eastAsia"/>
          <w:rtl/>
        </w:rPr>
        <w:t>וזאת</w:t>
      </w:r>
      <w:r w:rsidRPr="00133651">
        <w:rPr>
          <w:rtl/>
        </w:rPr>
        <w:t xml:space="preserve"> </w:t>
      </w:r>
      <w:r w:rsidRPr="00133651">
        <w:rPr>
          <w:rFonts w:hint="eastAsia"/>
          <w:rtl/>
        </w:rPr>
        <w:t>רק</w:t>
      </w:r>
      <w:r w:rsidRPr="00133651">
        <w:rPr>
          <w:rtl/>
        </w:rPr>
        <w:t xml:space="preserve"> </w:t>
      </w:r>
      <w:r w:rsidRPr="00133651">
        <w:rPr>
          <w:rFonts w:hint="cs"/>
          <w:rtl/>
        </w:rPr>
        <w:t>כדי</w:t>
      </w:r>
      <w:r w:rsidRPr="00133651">
        <w:rPr>
          <w:rtl/>
        </w:rPr>
        <w:t xml:space="preserve"> </w:t>
      </w:r>
      <w:r w:rsidRPr="00133651">
        <w:rPr>
          <w:rFonts w:hint="eastAsia"/>
          <w:rtl/>
        </w:rPr>
        <w:t>להגדיל</w:t>
      </w:r>
      <w:r w:rsidRPr="00133651">
        <w:rPr>
          <w:rtl/>
        </w:rPr>
        <w:t xml:space="preserve"> </w:t>
      </w:r>
      <w:r w:rsidRPr="00133651">
        <w:rPr>
          <w:rFonts w:hint="eastAsia"/>
          <w:rtl/>
        </w:rPr>
        <w:t>את</w:t>
      </w:r>
      <w:r w:rsidRPr="00133651">
        <w:rPr>
          <w:rtl/>
        </w:rPr>
        <w:t xml:space="preserve"> </w:t>
      </w:r>
      <w:r w:rsidRPr="00133651">
        <w:rPr>
          <w:rFonts w:hint="eastAsia"/>
          <w:rtl/>
        </w:rPr>
        <w:t>נפח</w:t>
      </w:r>
      <w:r w:rsidRPr="00133651">
        <w:rPr>
          <w:rFonts w:hint="cs"/>
          <w:rtl/>
        </w:rPr>
        <w:t>ו של</w:t>
      </w:r>
      <w:r w:rsidRPr="00133651">
        <w:rPr>
          <w:rtl/>
        </w:rPr>
        <w:t xml:space="preserve"> </w:t>
      </w:r>
      <w:r w:rsidRPr="00133651">
        <w:rPr>
          <w:rFonts w:hint="eastAsia"/>
          <w:rtl/>
        </w:rPr>
        <w:t>מרכיב</w:t>
      </w:r>
      <w:r w:rsidRPr="00133651">
        <w:rPr>
          <w:rtl/>
        </w:rPr>
        <w:t xml:space="preserve"> </w:t>
      </w:r>
      <w:r w:rsidRPr="00133651">
        <w:rPr>
          <w:rFonts w:hint="eastAsia"/>
          <w:rtl/>
        </w:rPr>
        <w:t>התפעול</w:t>
      </w:r>
      <w:r w:rsidRPr="00133651">
        <w:rPr>
          <w:rFonts w:hint="cs"/>
          <w:rtl/>
        </w:rPr>
        <w:t xml:space="preserve">. </w:t>
      </w:r>
    </w:p>
    <w:p w14:paraId="32193490" w14:textId="77777777" w:rsidR="00823E3A" w:rsidRDefault="00823E3A" w:rsidP="00B656EA">
      <w:pPr>
        <w:pStyle w:val="af5"/>
        <w:rPr>
          <w:rtl/>
        </w:rPr>
      </w:pPr>
      <w:r w:rsidRPr="00133651">
        <w:rPr>
          <w:rFonts w:hint="cs"/>
          <w:rtl/>
        </w:rPr>
        <w:t>משרד מבקר המדינה רואה בחיוב את קידומו של הליך הטמעה מחייב להתאמת שיטת הביצוע עבור כל פרויקט תשתית חדש. הליך היוועצות סדור לביצוע בחינות התאמה עם גורם מקצועי הכרחי לצורך זיהוי שיטת הביצוע המיטבית, ובפרט להצדקת המתווה של שותפות ציבורית-פרטית הכוללת</w:t>
      </w:r>
      <w:r>
        <w:rPr>
          <w:rFonts w:hint="cs"/>
          <w:rtl/>
        </w:rPr>
        <w:t xml:space="preserve"> שיקולים רבים. לפיכך</w:t>
      </w:r>
      <w:r w:rsidRPr="00B34A71">
        <w:rPr>
          <w:rFonts w:hint="cs"/>
          <w:rtl/>
        </w:rPr>
        <w:t xml:space="preserve"> על צוות הליווי הבין-משרדי לקדם נוהל מחייב עבור </w:t>
      </w:r>
      <w:r>
        <w:rPr>
          <w:rFonts w:hint="cs"/>
          <w:rtl/>
        </w:rPr>
        <w:t xml:space="preserve">כל </w:t>
      </w:r>
      <w:r w:rsidRPr="00B34A71">
        <w:rPr>
          <w:rFonts w:hint="cs"/>
          <w:rtl/>
        </w:rPr>
        <w:t>משרדי הממשלה ויחידות הסמך לבחינת התאמת</w:t>
      </w:r>
      <w:r>
        <w:rPr>
          <w:rFonts w:hint="cs"/>
          <w:rtl/>
        </w:rPr>
        <w:t>ו של</w:t>
      </w:r>
      <w:r w:rsidRPr="00B34A71">
        <w:rPr>
          <w:rFonts w:hint="cs"/>
          <w:rtl/>
        </w:rPr>
        <w:t xml:space="preserve"> יישום המודל</w:t>
      </w:r>
      <w:r>
        <w:rPr>
          <w:rFonts w:hint="cs"/>
          <w:rtl/>
        </w:rPr>
        <w:t xml:space="preserve"> נוסף על ה</w:t>
      </w:r>
      <w:r w:rsidRPr="002C7CF3">
        <w:rPr>
          <w:rFonts w:hint="cs"/>
          <w:rtl/>
        </w:rPr>
        <w:t>הוכח</w:t>
      </w:r>
      <w:r>
        <w:rPr>
          <w:rFonts w:hint="cs"/>
          <w:rtl/>
        </w:rPr>
        <w:t>ה שהוא</w:t>
      </w:r>
      <w:r w:rsidRPr="002C7CF3">
        <w:rPr>
          <w:rFonts w:hint="cs"/>
          <w:rtl/>
        </w:rPr>
        <w:t xml:space="preserve"> </w:t>
      </w:r>
      <w:r>
        <w:rPr>
          <w:rFonts w:hint="cs"/>
          <w:rtl/>
        </w:rPr>
        <w:t xml:space="preserve">כדאי מבחינה </w:t>
      </w:r>
      <w:r w:rsidRPr="002C7CF3">
        <w:rPr>
          <w:rFonts w:hint="cs"/>
          <w:rtl/>
        </w:rPr>
        <w:t>כלכלי</w:t>
      </w:r>
      <w:r>
        <w:rPr>
          <w:rFonts w:hint="cs"/>
          <w:rtl/>
        </w:rPr>
        <w:t>ת</w:t>
      </w:r>
      <w:r w:rsidRPr="002C7CF3">
        <w:rPr>
          <w:rFonts w:hint="cs"/>
          <w:rtl/>
        </w:rPr>
        <w:t xml:space="preserve">. בד </w:t>
      </w:r>
      <w:r w:rsidRPr="00CF4A1A">
        <w:rPr>
          <w:rFonts w:hint="cs"/>
          <w:rtl/>
        </w:rPr>
        <w:t>בבד</w:t>
      </w:r>
      <w:r w:rsidRPr="003D4CDD">
        <w:rPr>
          <w:rtl/>
        </w:rPr>
        <w:t xml:space="preserve"> ראוי </w:t>
      </w:r>
      <w:r>
        <w:rPr>
          <w:rFonts w:hint="cs"/>
          <w:rtl/>
        </w:rPr>
        <w:t>להכשיר, במידת הצורך, את הצוותים המקצועיים במשרדי הממשלה ו</w:t>
      </w:r>
      <w:r w:rsidRPr="003D4CDD">
        <w:rPr>
          <w:rtl/>
        </w:rPr>
        <w:t>לעדכן את המודל</w:t>
      </w:r>
      <w:r>
        <w:rPr>
          <w:rFonts w:hint="cs"/>
          <w:rtl/>
        </w:rPr>
        <w:t xml:space="preserve"> הקיים</w:t>
      </w:r>
      <w:r w:rsidRPr="003D4CDD">
        <w:rPr>
          <w:rtl/>
        </w:rPr>
        <w:t xml:space="preserve"> כך </w:t>
      </w:r>
      <w:r w:rsidRPr="003D4CDD">
        <w:rPr>
          <w:rFonts w:hint="eastAsia"/>
          <w:rtl/>
        </w:rPr>
        <w:t>שיקיף</w:t>
      </w:r>
      <w:r w:rsidRPr="003D4CDD">
        <w:rPr>
          <w:rtl/>
        </w:rPr>
        <w:t xml:space="preserve"> </w:t>
      </w:r>
      <w:r>
        <w:rPr>
          <w:rFonts w:hint="cs"/>
          <w:rtl/>
        </w:rPr>
        <w:t xml:space="preserve">היבטים </w:t>
      </w:r>
      <w:r w:rsidRPr="0037705F">
        <w:rPr>
          <w:rFonts w:hint="cs"/>
          <w:rtl/>
        </w:rPr>
        <w:t xml:space="preserve">נוספים פרט להשקעה ההונית ולמידת התפעול הנדרשת, </w:t>
      </w:r>
      <w:r w:rsidRPr="0037705F">
        <w:rPr>
          <w:rFonts w:hint="eastAsia"/>
          <w:rtl/>
        </w:rPr>
        <w:t>כך</w:t>
      </w:r>
      <w:r w:rsidRPr="0037705F">
        <w:rPr>
          <w:rtl/>
        </w:rPr>
        <w:t xml:space="preserve"> </w:t>
      </w:r>
      <w:r w:rsidRPr="0037705F">
        <w:rPr>
          <w:rFonts w:hint="cs"/>
          <w:rtl/>
        </w:rPr>
        <w:t>יובטח כי</w:t>
      </w:r>
      <w:r w:rsidRPr="0037705F">
        <w:rPr>
          <w:rtl/>
        </w:rPr>
        <w:t xml:space="preserve"> </w:t>
      </w:r>
      <w:r w:rsidRPr="0037705F">
        <w:rPr>
          <w:rFonts w:hint="eastAsia"/>
          <w:rtl/>
        </w:rPr>
        <w:t>פרויקטים</w:t>
      </w:r>
      <w:r w:rsidRPr="0037705F">
        <w:rPr>
          <w:rtl/>
        </w:rPr>
        <w:t xml:space="preserve"> </w:t>
      </w:r>
      <w:r w:rsidRPr="0037705F">
        <w:rPr>
          <w:rFonts w:hint="cs"/>
          <w:rtl/>
        </w:rPr>
        <w:t xml:space="preserve">המתאימים להקמה במתווה של </w:t>
      </w:r>
      <w:r w:rsidRPr="0037705F">
        <w:rPr>
          <w:rFonts w:hint="cs"/>
        </w:rPr>
        <w:t>PPP</w:t>
      </w:r>
      <w:r w:rsidRPr="0037705F">
        <w:rPr>
          <w:rtl/>
        </w:rPr>
        <w:t xml:space="preserve"> ייבחנו </w:t>
      </w:r>
      <w:r w:rsidRPr="0037705F">
        <w:rPr>
          <w:rFonts w:hint="eastAsia"/>
          <w:rtl/>
        </w:rPr>
        <w:t>בדרך</w:t>
      </w:r>
      <w:r w:rsidRPr="0037705F">
        <w:rPr>
          <w:rtl/>
        </w:rPr>
        <w:t xml:space="preserve"> </w:t>
      </w:r>
      <w:r w:rsidRPr="0037705F">
        <w:rPr>
          <w:rFonts w:hint="eastAsia"/>
          <w:rtl/>
        </w:rPr>
        <w:t>מיטבית</w:t>
      </w:r>
      <w:r w:rsidRPr="0037705F">
        <w:rPr>
          <w:rFonts w:hint="cs"/>
          <w:rtl/>
        </w:rPr>
        <w:t xml:space="preserve"> ב</w:t>
      </w:r>
      <w:r w:rsidRPr="0037705F">
        <w:rPr>
          <w:rtl/>
        </w:rPr>
        <w:t xml:space="preserve">ידי </w:t>
      </w:r>
      <w:r w:rsidRPr="0037705F">
        <w:rPr>
          <w:rFonts w:hint="eastAsia"/>
          <w:rtl/>
        </w:rPr>
        <w:t>הגורם</w:t>
      </w:r>
      <w:r w:rsidRPr="0037705F">
        <w:rPr>
          <w:rtl/>
        </w:rPr>
        <w:t xml:space="preserve"> המקצועי.</w:t>
      </w:r>
    </w:p>
    <w:p w14:paraId="2DE005E3" w14:textId="1729E118" w:rsidR="00823E3A" w:rsidRPr="00721A7C" w:rsidRDefault="00823E3A" w:rsidP="00B656EA">
      <w:pPr>
        <w:pStyle w:val="100"/>
        <w:rPr>
          <w:rtl/>
        </w:rPr>
      </w:pPr>
      <w:r>
        <w:rPr>
          <w:rFonts w:hint="cs"/>
          <w:rtl/>
        </w:rPr>
        <w:t>בתשובתו של משרד ראש הממשלה צוין כי במהלך שנת 2020 יקדם נוהל סדור מחייב עבור כל משרדי הממשלה ויחידות הסמך לבחינת ההתאמה של מתווה ה-</w:t>
      </w:r>
      <w:r>
        <w:rPr>
          <w:rFonts w:hint="cs"/>
        </w:rPr>
        <w:t>PPP</w:t>
      </w:r>
      <w:r>
        <w:rPr>
          <w:rFonts w:hint="cs"/>
          <w:rtl/>
        </w:rPr>
        <w:t>.</w:t>
      </w:r>
    </w:p>
    <w:p w14:paraId="0D318C40" w14:textId="77777777" w:rsidR="00B574CD" w:rsidRDefault="00B574CD">
      <w:pPr>
        <w:bidi w:val="0"/>
        <w:spacing w:after="200" w:line="276" w:lineRule="auto"/>
        <w:rPr>
          <w:rFonts w:ascii="Tahoma" w:hAnsi="Tahoma" w:cs="Tahoma"/>
          <w:color w:val="387026"/>
          <w:sz w:val="21"/>
          <w:szCs w:val="21"/>
          <w:rtl/>
        </w:rPr>
      </w:pPr>
      <w:r>
        <w:rPr>
          <w:rtl/>
        </w:rPr>
        <w:br w:type="page"/>
      </w:r>
    </w:p>
    <w:p w14:paraId="102CFD1A" w14:textId="3F5DD141" w:rsidR="00823E3A" w:rsidRPr="00387FAF" w:rsidRDefault="00823E3A" w:rsidP="00B656EA">
      <w:pPr>
        <w:pStyle w:val="6105"/>
        <w:rPr>
          <w:rtl/>
        </w:rPr>
      </w:pPr>
      <w:r>
        <w:rPr>
          <w:rFonts w:hint="cs"/>
          <w:rtl/>
        </w:rPr>
        <w:lastRenderedPageBreak/>
        <w:t>הנחיות לבדיקת התאמה פרטנית</w:t>
      </w:r>
      <w:r w:rsidRPr="00DC204D">
        <w:rPr>
          <w:rFonts w:hint="cs"/>
          <w:rtl/>
        </w:rPr>
        <w:t xml:space="preserve"> </w:t>
      </w:r>
      <w:r>
        <w:rPr>
          <w:rFonts w:hint="cs"/>
          <w:rtl/>
        </w:rPr>
        <w:t>ל</w:t>
      </w:r>
      <w:r w:rsidRPr="00DC204D">
        <w:rPr>
          <w:rFonts w:hint="cs"/>
          <w:rtl/>
        </w:rPr>
        <w:t xml:space="preserve">פרויקטים </w:t>
      </w:r>
      <w:r>
        <w:rPr>
          <w:rFonts w:hint="cs"/>
          <w:rtl/>
        </w:rPr>
        <w:t>במתווה</w:t>
      </w:r>
      <w:r w:rsidRPr="00DC204D">
        <w:rPr>
          <w:rFonts w:hint="cs"/>
          <w:rtl/>
        </w:rPr>
        <w:t xml:space="preserve"> ה-</w:t>
      </w:r>
      <w:r w:rsidRPr="00DC204D">
        <w:rPr>
          <w:rFonts w:hint="cs"/>
        </w:rPr>
        <w:t>PPP</w:t>
      </w:r>
      <w:r w:rsidRPr="00DC204D">
        <w:rPr>
          <w:rFonts w:hint="cs"/>
          <w:rtl/>
        </w:rPr>
        <w:t xml:space="preserve"> </w:t>
      </w:r>
      <w:r>
        <w:rPr>
          <w:rFonts w:hint="cs"/>
          <w:rtl/>
        </w:rPr>
        <w:t>בחטיבת תשתיות ופרויקטים</w:t>
      </w:r>
    </w:p>
    <w:p w14:paraId="158C7945" w14:textId="332679A7" w:rsidR="00823E3A" w:rsidRDefault="00823E3A" w:rsidP="00B656EA">
      <w:pPr>
        <w:pStyle w:val="100"/>
        <w:rPr>
          <w:rtl/>
        </w:rPr>
      </w:pPr>
      <w:r>
        <w:rPr>
          <w:rFonts w:hint="cs"/>
          <w:rtl/>
        </w:rPr>
        <w:t>חטיבת תשתיות ופרויקטים אמונה זה כשני עשורים על ביצוע בדיקות ההתאמה עבור פרויקטי תשתית בעלי פוטנציאל לביצוע בשיתוף המגזר הפרטי</w:t>
      </w:r>
      <w:r>
        <w:rPr>
          <w:rStyle w:val="FootnoteReference"/>
          <w:rtl/>
        </w:rPr>
        <w:footnoteReference w:id="88"/>
      </w:r>
      <w:r>
        <w:rPr>
          <w:rFonts w:hint="cs"/>
          <w:rtl/>
        </w:rPr>
        <w:t xml:space="preserve">. עד למועד סיום הביקורת הושלמה ההקמה של </w:t>
      </w:r>
      <w:r w:rsidRPr="00E6280D">
        <w:rPr>
          <w:rFonts w:hint="cs"/>
          <w:rtl/>
        </w:rPr>
        <w:t>16</w:t>
      </w:r>
      <w:r>
        <w:rPr>
          <w:rFonts w:hint="cs"/>
          <w:color w:val="FF0000"/>
          <w:rtl/>
        </w:rPr>
        <w:t xml:space="preserve"> </w:t>
      </w:r>
      <w:r>
        <w:rPr>
          <w:rFonts w:hint="cs"/>
          <w:rtl/>
        </w:rPr>
        <w:t>פרויקטים מסוגים שונים בהובלת החטיבה ו-12 פרויקטים נוספים היו נתונים בשלבי עבודה שונים.</w:t>
      </w:r>
    </w:p>
    <w:p w14:paraId="46208338" w14:textId="3CC8BEF0" w:rsidR="00823E3A" w:rsidRPr="00D4592E" w:rsidRDefault="00823E3A" w:rsidP="00B656EA">
      <w:pPr>
        <w:pStyle w:val="100"/>
        <w:rPr>
          <w:rtl/>
        </w:rPr>
      </w:pPr>
      <w:r>
        <w:rPr>
          <w:rFonts w:hint="cs"/>
          <w:rtl/>
        </w:rPr>
        <w:t xml:space="preserve">נמצא כי אף </w:t>
      </w:r>
      <w:r w:rsidRPr="0030641E">
        <w:rPr>
          <w:rFonts w:hint="cs"/>
          <w:rtl/>
        </w:rPr>
        <w:t xml:space="preserve">שחטיבת תשתיות ופרויקטים </w:t>
      </w:r>
      <w:r>
        <w:rPr>
          <w:rFonts w:hint="cs"/>
          <w:rtl/>
        </w:rPr>
        <w:t xml:space="preserve">הייתה אמונה על ביצוע </w:t>
      </w:r>
      <w:r w:rsidRPr="0030641E">
        <w:rPr>
          <w:rFonts w:hint="cs"/>
          <w:rtl/>
        </w:rPr>
        <w:t xml:space="preserve">בדיקות </w:t>
      </w:r>
      <w:r>
        <w:rPr>
          <w:rFonts w:hint="cs"/>
          <w:rtl/>
        </w:rPr>
        <w:t>ה</w:t>
      </w:r>
      <w:r w:rsidRPr="0030641E">
        <w:rPr>
          <w:rFonts w:hint="cs"/>
          <w:rtl/>
        </w:rPr>
        <w:t>התאמה</w:t>
      </w:r>
      <w:r>
        <w:rPr>
          <w:rFonts w:hint="cs"/>
          <w:rtl/>
        </w:rPr>
        <w:t xml:space="preserve"> ליישום מתווה של </w:t>
      </w:r>
      <w:r>
        <w:rPr>
          <w:rFonts w:hint="cs"/>
        </w:rPr>
        <w:t>PPP</w:t>
      </w:r>
      <w:r>
        <w:rPr>
          <w:rFonts w:hint="cs"/>
          <w:rtl/>
        </w:rPr>
        <w:t xml:space="preserve">, </w:t>
      </w:r>
      <w:r w:rsidRPr="0030641E">
        <w:rPr>
          <w:rFonts w:hint="cs"/>
          <w:rtl/>
        </w:rPr>
        <w:t xml:space="preserve">רק בשנת 2015 </w:t>
      </w:r>
      <w:r>
        <w:rPr>
          <w:rFonts w:hint="cs"/>
          <w:rtl/>
        </w:rPr>
        <w:t>פרסמה חברת ענבל,</w:t>
      </w:r>
      <w:r w:rsidRPr="00DF0037">
        <w:rPr>
          <w:rFonts w:hint="cs"/>
          <w:rtl/>
        </w:rPr>
        <w:t xml:space="preserve"> </w:t>
      </w:r>
      <w:r>
        <w:rPr>
          <w:rFonts w:hint="cs"/>
          <w:rtl/>
        </w:rPr>
        <w:t xml:space="preserve">שהיא זרוע ביצוע עבור החטיבה, הנחיות </w:t>
      </w:r>
      <w:r w:rsidRPr="0030641E">
        <w:rPr>
          <w:rFonts w:hint="cs"/>
          <w:rtl/>
        </w:rPr>
        <w:t xml:space="preserve">לבחינת התועלת הכלכלית </w:t>
      </w:r>
      <w:r>
        <w:rPr>
          <w:rFonts w:hint="cs"/>
          <w:rtl/>
        </w:rPr>
        <w:t>של המתווה ביחס לחלופה התקציבית (להלן - נוהל חטיבת תשתיות ופרויקטים)</w:t>
      </w:r>
      <w:r>
        <w:rPr>
          <w:rStyle w:val="FootnoteReference"/>
          <w:rtl/>
        </w:rPr>
        <w:footnoteReference w:id="89"/>
      </w:r>
      <w:r>
        <w:rPr>
          <w:rFonts w:hint="cs"/>
          <w:rtl/>
        </w:rPr>
        <w:t>.</w:t>
      </w:r>
      <w:r w:rsidRPr="0030641E">
        <w:rPr>
          <w:rFonts w:hint="cs"/>
          <w:rtl/>
        </w:rPr>
        <w:t xml:space="preserve"> </w:t>
      </w:r>
      <w:r>
        <w:rPr>
          <w:rFonts w:hint="cs"/>
          <w:rtl/>
        </w:rPr>
        <w:t xml:space="preserve">הנחיות אלה נועדו לנסח מסמך מדיניות אחיד לבחינת התועלת הכלכלית בביצוע פרויקט במתווה של </w:t>
      </w:r>
      <w:r>
        <w:rPr>
          <w:rFonts w:hint="cs"/>
        </w:rPr>
        <w:t>PPP</w:t>
      </w:r>
      <w:r>
        <w:rPr>
          <w:rFonts w:hint="cs"/>
          <w:rtl/>
        </w:rPr>
        <w:t xml:space="preserve"> ביחס לשיטה התקציבית. הבחינה עוסקת בפרויקטים שהגורם היוזם מצא שהם כלכליים ולאחר שהוחלט על ביצועם; ככלל היא נועדה לפרויקטי תשתית שהיקף ההשקעה בהם עולה על חצי מיליארד שקלים ונדרשים בהם יכולת הנדסית גבוהה ומרכיב תפעול גדול.</w:t>
      </w:r>
    </w:p>
    <w:p w14:paraId="6856D6FB" w14:textId="77777777" w:rsidR="00823E3A" w:rsidRDefault="00823E3A" w:rsidP="00B656EA">
      <w:pPr>
        <w:pStyle w:val="6105"/>
        <w:rPr>
          <w:rtl/>
        </w:rPr>
      </w:pPr>
      <w:r>
        <w:rPr>
          <w:rFonts w:hint="cs"/>
          <w:rtl/>
        </w:rPr>
        <w:t>הנחיות לבדיקת התאמה פרטנית ל</w:t>
      </w:r>
      <w:r w:rsidRPr="00DC204D">
        <w:rPr>
          <w:rFonts w:hint="cs"/>
          <w:rtl/>
        </w:rPr>
        <w:t xml:space="preserve">פרויקטים </w:t>
      </w:r>
      <w:r>
        <w:rPr>
          <w:rFonts w:hint="cs"/>
          <w:rtl/>
        </w:rPr>
        <w:t>במתווה</w:t>
      </w:r>
      <w:r w:rsidRPr="00DC204D">
        <w:rPr>
          <w:rFonts w:hint="cs"/>
          <w:rtl/>
        </w:rPr>
        <w:t xml:space="preserve"> ה-</w:t>
      </w:r>
      <w:r w:rsidRPr="00DC204D">
        <w:rPr>
          <w:rFonts w:hint="cs"/>
        </w:rPr>
        <w:t>PPP</w:t>
      </w:r>
      <w:r w:rsidRPr="00DC204D">
        <w:rPr>
          <w:rFonts w:hint="cs"/>
          <w:rtl/>
        </w:rPr>
        <w:t xml:space="preserve"> במנהלת הבינוי </w:t>
      </w:r>
    </w:p>
    <w:p w14:paraId="6F50A262" w14:textId="69B044DA" w:rsidR="00823E3A" w:rsidRDefault="00823E3A" w:rsidP="00B656EA">
      <w:pPr>
        <w:pStyle w:val="100"/>
        <w:rPr>
          <w:rtl/>
        </w:rPr>
      </w:pPr>
      <w:r w:rsidRPr="000352A1">
        <w:rPr>
          <w:rFonts w:hint="cs"/>
          <w:rtl/>
        </w:rPr>
        <w:t xml:space="preserve">מנהלת הבינוי </w:t>
      </w:r>
      <w:r>
        <w:rPr>
          <w:rFonts w:hint="cs"/>
          <w:rtl/>
        </w:rPr>
        <w:t>מנהלת שותפויות ציבוריות-פרטיות בתחום הבינוי והיא יחידת מטה לייזום ולביצוע של מבנים חדשים והסמכות המקצועית בנושא</w:t>
      </w:r>
      <w:r>
        <w:rPr>
          <w:rStyle w:val="FootnoteReference"/>
          <w:rtl/>
        </w:rPr>
        <w:footnoteReference w:id="90"/>
      </w:r>
      <w:r>
        <w:rPr>
          <w:rFonts w:hint="cs"/>
          <w:rtl/>
        </w:rPr>
        <w:t xml:space="preserve">. במסגרת פעילותה הובילה המנהלת הקמה של </w:t>
      </w:r>
      <w:r w:rsidRPr="0008549D">
        <w:rPr>
          <w:rFonts w:hint="cs"/>
          <w:rtl/>
        </w:rPr>
        <w:t>מגוון פרויקטי בינוי ברחבי הארץ, בעיקרם משרדי ממשל</w:t>
      </w:r>
      <w:r>
        <w:rPr>
          <w:rFonts w:hint="cs"/>
          <w:rtl/>
        </w:rPr>
        <w:t>ה</w:t>
      </w:r>
      <w:r w:rsidRPr="0008549D">
        <w:rPr>
          <w:rFonts w:hint="cs"/>
          <w:rtl/>
        </w:rPr>
        <w:t xml:space="preserve"> ובתי משפט. </w:t>
      </w:r>
    </w:p>
    <w:p w14:paraId="58D61B58" w14:textId="19B4B47E" w:rsidR="00823E3A" w:rsidRDefault="00823E3A" w:rsidP="00B656EA">
      <w:pPr>
        <w:pStyle w:val="100"/>
        <w:rPr>
          <w:rtl/>
        </w:rPr>
      </w:pPr>
      <w:r w:rsidRPr="005573BF">
        <w:rPr>
          <w:rFonts w:hint="cs"/>
          <w:rtl/>
        </w:rPr>
        <w:t xml:space="preserve">נמצא </w:t>
      </w:r>
      <w:r>
        <w:rPr>
          <w:rFonts w:hint="cs"/>
          <w:rtl/>
        </w:rPr>
        <w:t>ש</w:t>
      </w:r>
      <w:r w:rsidRPr="005573BF">
        <w:rPr>
          <w:rtl/>
        </w:rPr>
        <w:t xml:space="preserve">אין במנהלת נוהל סדור כתוב לבחינת </w:t>
      </w:r>
      <w:r>
        <w:rPr>
          <w:rFonts w:hint="cs"/>
          <w:rtl/>
        </w:rPr>
        <w:t>ה</w:t>
      </w:r>
      <w:r w:rsidRPr="005573BF">
        <w:rPr>
          <w:rtl/>
        </w:rPr>
        <w:t>התאמ</w:t>
      </w:r>
      <w:r>
        <w:rPr>
          <w:rFonts w:hint="cs"/>
          <w:rtl/>
        </w:rPr>
        <w:t>ה של</w:t>
      </w:r>
      <w:r w:rsidRPr="005573BF">
        <w:rPr>
          <w:rtl/>
        </w:rPr>
        <w:t xml:space="preserve"> יישום מתווה של </w:t>
      </w:r>
      <w:r w:rsidRPr="005573BF">
        <w:t>PPP</w:t>
      </w:r>
      <w:r w:rsidRPr="005573BF">
        <w:rPr>
          <w:rtl/>
        </w:rPr>
        <w:t xml:space="preserve"> בטרם מתקבלת ההחלטה על כך</w:t>
      </w:r>
      <w:r>
        <w:rPr>
          <w:rFonts w:hint="cs"/>
          <w:rtl/>
        </w:rPr>
        <w:t>,</w:t>
      </w:r>
      <w:r w:rsidRPr="005573BF">
        <w:rPr>
          <w:rFonts w:hint="cs"/>
          <w:rtl/>
        </w:rPr>
        <w:t xml:space="preserve"> </w:t>
      </w:r>
      <w:r>
        <w:rPr>
          <w:rFonts w:hint="cs"/>
          <w:rtl/>
        </w:rPr>
        <w:t>ש</w:t>
      </w:r>
      <w:r w:rsidRPr="005573BF">
        <w:rPr>
          <w:rFonts w:hint="cs"/>
          <w:rtl/>
        </w:rPr>
        <w:t>בפועל לא נערכת בדיקה כאמור ו</w:t>
      </w:r>
      <w:r>
        <w:rPr>
          <w:rFonts w:hint="cs"/>
          <w:rtl/>
        </w:rPr>
        <w:t>ש</w:t>
      </w:r>
      <w:r w:rsidRPr="005573BF">
        <w:rPr>
          <w:rFonts w:hint="cs"/>
          <w:rtl/>
        </w:rPr>
        <w:t>ההחלטה על התאמת פרויקטים ל</w:t>
      </w:r>
      <w:r>
        <w:rPr>
          <w:rFonts w:hint="cs"/>
          <w:rtl/>
        </w:rPr>
        <w:t>יישום המתווה</w:t>
      </w:r>
      <w:r w:rsidRPr="005573BF">
        <w:rPr>
          <w:rFonts w:hint="cs"/>
          <w:rtl/>
        </w:rPr>
        <w:t xml:space="preserve"> שמקבלת </w:t>
      </w:r>
      <w:r>
        <w:rPr>
          <w:rFonts w:hint="cs"/>
          <w:rtl/>
        </w:rPr>
        <w:t>מנ</w:t>
      </w:r>
      <w:r w:rsidRPr="005573BF">
        <w:rPr>
          <w:rFonts w:hint="cs"/>
          <w:rtl/>
        </w:rPr>
        <w:t>הלת הבינוי נעשית בהתבסס על ניסיון העבר ו</w:t>
      </w:r>
      <w:r>
        <w:rPr>
          <w:rFonts w:hint="cs"/>
          <w:rtl/>
        </w:rPr>
        <w:t xml:space="preserve">בלא לבחון את </w:t>
      </w:r>
      <w:r w:rsidRPr="005573BF">
        <w:rPr>
          <w:rFonts w:hint="cs"/>
          <w:rtl/>
        </w:rPr>
        <w:t>החלופות השונות</w:t>
      </w:r>
      <w:r>
        <w:rPr>
          <w:rFonts w:hint="cs"/>
          <w:rtl/>
        </w:rPr>
        <w:t xml:space="preserve"> לעומקן</w:t>
      </w:r>
      <w:r w:rsidRPr="005573BF">
        <w:rPr>
          <w:rFonts w:hint="cs"/>
          <w:rtl/>
        </w:rPr>
        <w:t>. תחת זאת עורכת מ</w:t>
      </w:r>
      <w:r>
        <w:rPr>
          <w:rFonts w:hint="cs"/>
          <w:rtl/>
        </w:rPr>
        <w:t>נ</w:t>
      </w:r>
      <w:r w:rsidRPr="005573BF">
        <w:rPr>
          <w:rFonts w:hint="cs"/>
          <w:rtl/>
        </w:rPr>
        <w:t>הלת הבינוי בדיקה מצומצמת הכוללת נתונים בסיסיים בלבד על הפרויקט</w:t>
      </w:r>
      <w:r>
        <w:rPr>
          <w:rStyle w:val="FootnoteReference"/>
          <w:rtl/>
        </w:rPr>
        <w:footnoteReference w:id="91"/>
      </w:r>
      <w:r w:rsidRPr="005573BF">
        <w:rPr>
          <w:rFonts w:hint="cs"/>
          <w:rtl/>
        </w:rPr>
        <w:t>.</w:t>
      </w:r>
    </w:p>
    <w:p w14:paraId="28E3ED6A" w14:textId="77777777" w:rsidR="00823E3A" w:rsidRPr="00DE0126" w:rsidRDefault="00823E3A" w:rsidP="00B656EA">
      <w:pPr>
        <w:pStyle w:val="100"/>
        <w:rPr>
          <w:rtl/>
        </w:rPr>
      </w:pPr>
      <w:r>
        <w:rPr>
          <w:rFonts w:hint="cs"/>
          <w:rtl/>
        </w:rPr>
        <w:t xml:space="preserve">בתשובתה של מנהלת הבינוי הממשלתי מדצמבר 2019 (להלן - תשובת מנהלת הבינוי) נמסר כי השיטה והמרכיבים של פרויקטים בתחום הבינוי אחידים, והם אינם תלויים בגודל הפרויקט ובמיקומו. לכן אין צורך לבצע בדיקת התאמה פרטנית. </w:t>
      </w:r>
    </w:p>
    <w:p w14:paraId="15995768" w14:textId="447CF534" w:rsidR="00823E3A" w:rsidRPr="00B656EA" w:rsidRDefault="00823E3A" w:rsidP="00B656EA">
      <w:pPr>
        <w:pStyle w:val="af5"/>
        <w:rPr>
          <w:rtl/>
        </w:rPr>
      </w:pPr>
      <w:r>
        <w:rPr>
          <w:rFonts w:hint="cs"/>
          <w:rtl/>
        </w:rPr>
        <w:t>לדעתו של משרד מבקר המדינה, המשמעויות הכלכליות של יישום המתווה יכולות לחייב ביצוע בחינה מעמיקה במקרים פרטניים מסוימים. לפיכך מוצע כי מנהלת הבינוי תבחן במסגרת קידום הנוהל הסדור לבדיקת התאמה, התייחסות למקרים בהם ההחלטה על יישומו תיעשה באופן פרטני, ולאחר ביצוע השוואה לחלופות ביצוע מקובלות.</w:t>
      </w:r>
    </w:p>
    <w:p w14:paraId="36BAF33E" w14:textId="77777777" w:rsidR="00823E3A" w:rsidRDefault="00823E3A" w:rsidP="00B656EA">
      <w:pPr>
        <w:pStyle w:val="414"/>
        <w:rPr>
          <w:rtl/>
        </w:rPr>
      </w:pPr>
      <w:r>
        <w:rPr>
          <w:rFonts w:hint="cs"/>
          <w:rtl/>
        </w:rPr>
        <w:lastRenderedPageBreak/>
        <w:t xml:space="preserve">אי-ביצוע בדיקת התאמה למתווה של </w:t>
      </w:r>
      <w:r w:rsidRPr="00B10E6B">
        <w:rPr>
          <w:rFonts w:hint="cs"/>
          <w:b w:val="0"/>
          <w:bCs/>
        </w:rPr>
        <w:t>PPP</w:t>
      </w:r>
      <w:r>
        <w:rPr>
          <w:rFonts w:hint="cs"/>
          <w:rtl/>
        </w:rPr>
        <w:t xml:space="preserve"> בפרויקטים שונים</w:t>
      </w:r>
    </w:p>
    <w:p w14:paraId="075738D5" w14:textId="77777777" w:rsidR="00823E3A" w:rsidRDefault="00823E3A" w:rsidP="00B656EA">
      <w:pPr>
        <w:pStyle w:val="100"/>
        <w:rPr>
          <w:rtl/>
        </w:rPr>
      </w:pPr>
      <w:r>
        <w:rPr>
          <w:rFonts w:hint="cs"/>
          <w:rtl/>
        </w:rPr>
        <w:t>החלטה על הקמת פרויקט בשיתוף המגזר הפרטי נעשית בידי גורם ציבורי האמון על ביצוע בדיקות ההתאמה ועל ניהול ההתקשרות או בהחלטת ממשלה. פרויקטים העשויים להתאים למתווה ה-</w:t>
      </w:r>
      <w:r>
        <w:rPr>
          <w:rFonts w:hint="cs"/>
        </w:rPr>
        <w:t>PPP</w:t>
      </w:r>
      <w:r>
        <w:rPr>
          <w:rFonts w:hint="cs"/>
          <w:rtl/>
        </w:rPr>
        <w:t xml:space="preserve"> כוללים בדרך כלל מפרט מוגדר שאינו מועד לשינויים תכופים ולדרישות שירות משתנות מצד הממשלה. כמו כן הם כוללים חלוקת סיכונים מתאימה בין הממשלה ליזם. למרות חשיבותו של ביצוע בדיקות ההתאמה,</w:t>
      </w:r>
      <w:r w:rsidRPr="00062CA9">
        <w:rPr>
          <w:rFonts w:hint="cs"/>
          <w:rtl/>
        </w:rPr>
        <w:t xml:space="preserve"> </w:t>
      </w:r>
      <w:r w:rsidRPr="00062CA9">
        <w:rPr>
          <w:rFonts w:hint="eastAsia"/>
          <w:rtl/>
        </w:rPr>
        <w:t>להלן</w:t>
      </w:r>
      <w:r w:rsidRPr="00062CA9">
        <w:rPr>
          <w:rtl/>
        </w:rPr>
        <w:t xml:space="preserve"> </w:t>
      </w:r>
      <w:r w:rsidRPr="00062CA9">
        <w:rPr>
          <w:rFonts w:hint="cs"/>
          <w:rtl/>
        </w:rPr>
        <w:t>דוגמאות ל</w:t>
      </w:r>
      <w:r w:rsidRPr="00062CA9">
        <w:rPr>
          <w:rFonts w:hint="eastAsia"/>
          <w:rtl/>
        </w:rPr>
        <w:t>מקרים</w:t>
      </w:r>
      <w:r w:rsidRPr="00062CA9">
        <w:rPr>
          <w:rtl/>
        </w:rPr>
        <w:t xml:space="preserve"> </w:t>
      </w:r>
      <w:r>
        <w:rPr>
          <w:rFonts w:hint="cs"/>
          <w:rtl/>
        </w:rPr>
        <w:t>ש</w:t>
      </w:r>
      <w:r w:rsidRPr="00062CA9">
        <w:rPr>
          <w:rFonts w:hint="eastAsia"/>
          <w:rtl/>
        </w:rPr>
        <w:t>בהם</w:t>
      </w:r>
      <w:r w:rsidRPr="00062CA9">
        <w:rPr>
          <w:rtl/>
        </w:rPr>
        <w:t xml:space="preserve"> </w:t>
      </w:r>
      <w:r w:rsidRPr="00062CA9">
        <w:rPr>
          <w:rFonts w:hint="eastAsia"/>
          <w:rtl/>
        </w:rPr>
        <w:t>התקבלה</w:t>
      </w:r>
      <w:r w:rsidRPr="00062CA9">
        <w:rPr>
          <w:rtl/>
        </w:rPr>
        <w:t xml:space="preserve"> </w:t>
      </w:r>
      <w:r w:rsidRPr="00062CA9">
        <w:rPr>
          <w:rFonts w:hint="eastAsia"/>
          <w:rtl/>
        </w:rPr>
        <w:t>החלטה</w:t>
      </w:r>
      <w:r w:rsidRPr="00062CA9">
        <w:rPr>
          <w:rtl/>
        </w:rPr>
        <w:t xml:space="preserve"> </w:t>
      </w:r>
      <w:r w:rsidRPr="00062CA9">
        <w:rPr>
          <w:rFonts w:hint="eastAsia"/>
          <w:rtl/>
        </w:rPr>
        <w:t>על</w:t>
      </w:r>
      <w:r w:rsidRPr="00062CA9">
        <w:rPr>
          <w:rtl/>
        </w:rPr>
        <w:t xml:space="preserve"> ביצוע פרויקטים </w:t>
      </w:r>
      <w:r>
        <w:rPr>
          <w:rFonts w:hint="cs"/>
          <w:rtl/>
        </w:rPr>
        <w:t xml:space="preserve">במתווה של </w:t>
      </w:r>
      <w:r>
        <w:rPr>
          <w:rFonts w:hint="cs"/>
        </w:rPr>
        <w:t>PPP</w:t>
      </w:r>
      <w:r w:rsidRPr="00062CA9">
        <w:rPr>
          <w:rtl/>
        </w:rPr>
        <w:t xml:space="preserve"> </w:t>
      </w:r>
      <w:r w:rsidRPr="00062CA9">
        <w:rPr>
          <w:rFonts w:hint="eastAsia"/>
          <w:rtl/>
        </w:rPr>
        <w:t>ללא</w:t>
      </w:r>
      <w:r w:rsidRPr="00062CA9">
        <w:rPr>
          <w:rtl/>
        </w:rPr>
        <w:t xml:space="preserve"> </w:t>
      </w:r>
      <w:r w:rsidRPr="00062CA9">
        <w:rPr>
          <w:rFonts w:hint="eastAsia"/>
          <w:rtl/>
        </w:rPr>
        <w:t>בדיקת</w:t>
      </w:r>
      <w:r w:rsidRPr="00062CA9">
        <w:rPr>
          <w:rtl/>
        </w:rPr>
        <w:t xml:space="preserve"> </w:t>
      </w:r>
      <w:r>
        <w:rPr>
          <w:rFonts w:hint="eastAsia"/>
          <w:rtl/>
        </w:rPr>
        <w:t>ה</w:t>
      </w:r>
      <w:r>
        <w:rPr>
          <w:rFonts w:hint="cs"/>
          <w:rtl/>
        </w:rPr>
        <w:t>תאמה</w:t>
      </w:r>
      <w:r w:rsidRPr="00062CA9">
        <w:rPr>
          <w:rtl/>
        </w:rPr>
        <w:t>:</w:t>
      </w:r>
    </w:p>
    <w:p w14:paraId="07A77862" w14:textId="77777777" w:rsidR="00823E3A" w:rsidRDefault="00823E3A" w:rsidP="00CE7F3A">
      <w:pPr>
        <w:pStyle w:val="a1"/>
        <w:rPr>
          <w:rtl/>
        </w:rPr>
      </w:pPr>
      <w:r>
        <w:rPr>
          <w:rFonts w:hint="cs"/>
          <w:rtl/>
        </w:rPr>
        <w:t>בהחלטת ממשלה משנת 2007</w:t>
      </w:r>
      <w:r>
        <w:rPr>
          <w:rStyle w:val="FootnoteReference"/>
          <w:rtl/>
        </w:rPr>
        <w:footnoteReference w:id="92"/>
      </w:r>
      <w:r>
        <w:rPr>
          <w:rFonts w:hint="cs"/>
          <w:rtl/>
        </w:rPr>
        <w:t xml:space="preserve"> שקידמו משרד האנרגיה ומשרד האוצר, הטילה </w:t>
      </w:r>
      <w:r w:rsidRPr="000B05F4">
        <w:rPr>
          <w:rFonts w:hint="cs"/>
          <w:rtl/>
        </w:rPr>
        <w:t>הממשלה</w:t>
      </w:r>
      <w:r>
        <w:rPr>
          <w:rFonts w:hint="cs"/>
          <w:rtl/>
        </w:rPr>
        <w:t xml:space="preserve"> </w:t>
      </w:r>
      <w:r w:rsidRPr="000B05F4">
        <w:rPr>
          <w:rFonts w:hint="cs"/>
          <w:rtl/>
        </w:rPr>
        <w:t>על החשב הכללי במשרד האוצר למנות ועדת מכרזים בין-משרדית ל</w:t>
      </w:r>
      <w:r>
        <w:rPr>
          <w:rFonts w:hint="cs"/>
          <w:rtl/>
        </w:rPr>
        <w:t>שם</w:t>
      </w:r>
      <w:r w:rsidRPr="000B05F4">
        <w:rPr>
          <w:rFonts w:hint="cs"/>
          <w:rtl/>
        </w:rPr>
        <w:t xml:space="preserve"> פרסום מכרז בין-לאומי במנגנון </w:t>
      </w:r>
      <w:r>
        <w:rPr>
          <w:rFonts w:hint="cs"/>
          <w:rtl/>
        </w:rPr>
        <w:t xml:space="preserve">של </w:t>
      </w:r>
      <w:r w:rsidRPr="000B05F4">
        <w:rPr>
          <w:rFonts w:hint="cs"/>
          <w:rtl/>
        </w:rPr>
        <w:t>שיתוף הסקטור הפרטי להקמת שתי תחנות כוח סולאריות במתחם אשלים</w:t>
      </w:r>
      <w:r>
        <w:rPr>
          <w:rFonts w:hint="cs"/>
          <w:rtl/>
        </w:rPr>
        <w:t xml:space="preserve"> (</w:t>
      </w:r>
      <w:r>
        <w:rPr>
          <w:rFonts w:hint="cs"/>
        </w:rPr>
        <w:t>P</w:t>
      </w:r>
      <w:r>
        <w:t>lot A</w:t>
      </w:r>
      <w:r>
        <w:rPr>
          <w:rFonts w:hint="cs"/>
          <w:rtl/>
        </w:rPr>
        <w:t xml:space="preserve"> ו-</w:t>
      </w:r>
      <w:r>
        <w:rPr>
          <w:rFonts w:hint="cs"/>
        </w:rPr>
        <w:t>P</w:t>
      </w:r>
      <w:r>
        <w:t>lot B</w:t>
      </w:r>
      <w:r>
        <w:rPr>
          <w:rFonts w:hint="cs"/>
          <w:rtl/>
        </w:rPr>
        <w:t>).</w:t>
      </w:r>
    </w:p>
    <w:p w14:paraId="34091195" w14:textId="77777777" w:rsidR="00823E3A" w:rsidRPr="00C54580" w:rsidRDefault="00823E3A" w:rsidP="009D4D73">
      <w:pPr>
        <w:pStyle w:val="ae"/>
        <w:rPr>
          <w:rtl/>
        </w:rPr>
      </w:pPr>
      <w:r w:rsidRPr="00205D45">
        <w:rPr>
          <w:rFonts w:hint="cs"/>
          <w:rtl/>
        </w:rPr>
        <w:t>בדיקת</w:t>
      </w:r>
      <w:r>
        <w:rPr>
          <w:rFonts w:hint="cs"/>
          <w:rtl/>
        </w:rPr>
        <w:t>ו של</w:t>
      </w:r>
      <w:r w:rsidRPr="00205D45">
        <w:rPr>
          <w:rFonts w:hint="cs"/>
          <w:rtl/>
        </w:rPr>
        <w:t xml:space="preserve"> משרד מבקר המדינה העלתה כי </w:t>
      </w:r>
      <w:r w:rsidRPr="003A29D5">
        <w:rPr>
          <w:rFonts w:hint="cs"/>
          <w:rtl/>
        </w:rPr>
        <w:t>משרד האנרגיה</w:t>
      </w:r>
      <w:r>
        <w:rPr>
          <w:rFonts w:hint="cs"/>
          <w:rtl/>
        </w:rPr>
        <w:t xml:space="preserve"> ומשרד האוצר</w:t>
      </w:r>
      <w:r w:rsidRPr="003A29D5">
        <w:rPr>
          <w:rFonts w:hint="cs"/>
          <w:rtl/>
        </w:rPr>
        <w:t>,</w:t>
      </w:r>
      <w:r>
        <w:rPr>
          <w:rFonts w:hint="cs"/>
          <w:rtl/>
        </w:rPr>
        <w:t xml:space="preserve"> שקידמו</w:t>
      </w:r>
      <w:r w:rsidRPr="003A29D5">
        <w:rPr>
          <w:rFonts w:hint="cs"/>
          <w:rtl/>
        </w:rPr>
        <w:t xml:space="preserve"> </w:t>
      </w:r>
      <w:r>
        <w:rPr>
          <w:rFonts w:hint="cs"/>
          <w:rtl/>
        </w:rPr>
        <w:t>החלטה</w:t>
      </w:r>
      <w:r w:rsidRPr="00205D45">
        <w:rPr>
          <w:rFonts w:hint="cs"/>
          <w:rtl/>
        </w:rPr>
        <w:t xml:space="preserve"> </w:t>
      </w:r>
      <w:r>
        <w:rPr>
          <w:rFonts w:hint="cs"/>
          <w:rtl/>
        </w:rPr>
        <w:t>ממשלתית ז</w:t>
      </w:r>
      <w:r w:rsidRPr="00205D45">
        <w:rPr>
          <w:rFonts w:hint="cs"/>
          <w:rtl/>
        </w:rPr>
        <w:t>ו, לא בי</w:t>
      </w:r>
      <w:r>
        <w:rPr>
          <w:rFonts w:hint="cs"/>
          <w:rtl/>
        </w:rPr>
        <w:t>צעו</w:t>
      </w:r>
      <w:r w:rsidRPr="00205D45">
        <w:rPr>
          <w:rFonts w:hint="cs"/>
          <w:rtl/>
        </w:rPr>
        <w:t xml:space="preserve"> בדיקות </w:t>
      </w:r>
      <w:r>
        <w:rPr>
          <w:rFonts w:hint="cs"/>
          <w:rtl/>
        </w:rPr>
        <w:t>להתאמתו של</w:t>
      </w:r>
      <w:r w:rsidRPr="00205D45">
        <w:rPr>
          <w:rFonts w:hint="cs"/>
          <w:rtl/>
        </w:rPr>
        <w:t xml:space="preserve"> יישום </w:t>
      </w:r>
      <w:r>
        <w:rPr>
          <w:rFonts w:hint="cs"/>
          <w:rtl/>
        </w:rPr>
        <w:t>מתווה</w:t>
      </w:r>
      <w:r w:rsidRPr="00205D45">
        <w:rPr>
          <w:rFonts w:hint="cs"/>
          <w:rtl/>
        </w:rPr>
        <w:t xml:space="preserve"> </w:t>
      </w:r>
      <w:r>
        <w:rPr>
          <w:rFonts w:hint="cs"/>
          <w:rtl/>
        </w:rPr>
        <w:t xml:space="preserve">של </w:t>
      </w:r>
      <w:r w:rsidRPr="00205D45">
        <w:rPr>
          <w:rFonts w:hint="cs"/>
          <w:rtl/>
        </w:rPr>
        <w:t xml:space="preserve">שותפות ציבורית-פרטית </w:t>
      </w:r>
      <w:r>
        <w:rPr>
          <w:rFonts w:hint="cs"/>
          <w:rtl/>
        </w:rPr>
        <w:t>ב</w:t>
      </w:r>
      <w:r w:rsidRPr="00205D45">
        <w:rPr>
          <w:rFonts w:hint="cs"/>
          <w:rtl/>
        </w:rPr>
        <w:t>טרם</w:t>
      </w:r>
      <w:r>
        <w:rPr>
          <w:rFonts w:hint="cs"/>
          <w:rtl/>
        </w:rPr>
        <w:t xml:space="preserve"> הוחלט כך.</w:t>
      </w:r>
      <w:r w:rsidRPr="00205D45">
        <w:rPr>
          <w:rFonts w:hint="cs"/>
          <w:rtl/>
        </w:rPr>
        <w:t xml:space="preserve"> </w:t>
      </w:r>
    </w:p>
    <w:p w14:paraId="6BB1897F" w14:textId="77777777" w:rsidR="00823E3A" w:rsidRDefault="00823E3A" w:rsidP="00CE7F3A">
      <w:pPr>
        <w:pStyle w:val="a1"/>
      </w:pPr>
      <w:r>
        <w:rPr>
          <w:rFonts w:hint="cs"/>
          <w:rtl/>
        </w:rPr>
        <w:t>במהלך שנת 2008 קיבלה הממשלה החלטה על הקמת מתקן ההתפלה בשורק במתווה של שותפות ציבורית-פרטית</w:t>
      </w:r>
      <w:r>
        <w:rPr>
          <w:rStyle w:val="FootnoteReference"/>
          <w:rtl/>
        </w:rPr>
        <w:footnoteReference w:id="93"/>
      </w:r>
      <w:r>
        <w:rPr>
          <w:rFonts w:hint="cs"/>
          <w:rtl/>
        </w:rPr>
        <w:t>. החלטה זו התקבלה בעקבות הצלחתם של מתקנים אחרים שהוקמו במתכונת זו באשקלון, בחדרה ובפלמחים. הבדיקה של משרד מבקר המדינה העלתה כי בטרם התקבלה ההחלטה על כך, לא נערכה בחינת התאמה להקמת מתקן ההתפלה בשורק במתווה של שיתוף המגזר הפרטי ואף לא ביחס ליתר מתקני ההתפלה שהוקמו קודם לכן. יצוין כי במהלך שנת 2018</w:t>
      </w:r>
      <w:r>
        <w:rPr>
          <w:rStyle w:val="FootnoteReference"/>
          <w:rtl/>
        </w:rPr>
        <w:footnoteReference w:id="94"/>
      </w:r>
      <w:r>
        <w:rPr>
          <w:rFonts w:hint="cs"/>
          <w:rtl/>
        </w:rPr>
        <w:t xml:space="preserve"> הטילה הממשלה על חטיבת תשתיות ופרויקטים למנות ועדת מכרזים לצורך פרסום מכרזים להקמת מתקני התפלה נוספים בשורק ובאזור הגליל המערבי בשיתוף המגזר הפרטי, וזאת בלא שבוצעה בדיקת התאמה פרטנית עבורם המצדיקה את יישום המתווה. </w:t>
      </w:r>
    </w:p>
    <w:p w14:paraId="0B43194A" w14:textId="77777777" w:rsidR="00823E3A" w:rsidRDefault="00823E3A" w:rsidP="00CE7F3A">
      <w:pPr>
        <w:pStyle w:val="af4"/>
        <w:rPr>
          <w:rtl/>
        </w:rPr>
      </w:pPr>
      <w:r>
        <w:rPr>
          <w:rFonts w:hint="cs"/>
          <w:rtl/>
        </w:rPr>
        <w:t>על פי הגישה של חטיבת תשתיות ופרויקטים, בדיקות ההתאמה אינן נדרשות בתחומים מסוימים אשר פרויקטים שבוצעו בהם בשיתוף המגזר הפרטי היו מוצלחים, למשל הקמת מתקני התפלה. בתשובתו של משרד האנרגיה מינואר 2020 צוין: "בכל הניתוחים המוכרים לנו בנושא המאפיינים הקיימים במתקן התפלה הינם כאלו המתאימים באופן מובהק לשיטת ההקמה ב-</w:t>
      </w:r>
      <w:r>
        <w:rPr>
          <w:rFonts w:hint="cs"/>
        </w:rPr>
        <w:t>PPP</w:t>
      </w:r>
      <w:r>
        <w:rPr>
          <w:rFonts w:hint="cs"/>
          <w:rtl/>
        </w:rPr>
        <w:t>... לאור האמור, לא נראה כי יש מקום או צורך לבחון הקמתו של כל מתקן מחדש בשיטה זו".</w:t>
      </w:r>
    </w:p>
    <w:p w14:paraId="02ADC04C" w14:textId="77777777" w:rsidR="00823E3A" w:rsidRPr="00103D6C" w:rsidRDefault="00823E3A" w:rsidP="009D4D73">
      <w:pPr>
        <w:pStyle w:val="ae"/>
        <w:rPr>
          <w:rtl/>
        </w:rPr>
      </w:pPr>
      <w:r>
        <w:rPr>
          <w:rFonts w:hint="cs"/>
          <w:rtl/>
        </w:rPr>
        <w:lastRenderedPageBreak/>
        <w:t>אף שב</w:t>
      </w:r>
      <w:r w:rsidRPr="002628D4">
        <w:rPr>
          <w:rFonts w:hint="eastAsia"/>
          <w:rtl/>
        </w:rPr>
        <w:t>פרויקט</w:t>
      </w:r>
      <w:r w:rsidRPr="002628D4">
        <w:rPr>
          <w:rtl/>
        </w:rPr>
        <w:t xml:space="preserve"> להקמת מתקן התפלה </w:t>
      </w:r>
      <w:r w:rsidRPr="002628D4">
        <w:rPr>
          <w:rFonts w:hint="eastAsia"/>
          <w:rtl/>
        </w:rPr>
        <w:t>נדרש</w:t>
      </w:r>
      <w:r w:rsidRPr="002628D4">
        <w:rPr>
          <w:rtl/>
        </w:rPr>
        <w:t xml:space="preserve"> </w:t>
      </w:r>
      <w:r w:rsidRPr="002628D4">
        <w:rPr>
          <w:rFonts w:hint="eastAsia"/>
          <w:rtl/>
        </w:rPr>
        <w:t>ידע</w:t>
      </w:r>
      <w:r w:rsidRPr="002628D4">
        <w:rPr>
          <w:rtl/>
        </w:rPr>
        <w:t xml:space="preserve"> </w:t>
      </w:r>
      <w:r w:rsidRPr="002628D4">
        <w:rPr>
          <w:rFonts w:hint="eastAsia"/>
          <w:rtl/>
        </w:rPr>
        <w:t>וניסיון</w:t>
      </w:r>
      <w:r w:rsidRPr="002628D4">
        <w:rPr>
          <w:rtl/>
        </w:rPr>
        <w:t xml:space="preserve"> </w:t>
      </w:r>
      <w:r>
        <w:rPr>
          <w:rFonts w:hint="cs"/>
          <w:rtl/>
        </w:rPr>
        <w:t xml:space="preserve">שיש </w:t>
      </w:r>
      <w:r w:rsidRPr="002628D4">
        <w:rPr>
          <w:rtl/>
        </w:rPr>
        <w:t xml:space="preserve">בידי </w:t>
      </w:r>
      <w:r w:rsidRPr="002628D4">
        <w:rPr>
          <w:rFonts w:hint="eastAsia"/>
          <w:rtl/>
        </w:rPr>
        <w:t>המגזר</w:t>
      </w:r>
      <w:r w:rsidRPr="002628D4">
        <w:rPr>
          <w:rtl/>
        </w:rPr>
        <w:t xml:space="preserve"> </w:t>
      </w:r>
      <w:r w:rsidRPr="002628D4">
        <w:rPr>
          <w:rFonts w:hint="eastAsia"/>
          <w:rtl/>
        </w:rPr>
        <w:t>הפרטי</w:t>
      </w:r>
      <w:r w:rsidRPr="002628D4">
        <w:rPr>
          <w:rtl/>
        </w:rPr>
        <w:t xml:space="preserve"> ו</w:t>
      </w:r>
      <w:r>
        <w:rPr>
          <w:rFonts w:hint="cs"/>
          <w:rtl/>
        </w:rPr>
        <w:t xml:space="preserve">לפיכך הוא בעל </w:t>
      </w:r>
      <w:r w:rsidRPr="002628D4">
        <w:rPr>
          <w:rtl/>
        </w:rPr>
        <w:t xml:space="preserve">יתרון בתחום זה, </w:t>
      </w:r>
      <w:r w:rsidRPr="002628D4">
        <w:rPr>
          <w:rFonts w:hint="eastAsia"/>
          <w:rtl/>
        </w:rPr>
        <w:t>יש</w:t>
      </w:r>
      <w:r w:rsidRPr="002628D4">
        <w:rPr>
          <w:rtl/>
        </w:rPr>
        <w:t xml:space="preserve"> מגוון </w:t>
      </w:r>
      <w:r>
        <w:rPr>
          <w:rFonts w:hint="cs"/>
          <w:rtl/>
        </w:rPr>
        <w:t xml:space="preserve">של </w:t>
      </w:r>
      <w:r w:rsidRPr="002628D4">
        <w:rPr>
          <w:rFonts w:hint="eastAsia"/>
          <w:rtl/>
        </w:rPr>
        <w:t>צורות</w:t>
      </w:r>
      <w:r w:rsidRPr="002628D4">
        <w:rPr>
          <w:rtl/>
        </w:rPr>
        <w:t xml:space="preserve"> </w:t>
      </w:r>
      <w:r w:rsidRPr="002628D4">
        <w:rPr>
          <w:rFonts w:hint="eastAsia"/>
          <w:rtl/>
        </w:rPr>
        <w:t>התקשרות</w:t>
      </w:r>
      <w:r w:rsidRPr="002628D4">
        <w:rPr>
          <w:rtl/>
        </w:rPr>
        <w:t xml:space="preserve"> </w:t>
      </w:r>
      <w:r w:rsidRPr="002628D4">
        <w:rPr>
          <w:rFonts w:hint="eastAsia"/>
          <w:rtl/>
        </w:rPr>
        <w:t>אפשריות</w:t>
      </w:r>
      <w:r>
        <w:rPr>
          <w:rFonts w:hint="cs"/>
          <w:rtl/>
        </w:rPr>
        <w:t>,</w:t>
      </w:r>
      <w:r w:rsidRPr="002628D4">
        <w:rPr>
          <w:rtl/>
        </w:rPr>
        <w:t xml:space="preserve"> </w:t>
      </w:r>
      <w:r>
        <w:rPr>
          <w:rFonts w:hint="cs"/>
          <w:rtl/>
        </w:rPr>
        <w:t>ו</w:t>
      </w:r>
      <w:r w:rsidRPr="002628D4">
        <w:rPr>
          <w:rFonts w:hint="eastAsia"/>
          <w:rtl/>
        </w:rPr>
        <w:t>בחינות</w:t>
      </w:r>
      <w:r w:rsidRPr="002628D4">
        <w:rPr>
          <w:rtl/>
        </w:rPr>
        <w:t xml:space="preserve"> </w:t>
      </w:r>
      <w:r w:rsidRPr="002628D4">
        <w:rPr>
          <w:rFonts w:hint="eastAsia"/>
          <w:rtl/>
        </w:rPr>
        <w:t>ההתאמה</w:t>
      </w:r>
      <w:r w:rsidRPr="002628D4">
        <w:rPr>
          <w:rtl/>
        </w:rPr>
        <w:t xml:space="preserve"> </w:t>
      </w:r>
      <w:r>
        <w:rPr>
          <w:rFonts w:hint="cs"/>
          <w:rtl/>
        </w:rPr>
        <w:t>נועדו</w:t>
      </w:r>
      <w:r w:rsidRPr="002628D4">
        <w:rPr>
          <w:rtl/>
        </w:rPr>
        <w:t xml:space="preserve"> לבחון אם </w:t>
      </w:r>
      <w:r w:rsidRPr="002628D4">
        <w:rPr>
          <w:rFonts w:hint="eastAsia"/>
          <w:rtl/>
        </w:rPr>
        <w:t>שותפות</w:t>
      </w:r>
      <w:r w:rsidRPr="002628D4">
        <w:rPr>
          <w:rtl/>
        </w:rPr>
        <w:t xml:space="preserve"> </w:t>
      </w:r>
      <w:r>
        <w:rPr>
          <w:rFonts w:hint="cs"/>
          <w:rtl/>
        </w:rPr>
        <w:t xml:space="preserve">בין המגזרים </w:t>
      </w:r>
      <w:r w:rsidRPr="002628D4">
        <w:rPr>
          <w:rtl/>
        </w:rPr>
        <w:t xml:space="preserve">היא </w:t>
      </w:r>
      <w:r>
        <w:rPr>
          <w:rFonts w:hint="cs"/>
          <w:rtl/>
        </w:rPr>
        <w:t xml:space="preserve">הצורה </w:t>
      </w:r>
      <w:r w:rsidRPr="002628D4">
        <w:rPr>
          <w:rtl/>
        </w:rPr>
        <w:t xml:space="preserve">המיטבית. </w:t>
      </w:r>
      <w:r>
        <w:rPr>
          <w:rFonts w:hint="cs"/>
          <w:rtl/>
        </w:rPr>
        <w:t>יתר על כן, אשר לגישה הגורסת שאין צורך בבחינה התאמה בפרויקטים דומים כמתקני התפלה</w:t>
      </w:r>
      <w:r w:rsidRPr="002628D4">
        <w:rPr>
          <w:rtl/>
        </w:rPr>
        <w:t xml:space="preserve">, </w:t>
      </w:r>
      <w:r>
        <w:rPr>
          <w:rFonts w:hint="cs"/>
          <w:rtl/>
        </w:rPr>
        <w:t xml:space="preserve">מוטב כי </w:t>
      </w:r>
      <w:r w:rsidRPr="002628D4">
        <w:rPr>
          <w:rFonts w:hint="eastAsia"/>
          <w:rtl/>
        </w:rPr>
        <w:t>החטיבה</w:t>
      </w:r>
      <w:r w:rsidRPr="002628D4">
        <w:rPr>
          <w:rtl/>
        </w:rPr>
        <w:t xml:space="preserve"> </w:t>
      </w:r>
      <w:r>
        <w:rPr>
          <w:rFonts w:hint="cs"/>
          <w:rtl/>
        </w:rPr>
        <w:t>תבחן את האפשרות ל</w:t>
      </w:r>
      <w:r w:rsidRPr="002628D4">
        <w:rPr>
          <w:rFonts w:hint="eastAsia"/>
          <w:rtl/>
        </w:rPr>
        <w:t>ערוך</w:t>
      </w:r>
      <w:r w:rsidRPr="002628D4">
        <w:rPr>
          <w:rtl/>
        </w:rPr>
        <w:t xml:space="preserve"> לכל הפחות בדיקת התאמה</w:t>
      </w:r>
      <w:r>
        <w:rPr>
          <w:rFonts w:hint="cs"/>
          <w:rtl/>
        </w:rPr>
        <w:t xml:space="preserve"> מעמיקה</w:t>
      </w:r>
      <w:r w:rsidRPr="002628D4">
        <w:rPr>
          <w:rtl/>
        </w:rPr>
        <w:t xml:space="preserve"> אחת שתתמוך ב</w:t>
      </w:r>
      <w:r w:rsidRPr="002628D4">
        <w:rPr>
          <w:rFonts w:hint="eastAsia"/>
          <w:rtl/>
        </w:rPr>
        <w:t>קביעה</w:t>
      </w:r>
      <w:r w:rsidRPr="002628D4">
        <w:rPr>
          <w:rtl/>
        </w:rPr>
        <w:t xml:space="preserve"> </w:t>
      </w:r>
      <w:r w:rsidRPr="002628D4">
        <w:rPr>
          <w:rFonts w:hint="eastAsia"/>
          <w:rtl/>
        </w:rPr>
        <w:t>זו</w:t>
      </w:r>
      <w:r w:rsidRPr="002628D4">
        <w:rPr>
          <w:rtl/>
        </w:rPr>
        <w:t xml:space="preserve"> </w:t>
      </w:r>
      <w:r w:rsidRPr="00103D6C">
        <w:rPr>
          <w:rFonts w:hint="eastAsia"/>
          <w:rtl/>
        </w:rPr>
        <w:t>בטרם</w:t>
      </w:r>
      <w:r w:rsidRPr="00103D6C">
        <w:rPr>
          <w:rtl/>
        </w:rPr>
        <w:t xml:space="preserve"> </w:t>
      </w:r>
      <w:r>
        <w:rPr>
          <w:rFonts w:hint="cs"/>
          <w:rtl/>
        </w:rPr>
        <w:t>תתקבל</w:t>
      </w:r>
      <w:r w:rsidRPr="00103D6C">
        <w:rPr>
          <w:rtl/>
        </w:rPr>
        <w:t xml:space="preserve"> ההחלט</w:t>
      </w:r>
      <w:r w:rsidRPr="00103D6C">
        <w:rPr>
          <w:rFonts w:hint="eastAsia"/>
          <w:rtl/>
        </w:rPr>
        <w:t>ה</w:t>
      </w:r>
      <w:r w:rsidRPr="00103D6C">
        <w:rPr>
          <w:rtl/>
        </w:rPr>
        <w:t xml:space="preserve"> </w:t>
      </w:r>
      <w:r w:rsidRPr="00103D6C">
        <w:rPr>
          <w:rFonts w:hint="eastAsia"/>
          <w:rtl/>
        </w:rPr>
        <w:t>על</w:t>
      </w:r>
      <w:r w:rsidRPr="00103D6C">
        <w:rPr>
          <w:rtl/>
        </w:rPr>
        <w:t xml:space="preserve"> </w:t>
      </w:r>
      <w:r w:rsidRPr="00103D6C">
        <w:rPr>
          <w:rFonts w:hint="cs"/>
          <w:rtl/>
        </w:rPr>
        <w:t>אימוץ המתווה</w:t>
      </w:r>
      <w:r>
        <w:rPr>
          <w:rFonts w:hint="cs"/>
          <w:rtl/>
        </w:rPr>
        <w:t xml:space="preserve"> בפרויקטים האחרים</w:t>
      </w:r>
      <w:r w:rsidRPr="00103D6C">
        <w:rPr>
          <w:rtl/>
        </w:rPr>
        <w:t>.</w:t>
      </w:r>
    </w:p>
    <w:p w14:paraId="265524F4" w14:textId="77777777" w:rsidR="00823E3A" w:rsidRDefault="00823E3A" w:rsidP="00CE7F3A">
      <w:pPr>
        <w:pStyle w:val="a1"/>
      </w:pPr>
      <w:r w:rsidRPr="00103D6C">
        <w:rPr>
          <w:rFonts w:hint="cs"/>
          <w:rtl/>
        </w:rPr>
        <w:t>הביקורת העלתה כי לא בוצעו בחינות מקדימות</w:t>
      </w:r>
      <w:r>
        <w:rPr>
          <w:rFonts w:hint="cs"/>
          <w:rtl/>
        </w:rPr>
        <w:t xml:space="preserve"> עבור 25 פרויקטים מתוך 28</w:t>
      </w:r>
      <w:r w:rsidRPr="00103D6C">
        <w:rPr>
          <w:rFonts w:hint="cs"/>
          <w:rtl/>
        </w:rPr>
        <w:t xml:space="preserve"> פרויקטים </w:t>
      </w:r>
      <w:r>
        <w:rPr>
          <w:rFonts w:hint="cs"/>
          <w:rtl/>
        </w:rPr>
        <w:t xml:space="preserve">שמנהלת </w:t>
      </w:r>
      <w:r w:rsidRPr="00103D6C">
        <w:rPr>
          <w:rFonts w:hint="cs"/>
          <w:rtl/>
        </w:rPr>
        <w:t>חטיבת תשתיות ופרויקטים</w:t>
      </w:r>
      <w:r>
        <w:rPr>
          <w:rFonts w:hint="cs"/>
          <w:rtl/>
        </w:rPr>
        <w:t>,</w:t>
      </w:r>
      <w:r w:rsidRPr="00103D6C">
        <w:rPr>
          <w:rFonts w:hint="cs"/>
          <w:rtl/>
        </w:rPr>
        <w:t xml:space="preserve"> </w:t>
      </w:r>
      <w:r>
        <w:rPr>
          <w:rFonts w:hint="cs"/>
          <w:rtl/>
        </w:rPr>
        <w:t>כפי שמציג תרשים 12</w:t>
      </w:r>
      <w:r>
        <w:rPr>
          <w:rStyle w:val="FootnoteReference"/>
          <w:rtl/>
        </w:rPr>
        <w:footnoteReference w:id="95"/>
      </w:r>
      <w:r w:rsidRPr="00103D6C">
        <w:rPr>
          <w:rFonts w:hint="cs"/>
          <w:rtl/>
        </w:rPr>
        <w:t>. בפרט לא בוצעו בדיקות התאמה להקמת</w:t>
      </w:r>
      <w:r>
        <w:rPr>
          <w:rFonts w:hint="cs"/>
          <w:rtl/>
        </w:rPr>
        <w:t xml:space="preserve"> 15</w:t>
      </w:r>
      <w:r w:rsidRPr="00103D6C">
        <w:rPr>
          <w:rFonts w:hint="cs"/>
          <w:rtl/>
        </w:rPr>
        <w:t xml:space="preserve"> פרויקטים במתווה של </w:t>
      </w:r>
      <w:r w:rsidRPr="00103D6C">
        <w:rPr>
          <w:rFonts w:hint="cs"/>
        </w:rPr>
        <w:t>PPP</w:t>
      </w:r>
      <w:r w:rsidRPr="00103D6C">
        <w:rPr>
          <w:rFonts w:hint="cs"/>
          <w:rtl/>
        </w:rPr>
        <w:t xml:space="preserve"> בתחומי הבינוי</w:t>
      </w:r>
      <w:r>
        <w:rPr>
          <w:rStyle w:val="FootnoteReference"/>
          <w:rtl/>
        </w:rPr>
        <w:footnoteReference w:id="96"/>
      </w:r>
      <w:r w:rsidRPr="00103D6C">
        <w:rPr>
          <w:rFonts w:hint="cs"/>
          <w:rtl/>
        </w:rPr>
        <w:t xml:space="preserve"> והתחבורה</w:t>
      </w:r>
      <w:r>
        <w:rPr>
          <w:rStyle w:val="FootnoteReference"/>
          <w:rtl/>
        </w:rPr>
        <w:footnoteReference w:id="97"/>
      </w:r>
      <w:r w:rsidRPr="00103D6C">
        <w:rPr>
          <w:rFonts w:hint="cs"/>
          <w:rtl/>
        </w:rPr>
        <w:t xml:space="preserve">, </w:t>
      </w:r>
      <w:r>
        <w:rPr>
          <w:rFonts w:hint="cs"/>
          <w:rtl/>
        </w:rPr>
        <w:t>חלקם</w:t>
      </w:r>
      <w:r w:rsidRPr="00103D6C">
        <w:rPr>
          <w:rFonts w:hint="cs"/>
          <w:rtl/>
        </w:rPr>
        <w:t xml:space="preserve"> ראשונ</w:t>
      </w:r>
      <w:r>
        <w:rPr>
          <w:rFonts w:hint="cs"/>
          <w:rtl/>
        </w:rPr>
        <w:t>י</w:t>
      </w:r>
      <w:r w:rsidRPr="00103D6C">
        <w:rPr>
          <w:rFonts w:hint="cs"/>
          <w:rtl/>
        </w:rPr>
        <w:t>ים מסוגם</w:t>
      </w:r>
      <w:r>
        <w:rPr>
          <w:rFonts w:hint="cs"/>
          <w:rtl/>
        </w:rPr>
        <w:t>,</w:t>
      </w:r>
      <w:r w:rsidRPr="00103D6C">
        <w:rPr>
          <w:rFonts w:hint="cs"/>
          <w:rtl/>
        </w:rPr>
        <w:t xml:space="preserve"> </w:t>
      </w:r>
      <w:r>
        <w:rPr>
          <w:rFonts w:hint="cs"/>
          <w:rtl/>
        </w:rPr>
        <w:t>ש</w:t>
      </w:r>
      <w:r w:rsidRPr="00103D6C">
        <w:rPr>
          <w:rFonts w:hint="cs"/>
          <w:rtl/>
        </w:rPr>
        <w:t xml:space="preserve">עליהם הוחלט בטרם פורסם נוהל חטיבת תשתיות ופרויקטים. </w:t>
      </w:r>
      <w:r>
        <w:rPr>
          <w:rFonts w:hint="cs"/>
          <w:rtl/>
        </w:rPr>
        <w:t xml:space="preserve">יתר על כן, </w:t>
      </w:r>
      <w:r w:rsidRPr="00103D6C">
        <w:rPr>
          <w:rFonts w:hint="cs"/>
          <w:rtl/>
        </w:rPr>
        <w:t xml:space="preserve">הביקורת העלתה כי גם לאחר </w:t>
      </w:r>
      <w:r>
        <w:rPr>
          <w:rFonts w:hint="cs"/>
          <w:rtl/>
        </w:rPr>
        <w:t>פרסום</w:t>
      </w:r>
      <w:r w:rsidRPr="00103D6C">
        <w:rPr>
          <w:rFonts w:hint="cs"/>
          <w:rtl/>
        </w:rPr>
        <w:t xml:space="preserve"> הנוהל </w:t>
      </w:r>
      <w:r>
        <w:rPr>
          <w:rFonts w:hint="cs"/>
          <w:rtl/>
        </w:rPr>
        <w:t>לא נערכה בדיקת התאמה ל-10</w:t>
      </w:r>
      <w:r w:rsidRPr="00103D6C">
        <w:rPr>
          <w:rFonts w:hint="cs"/>
          <w:rtl/>
        </w:rPr>
        <w:t xml:space="preserve"> פרויקטים</w:t>
      </w:r>
      <w:r>
        <w:rPr>
          <w:rFonts w:hint="cs"/>
          <w:rtl/>
        </w:rPr>
        <w:t xml:space="preserve"> נוספים</w:t>
      </w:r>
      <w:r w:rsidRPr="00103D6C">
        <w:rPr>
          <w:rFonts w:hint="cs"/>
          <w:rtl/>
        </w:rPr>
        <w:t xml:space="preserve"> </w:t>
      </w:r>
      <w:r>
        <w:rPr>
          <w:rFonts w:hint="cs"/>
          <w:rtl/>
        </w:rPr>
        <w:t xml:space="preserve">אף </w:t>
      </w:r>
      <w:r w:rsidRPr="00103D6C">
        <w:rPr>
          <w:rFonts w:hint="cs"/>
          <w:rtl/>
        </w:rPr>
        <w:t>שמדובר בפרויקטים ראשונ</w:t>
      </w:r>
      <w:r>
        <w:rPr>
          <w:rFonts w:hint="cs"/>
          <w:rtl/>
        </w:rPr>
        <w:t>י</w:t>
      </w:r>
      <w:r w:rsidRPr="00103D6C">
        <w:rPr>
          <w:rFonts w:hint="cs"/>
          <w:rtl/>
        </w:rPr>
        <w:t>ם בתחומם</w:t>
      </w:r>
      <w:r>
        <w:rPr>
          <w:rStyle w:val="FootnoteReference"/>
          <w:rtl/>
        </w:rPr>
        <w:footnoteReference w:id="98"/>
      </w:r>
      <w:r w:rsidRPr="00103D6C">
        <w:rPr>
          <w:rFonts w:hint="cs"/>
          <w:rtl/>
        </w:rPr>
        <w:t xml:space="preserve"> או </w:t>
      </w:r>
      <w:r>
        <w:rPr>
          <w:rFonts w:hint="cs"/>
          <w:rtl/>
        </w:rPr>
        <w:t>ב</w:t>
      </w:r>
      <w:r w:rsidRPr="00103D6C">
        <w:rPr>
          <w:rFonts w:hint="cs"/>
          <w:rtl/>
        </w:rPr>
        <w:t>פרויקטים בתחומים ש</w:t>
      </w:r>
      <w:r>
        <w:rPr>
          <w:rFonts w:hint="cs"/>
          <w:rtl/>
        </w:rPr>
        <w:t>לא הוכח היתרון של יישום</w:t>
      </w:r>
      <w:r w:rsidRPr="00103D6C">
        <w:rPr>
          <w:rFonts w:hint="cs"/>
          <w:rtl/>
        </w:rPr>
        <w:t xml:space="preserve"> המתווה בהקמתם ובתפעולם</w:t>
      </w:r>
      <w:r>
        <w:rPr>
          <w:rStyle w:val="FootnoteReference"/>
          <w:rtl/>
        </w:rPr>
        <w:footnoteReference w:id="99"/>
      </w:r>
      <w:r w:rsidRPr="00103D6C">
        <w:rPr>
          <w:rFonts w:hint="cs"/>
          <w:rtl/>
        </w:rPr>
        <w:t>.</w:t>
      </w:r>
    </w:p>
    <w:p w14:paraId="4AA4D20A" w14:textId="77777777" w:rsidR="00823E3A" w:rsidRPr="00873A08" w:rsidRDefault="00823E3A" w:rsidP="00CE7F3A">
      <w:pPr>
        <w:pStyle w:val="aa"/>
        <w:rPr>
          <w:rtl/>
        </w:rPr>
      </w:pPr>
      <w:r w:rsidRPr="00873A08">
        <w:rPr>
          <w:rFonts w:hint="eastAsia"/>
          <w:rtl/>
        </w:rPr>
        <w:lastRenderedPageBreak/>
        <w:t>תרשים</w:t>
      </w:r>
      <w:r w:rsidRPr="00873A08">
        <w:rPr>
          <w:rtl/>
        </w:rPr>
        <w:t xml:space="preserve"> </w:t>
      </w:r>
      <w:r>
        <w:rPr>
          <w:rFonts w:hint="cs"/>
          <w:rtl/>
        </w:rPr>
        <w:t xml:space="preserve">12: </w:t>
      </w:r>
      <w:r w:rsidRPr="00CE7F3A">
        <w:rPr>
          <w:rFonts w:hint="cs"/>
          <w:b/>
          <w:bCs/>
          <w:rtl/>
        </w:rPr>
        <w:t>ביצוע בדיקות התאמה בידי חטיבת תשתיות ופרויקטים לפני פרסום נוהל העבודה ואחריו</w:t>
      </w:r>
    </w:p>
    <w:p w14:paraId="301A9683" w14:textId="77777777" w:rsidR="00823E3A" w:rsidRDefault="00823E3A" w:rsidP="00823E3A">
      <w:pPr>
        <w:pStyle w:val="ListParagraph"/>
        <w:widowControl w:val="0"/>
        <w:spacing w:line="269" w:lineRule="auto"/>
        <w:ind w:left="340"/>
        <w:jc w:val="center"/>
        <w:rPr>
          <w:rtl/>
        </w:rPr>
      </w:pPr>
      <w:r>
        <w:rPr>
          <w:noProof/>
        </w:rPr>
        <w:drawing>
          <wp:inline distT="0" distB="0" distL="0" distR="0" wp14:anchorId="22A889F0" wp14:editId="36C07C07">
            <wp:extent cx="5219700" cy="4429125"/>
            <wp:effectExtent l="0" t="0" r="0" b="952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73686" name="Picture 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219700" cy="4429125"/>
                    </a:xfrm>
                    <a:prstGeom prst="rect">
                      <a:avLst/>
                    </a:prstGeom>
                    <a:noFill/>
                    <a:ln>
                      <a:noFill/>
                    </a:ln>
                  </pic:spPr>
                </pic:pic>
              </a:graphicData>
            </a:graphic>
          </wp:inline>
        </w:drawing>
      </w:r>
    </w:p>
    <w:p w14:paraId="070CE102" w14:textId="77777777" w:rsidR="00823E3A" w:rsidRDefault="00823E3A" w:rsidP="00CE7F3A">
      <w:pPr>
        <w:pStyle w:val="ac"/>
        <w:rPr>
          <w:rtl/>
        </w:rPr>
      </w:pPr>
      <w:r w:rsidRPr="002B3789">
        <w:rPr>
          <w:rFonts w:hint="eastAsia"/>
          <w:rtl/>
        </w:rPr>
        <w:t>המקור</w:t>
      </w:r>
      <w:r w:rsidRPr="002B3789">
        <w:rPr>
          <w:rtl/>
        </w:rPr>
        <w:t xml:space="preserve">: </w:t>
      </w:r>
      <w:r w:rsidRPr="002B3789">
        <w:rPr>
          <w:rFonts w:hint="eastAsia"/>
          <w:rtl/>
        </w:rPr>
        <w:t>חטיבת</w:t>
      </w:r>
      <w:r w:rsidRPr="002B3789">
        <w:rPr>
          <w:rtl/>
        </w:rPr>
        <w:t xml:space="preserve"> </w:t>
      </w:r>
      <w:r w:rsidRPr="002B3789">
        <w:rPr>
          <w:rFonts w:hint="eastAsia"/>
          <w:rtl/>
        </w:rPr>
        <w:t>תשתיות</w:t>
      </w:r>
      <w:r w:rsidRPr="002B3789">
        <w:rPr>
          <w:rtl/>
        </w:rPr>
        <w:t xml:space="preserve"> </w:t>
      </w:r>
      <w:r w:rsidRPr="002B3789">
        <w:rPr>
          <w:rFonts w:hint="eastAsia"/>
          <w:rtl/>
        </w:rPr>
        <w:t>ופרויקטים</w:t>
      </w:r>
      <w:r w:rsidRPr="002B3789">
        <w:rPr>
          <w:rtl/>
        </w:rPr>
        <w:t xml:space="preserve">, </w:t>
      </w:r>
      <w:r w:rsidRPr="002B3789">
        <w:rPr>
          <w:rFonts w:hint="eastAsia"/>
          <w:rtl/>
        </w:rPr>
        <w:t>בעיבוד</w:t>
      </w:r>
      <w:r w:rsidRPr="002B3789">
        <w:rPr>
          <w:rtl/>
        </w:rPr>
        <w:t xml:space="preserve"> משרד מבקר המדינה</w:t>
      </w:r>
    </w:p>
    <w:p w14:paraId="7ACBBEB6" w14:textId="77777777" w:rsidR="009D4D73" w:rsidRPr="002B3789" w:rsidRDefault="009D4D73" w:rsidP="00CE7F3A">
      <w:pPr>
        <w:pStyle w:val="ac"/>
      </w:pPr>
    </w:p>
    <w:p w14:paraId="4491C1E3" w14:textId="77777777" w:rsidR="00823E3A" w:rsidRPr="00FA0310" w:rsidRDefault="00823E3A" w:rsidP="00CE7F3A">
      <w:pPr>
        <w:pStyle w:val="af5"/>
        <w:rPr>
          <w:rtl/>
        </w:rPr>
      </w:pPr>
      <w:r w:rsidRPr="007D4FFD">
        <w:rPr>
          <w:rFonts w:hint="cs"/>
          <w:rtl/>
        </w:rPr>
        <w:t xml:space="preserve">בדיקות ההתאמה משמשות כלי חשוב בקבלת החלטה על ביצוע פרויקט במתווה של </w:t>
      </w:r>
      <w:r w:rsidRPr="00FA0310">
        <w:rPr>
          <w:rFonts w:hint="cs"/>
        </w:rPr>
        <w:t>PPP</w:t>
      </w:r>
      <w:r w:rsidRPr="00FA0310">
        <w:rPr>
          <w:rFonts w:hint="cs"/>
          <w:rtl/>
        </w:rPr>
        <w:t xml:space="preserve"> ו</w:t>
      </w:r>
      <w:r>
        <w:rPr>
          <w:rFonts w:hint="cs"/>
          <w:rtl/>
        </w:rPr>
        <w:t>הן ה</w:t>
      </w:r>
      <w:r w:rsidRPr="00FA0310">
        <w:rPr>
          <w:rFonts w:hint="cs"/>
          <w:rtl/>
        </w:rPr>
        <w:t>בסיס</w:t>
      </w:r>
      <w:r>
        <w:rPr>
          <w:rFonts w:hint="cs"/>
          <w:rtl/>
        </w:rPr>
        <w:t xml:space="preserve"> הנדרש</w:t>
      </w:r>
      <w:r w:rsidRPr="00FA0310">
        <w:rPr>
          <w:rFonts w:hint="cs"/>
          <w:rtl/>
        </w:rPr>
        <w:t xml:space="preserve"> לפעילות</w:t>
      </w:r>
      <w:r>
        <w:rPr>
          <w:rFonts w:hint="cs"/>
          <w:rtl/>
        </w:rPr>
        <w:t>ה של</w:t>
      </w:r>
      <w:r w:rsidRPr="00FA0310">
        <w:rPr>
          <w:rFonts w:hint="cs"/>
          <w:rtl/>
        </w:rPr>
        <w:t xml:space="preserve"> חטיבת תשתיות ופרויקטים. לפיכך על החטיבה להקפיד על יישום נהליה לביצוע בדיקות התאמה, ובייחוד בפרויקטים ראשונים בתחומם</w:t>
      </w:r>
      <w:r>
        <w:rPr>
          <w:rFonts w:hint="cs"/>
          <w:rtl/>
        </w:rPr>
        <w:t xml:space="preserve">. </w:t>
      </w:r>
    </w:p>
    <w:p w14:paraId="30167458" w14:textId="1E271A0B" w:rsidR="00823E3A" w:rsidRPr="00CE7F3A" w:rsidRDefault="00823E3A" w:rsidP="00CE7F3A">
      <w:pPr>
        <w:pStyle w:val="af5"/>
        <w:rPr>
          <w:rtl/>
        </w:rPr>
      </w:pPr>
      <w:r>
        <w:rPr>
          <w:rFonts w:hint="cs"/>
          <w:rtl/>
        </w:rPr>
        <w:t xml:space="preserve">לדעתו של משרד מבקר המדינה, </w:t>
      </w:r>
      <w:r w:rsidRPr="00205D45">
        <w:rPr>
          <w:rFonts w:hint="cs"/>
          <w:rtl/>
        </w:rPr>
        <w:t>ב</w:t>
      </w:r>
      <w:r>
        <w:rPr>
          <w:rFonts w:hint="cs"/>
          <w:rtl/>
        </w:rPr>
        <w:t xml:space="preserve">היעדר בחינת התאמה מקדמית טרם קבלת ההחלטה על ביצוע פרויקט במתווה של </w:t>
      </w:r>
      <w:r>
        <w:rPr>
          <w:rFonts w:hint="cs"/>
        </w:rPr>
        <w:t>PPP</w:t>
      </w:r>
      <w:r>
        <w:rPr>
          <w:rFonts w:hint="cs"/>
          <w:rtl/>
        </w:rPr>
        <w:t xml:space="preserve">, </w:t>
      </w:r>
      <w:r w:rsidRPr="00205D45">
        <w:rPr>
          <w:rFonts w:hint="cs"/>
          <w:rtl/>
        </w:rPr>
        <w:t>נמנע</w:t>
      </w:r>
      <w:r>
        <w:rPr>
          <w:rFonts w:hint="cs"/>
          <w:rtl/>
        </w:rPr>
        <w:t>ת</w:t>
      </w:r>
      <w:r w:rsidRPr="00205D45">
        <w:rPr>
          <w:rFonts w:hint="cs"/>
          <w:rtl/>
        </w:rPr>
        <w:t xml:space="preserve"> ממקבלי ההחלטות ה</w:t>
      </w:r>
      <w:r>
        <w:rPr>
          <w:rFonts w:hint="cs"/>
          <w:rtl/>
        </w:rPr>
        <w:t>אפשרות</w:t>
      </w:r>
      <w:r w:rsidRPr="00205D45">
        <w:rPr>
          <w:rFonts w:hint="cs"/>
          <w:rtl/>
        </w:rPr>
        <w:t xml:space="preserve"> ל</w:t>
      </w:r>
      <w:r>
        <w:rPr>
          <w:rFonts w:hint="cs"/>
          <w:rtl/>
        </w:rPr>
        <w:t>בחור</w:t>
      </w:r>
      <w:r w:rsidRPr="00205D45">
        <w:rPr>
          <w:rFonts w:hint="cs"/>
          <w:rtl/>
        </w:rPr>
        <w:t xml:space="preserve"> </w:t>
      </w:r>
      <w:r>
        <w:rPr>
          <w:rFonts w:hint="cs"/>
          <w:rtl/>
        </w:rPr>
        <w:t>ב</w:t>
      </w:r>
      <w:r w:rsidRPr="00205D45">
        <w:rPr>
          <w:rFonts w:hint="cs"/>
          <w:rtl/>
        </w:rPr>
        <w:t>שיטת הביצוע המיטבית</w:t>
      </w:r>
      <w:r>
        <w:rPr>
          <w:rFonts w:hint="cs"/>
          <w:rtl/>
        </w:rPr>
        <w:t xml:space="preserve"> על בסיס כל המידע הרלוונטי, דבר שעשויות להיות לו השלכות משמעותיות על הפרויקט כולו. לפיכך ראוי לבחון את יישום בדיקות ההתאמה כ</w:t>
      </w:r>
      <w:r w:rsidRPr="00205D45">
        <w:rPr>
          <w:rFonts w:hint="cs"/>
          <w:rtl/>
        </w:rPr>
        <w:t xml:space="preserve">רכיב </w:t>
      </w:r>
      <w:r>
        <w:rPr>
          <w:rFonts w:hint="cs"/>
          <w:rtl/>
        </w:rPr>
        <w:t xml:space="preserve">יסודי ובלתי נפרד </w:t>
      </w:r>
      <w:r w:rsidRPr="00205D45">
        <w:rPr>
          <w:rFonts w:hint="cs"/>
          <w:rtl/>
        </w:rPr>
        <w:t xml:space="preserve">בהליך קבלת ההחלטה על שיטת הביצוע, </w:t>
      </w:r>
      <w:r>
        <w:rPr>
          <w:rFonts w:hint="cs"/>
          <w:rtl/>
        </w:rPr>
        <w:t>ו</w:t>
      </w:r>
      <w:r w:rsidRPr="00205D45">
        <w:rPr>
          <w:rFonts w:hint="cs"/>
          <w:rtl/>
        </w:rPr>
        <w:t>בפרט לנוכח</w:t>
      </w:r>
      <w:r>
        <w:rPr>
          <w:rFonts w:hint="cs"/>
          <w:rtl/>
        </w:rPr>
        <w:t xml:space="preserve"> המשמעויות הכלכליות הנגזרות מכך.</w:t>
      </w:r>
    </w:p>
    <w:p w14:paraId="687A11A2" w14:textId="77777777" w:rsidR="00823E3A" w:rsidRDefault="00823E3A" w:rsidP="00CE7F3A">
      <w:pPr>
        <w:pStyle w:val="414"/>
        <w:rPr>
          <w:rtl/>
        </w:rPr>
      </w:pPr>
      <w:r>
        <w:rPr>
          <w:rFonts w:hint="cs"/>
          <w:rtl/>
        </w:rPr>
        <w:lastRenderedPageBreak/>
        <w:t xml:space="preserve">ליקויים בביצוע בדיקות התאמה </w:t>
      </w:r>
    </w:p>
    <w:p w14:paraId="71E10C66" w14:textId="5AEC982A" w:rsidR="00823E3A" w:rsidRPr="004646C5" w:rsidRDefault="00823E3A" w:rsidP="00CE7F3A">
      <w:pPr>
        <w:pStyle w:val="100"/>
        <w:rPr>
          <w:rtl/>
        </w:rPr>
      </w:pPr>
      <w:r>
        <w:rPr>
          <w:rFonts w:hint="cs"/>
          <w:rtl/>
        </w:rPr>
        <w:t>משרד מבקר המדינה של ארה"ב ציין בדוח משנת 2008</w:t>
      </w:r>
      <w:r>
        <w:rPr>
          <w:rStyle w:val="FootnoteReference"/>
          <w:rtl/>
        </w:rPr>
        <w:footnoteReference w:id="100"/>
      </w:r>
      <w:r>
        <w:rPr>
          <w:rFonts w:hint="cs"/>
          <w:rtl/>
        </w:rPr>
        <w:t xml:space="preserve"> כי היתרונות של יישום מתווה ה-</w:t>
      </w:r>
      <w:r>
        <w:rPr>
          <w:rFonts w:hint="cs"/>
        </w:rPr>
        <w:t>PPP</w:t>
      </w:r>
      <w:r>
        <w:rPr>
          <w:rFonts w:hint="cs"/>
          <w:rtl/>
        </w:rPr>
        <w:t xml:space="preserve"> אינם מובטחים. לדעתו, ראוי לערוך ניתוח מקיף אשר יבדוק אם יש יתרונות ביישום זה, והניתוח ישמש בסיס לקביעה אם שותפות ציבורית-פרטית היא המתאימה בנסיבות הספציפיות. עוד ציין מבקר המדינה של ארה"ב כי יש לבחון כיצד ניתן להשיא את תרומתה של השותפות לציבור. בחינות ההתאמה כוללות הנחות ואומדנים רבים ויש לשקלל אותם בעת ביצוע הבדיקות. היעדר מרכיב אחד אינו צפוי לגרור בהכרח טעות בתוצאה הסופית, אולם אי-שקלול מצטבר של המרכיבים עלול להוביל לתוצאה לא רצויה זו. להלן מרכיבים שלגביהם נמצאו ליקויים בביצוע בדיקות ההתאמה:</w:t>
      </w:r>
    </w:p>
    <w:p w14:paraId="61A5AAF3" w14:textId="77777777" w:rsidR="00823E3A" w:rsidRDefault="00823E3A" w:rsidP="00CE7F3A">
      <w:pPr>
        <w:pStyle w:val="5115"/>
        <w:rPr>
          <w:rtl/>
        </w:rPr>
      </w:pPr>
      <w:r w:rsidRPr="00225D92">
        <w:rPr>
          <w:rFonts w:hint="cs"/>
          <w:rtl/>
        </w:rPr>
        <w:t xml:space="preserve">שימוש בהערכה אינטגרטיבית </w:t>
      </w:r>
    </w:p>
    <w:p w14:paraId="5DD93F30" w14:textId="710EAC15" w:rsidR="00823E3A" w:rsidRDefault="00823E3A" w:rsidP="00CE7F3A">
      <w:pPr>
        <w:pStyle w:val="100"/>
        <w:rPr>
          <w:rtl/>
        </w:rPr>
      </w:pPr>
      <w:r>
        <w:rPr>
          <w:rFonts w:hint="cs"/>
          <w:rtl/>
        </w:rPr>
        <w:t xml:space="preserve">אם </w:t>
      </w:r>
      <w:r w:rsidRPr="003C1E64">
        <w:rPr>
          <w:rFonts w:hint="eastAsia"/>
          <w:rtl/>
        </w:rPr>
        <w:t>פרויקט</w:t>
      </w:r>
      <w:r w:rsidRPr="003C1E64">
        <w:rPr>
          <w:rtl/>
        </w:rPr>
        <w:t xml:space="preserve"> עמד בתנאי הסף</w:t>
      </w:r>
      <w:r>
        <w:rPr>
          <w:rFonts w:hint="cs"/>
          <w:rtl/>
        </w:rPr>
        <w:t>, יש לבצע</w:t>
      </w:r>
      <w:r w:rsidRPr="003C1E64">
        <w:rPr>
          <w:rtl/>
        </w:rPr>
        <w:t xml:space="preserve"> </w:t>
      </w:r>
      <w:r>
        <w:rPr>
          <w:rFonts w:hint="cs"/>
          <w:rtl/>
        </w:rPr>
        <w:t>בחינה פרטנית</w:t>
      </w:r>
      <w:r w:rsidRPr="003C1E64">
        <w:rPr>
          <w:rtl/>
        </w:rPr>
        <w:t xml:space="preserve"> </w:t>
      </w:r>
      <w:r>
        <w:rPr>
          <w:rFonts w:hint="cs"/>
          <w:rtl/>
        </w:rPr>
        <w:t xml:space="preserve">כדי </w:t>
      </w:r>
      <w:r w:rsidRPr="003C1E64">
        <w:rPr>
          <w:rtl/>
        </w:rPr>
        <w:t>לאשש את התאמתו</w:t>
      </w:r>
      <w:r>
        <w:rPr>
          <w:rFonts w:hint="cs"/>
          <w:rtl/>
        </w:rPr>
        <w:t xml:space="preserve"> ליישום המתווה של </w:t>
      </w:r>
      <w:r>
        <w:rPr>
          <w:rFonts w:hint="cs"/>
        </w:rPr>
        <w:t>PPP</w:t>
      </w:r>
      <w:r>
        <w:rPr>
          <w:rFonts w:hint="cs"/>
          <w:rtl/>
        </w:rPr>
        <w:t xml:space="preserve">. כאמור לעיל, הבדיקה מבוססת בדרך כלל על הערכה אינטגרטיבית המשלבת הערכה כמותית ואיכותית. שילוב זה נועד לשפר את מידת הדיוק של התחזית של בחינת </w:t>
      </w:r>
      <w:r w:rsidRPr="00613A36">
        <w:rPr>
          <w:rFonts w:hint="cs"/>
          <w:rtl/>
        </w:rPr>
        <w:t>ההתאמה להקמת פרויקט בשיתוף המגזר הפרטי</w:t>
      </w:r>
      <w:r w:rsidRPr="00613A36">
        <w:rPr>
          <w:rFonts w:hint="cs"/>
        </w:rPr>
        <w:t xml:space="preserve"> </w:t>
      </w:r>
      <w:r w:rsidRPr="00613A36">
        <w:rPr>
          <w:rFonts w:hint="cs"/>
          <w:rtl/>
        </w:rPr>
        <w:t>ולהגדיל את הביטחון בבחירת חלופה זו על פני אחרות</w:t>
      </w:r>
      <w:r>
        <w:rPr>
          <w:rFonts w:hint="cs"/>
          <w:rtl/>
        </w:rPr>
        <w:t>.</w:t>
      </w:r>
    </w:p>
    <w:p w14:paraId="725A07D3" w14:textId="77777777" w:rsidR="00823E3A" w:rsidRDefault="00823E3A" w:rsidP="00CE7F3A">
      <w:pPr>
        <w:pStyle w:val="100"/>
        <w:rPr>
          <w:rtl/>
        </w:rPr>
      </w:pPr>
      <w:r>
        <w:rPr>
          <w:rFonts w:hint="cs"/>
          <w:rtl/>
        </w:rPr>
        <w:t>ההערכה הכמותית נעשית באמצעות מודל פיננסי המכיל הנחות ואומדנים ליצירת השוואה בין תזרימי הפרויקט המהוונים של חלופות הביצוע כדי לבדוק אם יש יתרון ליישום המתווה. ה</w:t>
      </w:r>
      <w:r w:rsidRPr="001A52EC">
        <w:rPr>
          <w:rFonts w:hint="cs"/>
          <w:rtl/>
        </w:rPr>
        <w:t xml:space="preserve">מודל </w:t>
      </w:r>
      <w:r>
        <w:rPr>
          <w:rFonts w:hint="cs"/>
          <w:rtl/>
        </w:rPr>
        <w:t>ה</w:t>
      </w:r>
      <w:r w:rsidRPr="001A52EC">
        <w:rPr>
          <w:rFonts w:hint="cs"/>
          <w:rtl/>
        </w:rPr>
        <w:t>פיננסי מתרגם את כל ההיבטים הייחודים בכל פרויקט ל</w:t>
      </w:r>
      <w:r>
        <w:rPr>
          <w:rFonts w:hint="cs"/>
          <w:rtl/>
        </w:rPr>
        <w:t xml:space="preserve">היבטים </w:t>
      </w:r>
      <w:r w:rsidRPr="001A52EC">
        <w:rPr>
          <w:rFonts w:hint="cs"/>
          <w:rtl/>
        </w:rPr>
        <w:t>מדידים</w:t>
      </w:r>
      <w:r>
        <w:rPr>
          <w:rFonts w:hint="cs"/>
          <w:rtl/>
        </w:rPr>
        <w:t xml:space="preserve"> כדי לאפשר השוואה מתבקשת </w:t>
      </w:r>
      <w:r>
        <w:rPr>
          <w:rtl/>
        </w:rPr>
        <w:t xml:space="preserve">בין </w:t>
      </w:r>
      <w:r>
        <w:rPr>
          <w:rFonts w:hint="cs"/>
          <w:rtl/>
        </w:rPr>
        <w:t>ה</w:t>
      </w:r>
      <w:r w:rsidRPr="003C1E64">
        <w:rPr>
          <w:rtl/>
        </w:rPr>
        <w:t xml:space="preserve">עלויות </w:t>
      </w:r>
      <w:r>
        <w:rPr>
          <w:rFonts w:hint="cs"/>
          <w:rtl/>
        </w:rPr>
        <w:t>ב</w:t>
      </w:r>
      <w:r w:rsidRPr="003C1E64">
        <w:rPr>
          <w:rtl/>
        </w:rPr>
        <w:t>חלופות הביצוע המוצעות.</w:t>
      </w:r>
      <w:r>
        <w:rPr>
          <w:rFonts w:hint="cs"/>
          <w:rtl/>
        </w:rPr>
        <w:t xml:space="preserve"> </w:t>
      </w:r>
      <w:r w:rsidRPr="001A52EC">
        <w:rPr>
          <w:rFonts w:hint="cs"/>
          <w:rtl/>
        </w:rPr>
        <w:t xml:space="preserve">לכן מבצע בדיקת ההתאמה </w:t>
      </w:r>
      <w:r>
        <w:rPr>
          <w:rFonts w:hint="cs"/>
          <w:rtl/>
        </w:rPr>
        <w:t xml:space="preserve">נדרש לעבוד </w:t>
      </w:r>
      <w:r w:rsidRPr="001A52EC">
        <w:rPr>
          <w:rFonts w:hint="cs"/>
          <w:rtl/>
        </w:rPr>
        <w:t xml:space="preserve">בזהירות </w:t>
      </w:r>
      <w:r>
        <w:rPr>
          <w:rFonts w:hint="cs"/>
          <w:rtl/>
        </w:rPr>
        <w:t xml:space="preserve">ולהשתמש </w:t>
      </w:r>
      <w:r w:rsidRPr="001A52EC">
        <w:rPr>
          <w:rFonts w:hint="cs"/>
          <w:rtl/>
        </w:rPr>
        <w:t>בהנחות ו</w:t>
      </w:r>
      <w:r>
        <w:rPr>
          <w:rFonts w:hint="cs"/>
          <w:rtl/>
        </w:rPr>
        <w:t>ב</w:t>
      </w:r>
      <w:r w:rsidRPr="001A52EC">
        <w:rPr>
          <w:rFonts w:hint="cs"/>
          <w:rtl/>
        </w:rPr>
        <w:t>אומדנים סבירים המשקפים ב</w:t>
      </w:r>
      <w:r>
        <w:rPr>
          <w:rFonts w:hint="cs"/>
          <w:rtl/>
        </w:rPr>
        <w:t>דרך</w:t>
      </w:r>
      <w:r w:rsidRPr="001A52EC">
        <w:rPr>
          <w:rFonts w:hint="cs"/>
          <w:rtl/>
        </w:rPr>
        <w:t xml:space="preserve"> הטובה ביותר את המציאות במועד קבלת ההחלטה</w:t>
      </w:r>
      <w:r>
        <w:rPr>
          <w:rFonts w:hint="cs"/>
          <w:rtl/>
        </w:rPr>
        <w:t xml:space="preserve"> על יישום המתווה</w:t>
      </w:r>
      <w:r w:rsidRPr="001A52EC">
        <w:rPr>
          <w:rFonts w:hint="cs"/>
          <w:rtl/>
        </w:rPr>
        <w:t>.</w:t>
      </w:r>
      <w:r>
        <w:rPr>
          <w:rFonts w:hint="cs"/>
          <w:rtl/>
        </w:rPr>
        <w:t xml:space="preserve"> עם זאת,</w:t>
      </w:r>
      <w:r w:rsidRPr="003C1E64">
        <w:rPr>
          <w:rtl/>
        </w:rPr>
        <w:t xml:space="preserve"> </w:t>
      </w:r>
      <w:r>
        <w:rPr>
          <w:rFonts w:hint="cs"/>
          <w:rtl/>
        </w:rPr>
        <w:t>ה</w:t>
      </w:r>
      <w:r w:rsidRPr="003C1E64">
        <w:rPr>
          <w:rtl/>
        </w:rPr>
        <w:t>מודל</w:t>
      </w:r>
      <w:r>
        <w:rPr>
          <w:rFonts w:hint="cs"/>
          <w:rtl/>
        </w:rPr>
        <w:t xml:space="preserve"> הפיננסי</w:t>
      </w:r>
      <w:r w:rsidRPr="003C1E64">
        <w:rPr>
          <w:rtl/>
        </w:rPr>
        <w:t xml:space="preserve"> מוגבל ביכולתו להקיף </w:t>
      </w:r>
      <w:r>
        <w:rPr>
          <w:rtl/>
        </w:rPr>
        <w:t xml:space="preserve">את כל המשתנים המשפיעים על קבלת </w:t>
      </w:r>
      <w:r w:rsidRPr="003C1E64">
        <w:rPr>
          <w:rtl/>
        </w:rPr>
        <w:t>החלטה</w:t>
      </w:r>
      <w:r>
        <w:rPr>
          <w:rFonts w:hint="cs"/>
          <w:rtl/>
        </w:rPr>
        <w:t xml:space="preserve"> זו</w:t>
      </w:r>
      <w:r>
        <w:rPr>
          <w:rtl/>
        </w:rPr>
        <w:t>.</w:t>
      </w:r>
      <w:r w:rsidRPr="001A52EC">
        <w:rPr>
          <w:rFonts w:hint="cs"/>
          <w:rtl/>
        </w:rPr>
        <w:t xml:space="preserve"> </w:t>
      </w:r>
    </w:p>
    <w:p w14:paraId="111F1A6A" w14:textId="77777777" w:rsidR="00823E3A" w:rsidRDefault="00823E3A" w:rsidP="00CE7F3A">
      <w:pPr>
        <w:pStyle w:val="100"/>
        <w:rPr>
          <w:rtl/>
        </w:rPr>
      </w:pPr>
      <w:r w:rsidRPr="003C1E64">
        <w:rPr>
          <w:rtl/>
        </w:rPr>
        <w:t>מ</w:t>
      </w:r>
      <w:r>
        <w:rPr>
          <w:rFonts w:hint="cs"/>
          <w:rtl/>
        </w:rPr>
        <w:t xml:space="preserve">שום כך </w:t>
      </w:r>
      <w:r w:rsidRPr="003C1E64">
        <w:rPr>
          <w:rtl/>
        </w:rPr>
        <w:t>ה</w:t>
      </w:r>
      <w:r w:rsidRPr="003C1E64">
        <w:rPr>
          <w:rFonts w:hint="eastAsia"/>
          <w:rtl/>
        </w:rPr>
        <w:t>ה</w:t>
      </w:r>
      <w:r w:rsidRPr="003C1E64">
        <w:rPr>
          <w:rtl/>
        </w:rPr>
        <w:t xml:space="preserve">ערכה </w:t>
      </w:r>
      <w:r w:rsidRPr="003C1E64">
        <w:rPr>
          <w:rFonts w:hint="eastAsia"/>
          <w:rtl/>
        </w:rPr>
        <w:t>ה</w:t>
      </w:r>
      <w:r w:rsidRPr="003C1E64">
        <w:rPr>
          <w:rtl/>
        </w:rPr>
        <w:t xml:space="preserve">איכותית </w:t>
      </w:r>
      <w:r w:rsidRPr="003C1E64">
        <w:rPr>
          <w:rFonts w:hint="eastAsia"/>
          <w:rtl/>
        </w:rPr>
        <w:t>משמשת</w:t>
      </w:r>
      <w:r w:rsidRPr="003C1E64">
        <w:rPr>
          <w:rtl/>
        </w:rPr>
        <w:t xml:space="preserve"> </w:t>
      </w:r>
      <w:r w:rsidRPr="003C1E64">
        <w:rPr>
          <w:rFonts w:hint="eastAsia"/>
          <w:rtl/>
        </w:rPr>
        <w:t>כ</w:t>
      </w:r>
      <w:r>
        <w:rPr>
          <w:rFonts w:hint="cs"/>
          <w:rtl/>
        </w:rPr>
        <w:t xml:space="preserve">הערכה </w:t>
      </w:r>
      <w:r w:rsidRPr="003C1E64">
        <w:rPr>
          <w:rFonts w:hint="eastAsia"/>
          <w:rtl/>
        </w:rPr>
        <w:t>משלימה</w:t>
      </w:r>
      <w:r w:rsidRPr="003C1E64">
        <w:rPr>
          <w:rtl/>
        </w:rPr>
        <w:t xml:space="preserve"> </w:t>
      </w:r>
      <w:r w:rsidRPr="003C1E64">
        <w:rPr>
          <w:rFonts w:hint="eastAsia"/>
          <w:rtl/>
        </w:rPr>
        <w:t>ובוחנת</w:t>
      </w:r>
      <w:r w:rsidRPr="003C1E64">
        <w:rPr>
          <w:rtl/>
        </w:rPr>
        <w:t xml:space="preserve"> </w:t>
      </w:r>
      <w:r w:rsidRPr="003C1E64">
        <w:rPr>
          <w:rFonts w:hint="eastAsia"/>
          <w:rtl/>
        </w:rPr>
        <w:t>אם</w:t>
      </w:r>
      <w:r w:rsidRPr="003C1E64">
        <w:rPr>
          <w:rtl/>
        </w:rPr>
        <w:t xml:space="preserve"> </w:t>
      </w:r>
      <w:r w:rsidRPr="003C1E64">
        <w:rPr>
          <w:rFonts w:hint="eastAsia"/>
          <w:rtl/>
        </w:rPr>
        <w:t>שותפות</w:t>
      </w:r>
      <w:r w:rsidRPr="003C1E64">
        <w:rPr>
          <w:rtl/>
        </w:rPr>
        <w:t xml:space="preserve"> </w:t>
      </w:r>
      <w:r w:rsidRPr="003C1E64">
        <w:rPr>
          <w:rFonts w:hint="eastAsia"/>
          <w:rtl/>
        </w:rPr>
        <w:t>ציבורית</w:t>
      </w:r>
      <w:r w:rsidRPr="003C1E64">
        <w:rPr>
          <w:rtl/>
        </w:rPr>
        <w:t xml:space="preserve">-פרטית </w:t>
      </w:r>
      <w:r w:rsidRPr="003C1E64">
        <w:rPr>
          <w:rFonts w:hint="eastAsia"/>
          <w:rtl/>
        </w:rPr>
        <w:t>ישימה</w:t>
      </w:r>
      <w:r w:rsidRPr="003C1E64">
        <w:rPr>
          <w:rtl/>
        </w:rPr>
        <w:t xml:space="preserve"> </w:t>
      </w:r>
      <w:r w:rsidRPr="003C1E64">
        <w:rPr>
          <w:rFonts w:hint="eastAsia"/>
          <w:rtl/>
        </w:rPr>
        <w:t>בהתאם</w:t>
      </w:r>
      <w:r w:rsidRPr="003C1E64">
        <w:rPr>
          <w:rtl/>
        </w:rPr>
        <w:t xml:space="preserve"> </w:t>
      </w:r>
      <w:r w:rsidRPr="003C1E64">
        <w:rPr>
          <w:rFonts w:hint="eastAsia"/>
          <w:rtl/>
        </w:rPr>
        <w:t>למאפייני</w:t>
      </w:r>
      <w:r w:rsidRPr="003C1E64">
        <w:rPr>
          <w:rtl/>
        </w:rPr>
        <w:t xml:space="preserve"> </w:t>
      </w:r>
      <w:r w:rsidRPr="003C1E64">
        <w:rPr>
          <w:rFonts w:hint="eastAsia"/>
          <w:rtl/>
        </w:rPr>
        <w:t>הפרויקט</w:t>
      </w:r>
      <w:r w:rsidRPr="003C1E64">
        <w:rPr>
          <w:rtl/>
        </w:rPr>
        <w:t xml:space="preserve"> </w:t>
      </w:r>
      <w:r w:rsidRPr="003C1E64">
        <w:rPr>
          <w:rFonts w:hint="eastAsia"/>
          <w:rtl/>
        </w:rPr>
        <w:t>הייחודיים</w:t>
      </w:r>
      <w:r>
        <w:rPr>
          <w:rFonts w:hint="cs"/>
          <w:rtl/>
        </w:rPr>
        <w:t>. לשם כך נבחנת העמידה של הפרויקט בקריטריונים אובייקטיביים איכותיים המנבאים את מידת ההצלחה של יישום המתווה</w:t>
      </w:r>
      <w:r>
        <w:rPr>
          <w:rStyle w:val="FootnoteReference"/>
          <w:rtl/>
        </w:rPr>
        <w:footnoteReference w:id="101"/>
      </w:r>
      <w:r>
        <w:rPr>
          <w:rFonts w:hint="cs"/>
          <w:rtl/>
        </w:rPr>
        <w:t xml:space="preserve">. </w:t>
      </w:r>
      <w:r w:rsidRPr="003C1E64">
        <w:rPr>
          <w:rFonts w:hint="eastAsia"/>
          <w:rtl/>
        </w:rPr>
        <w:t>הערכה</w:t>
      </w:r>
      <w:r w:rsidRPr="003C1E64">
        <w:rPr>
          <w:rtl/>
        </w:rPr>
        <w:t xml:space="preserve"> </w:t>
      </w:r>
      <w:r w:rsidRPr="003C1E64">
        <w:rPr>
          <w:rFonts w:hint="eastAsia"/>
          <w:rtl/>
        </w:rPr>
        <w:t>זו</w:t>
      </w:r>
      <w:r w:rsidRPr="003C1E64">
        <w:rPr>
          <w:rtl/>
        </w:rPr>
        <w:t xml:space="preserve"> </w:t>
      </w:r>
      <w:r w:rsidRPr="003C1E64">
        <w:rPr>
          <w:rFonts w:hint="eastAsia"/>
          <w:rtl/>
        </w:rPr>
        <w:t>אינה</w:t>
      </w:r>
      <w:r w:rsidRPr="003C1E64">
        <w:rPr>
          <w:rtl/>
        </w:rPr>
        <w:t xml:space="preserve"> </w:t>
      </w:r>
      <w:r w:rsidRPr="003C1E64">
        <w:rPr>
          <w:rFonts w:hint="eastAsia"/>
          <w:rtl/>
        </w:rPr>
        <w:t>דורשת</w:t>
      </w:r>
      <w:r w:rsidRPr="003C1E64">
        <w:rPr>
          <w:rtl/>
        </w:rPr>
        <w:t xml:space="preserve"> </w:t>
      </w:r>
      <w:r w:rsidRPr="003C1E64">
        <w:rPr>
          <w:rFonts w:hint="eastAsia"/>
          <w:rtl/>
        </w:rPr>
        <w:t>ממקבלי</w:t>
      </w:r>
      <w:r w:rsidRPr="003C1E64">
        <w:rPr>
          <w:rtl/>
        </w:rPr>
        <w:t xml:space="preserve"> </w:t>
      </w:r>
      <w:r w:rsidRPr="003C1E64">
        <w:rPr>
          <w:rFonts w:hint="eastAsia"/>
          <w:rtl/>
        </w:rPr>
        <w:t>ההחלטה</w:t>
      </w:r>
      <w:r w:rsidRPr="003C1E64">
        <w:rPr>
          <w:rtl/>
        </w:rPr>
        <w:t xml:space="preserve"> </w:t>
      </w:r>
      <w:r w:rsidRPr="003C1E64">
        <w:rPr>
          <w:rFonts w:hint="eastAsia"/>
          <w:rtl/>
        </w:rPr>
        <w:t>ל</w:t>
      </w:r>
      <w:r>
        <w:rPr>
          <w:rFonts w:hint="cs"/>
          <w:rtl/>
        </w:rPr>
        <w:t xml:space="preserve">השוות </w:t>
      </w:r>
      <w:r w:rsidRPr="003C1E64">
        <w:rPr>
          <w:rFonts w:hint="eastAsia"/>
          <w:rtl/>
        </w:rPr>
        <w:t>בין</w:t>
      </w:r>
      <w:r w:rsidRPr="003C1E64">
        <w:rPr>
          <w:rtl/>
        </w:rPr>
        <w:t xml:space="preserve"> </w:t>
      </w:r>
      <w:r w:rsidRPr="003C1E64">
        <w:rPr>
          <w:rFonts w:hint="eastAsia"/>
          <w:rtl/>
        </w:rPr>
        <w:t>חלופות</w:t>
      </w:r>
      <w:r w:rsidRPr="003C1E64">
        <w:rPr>
          <w:rtl/>
        </w:rPr>
        <w:t xml:space="preserve"> </w:t>
      </w:r>
      <w:r w:rsidRPr="003C1E64">
        <w:rPr>
          <w:rFonts w:hint="eastAsia"/>
          <w:rtl/>
        </w:rPr>
        <w:t>הביצוע</w:t>
      </w:r>
      <w:r w:rsidRPr="003C1E64">
        <w:rPr>
          <w:rtl/>
        </w:rPr>
        <w:t xml:space="preserve"> </w:t>
      </w:r>
      <w:r>
        <w:rPr>
          <w:rFonts w:hint="cs"/>
          <w:rtl/>
        </w:rPr>
        <w:t xml:space="preserve">או לבחון </w:t>
      </w:r>
      <w:r w:rsidRPr="003C1E64">
        <w:rPr>
          <w:rFonts w:hint="eastAsia"/>
          <w:rtl/>
        </w:rPr>
        <w:t>אם</w:t>
      </w:r>
      <w:r w:rsidRPr="003C1E64">
        <w:rPr>
          <w:rtl/>
        </w:rPr>
        <w:t xml:space="preserve"> </w:t>
      </w:r>
      <w:r w:rsidRPr="003C1E64">
        <w:rPr>
          <w:rFonts w:hint="eastAsia"/>
          <w:rtl/>
        </w:rPr>
        <w:t>מתקבלת</w:t>
      </w:r>
      <w:r w:rsidRPr="003C1E64">
        <w:rPr>
          <w:rtl/>
        </w:rPr>
        <w:t xml:space="preserve"> התמורה הטובה ביותר לכסף</w:t>
      </w:r>
      <w:r>
        <w:rPr>
          <w:rStyle w:val="FootnoteReference"/>
          <w:rtl/>
        </w:rPr>
        <w:footnoteReference w:id="102"/>
      </w:r>
      <w:r w:rsidRPr="003C1E64">
        <w:rPr>
          <w:rtl/>
        </w:rPr>
        <w:t>.</w:t>
      </w:r>
      <w:r>
        <w:rPr>
          <w:rFonts w:hint="cs"/>
          <w:rtl/>
        </w:rPr>
        <w:t xml:space="preserve"> </w:t>
      </w:r>
    </w:p>
    <w:p w14:paraId="37D19855" w14:textId="1AA01220" w:rsidR="00823E3A" w:rsidRDefault="00823E3A" w:rsidP="00CE7F3A">
      <w:pPr>
        <w:pStyle w:val="af5"/>
        <w:rPr>
          <w:rtl/>
        </w:rPr>
      </w:pPr>
      <w:r w:rsidRPr="00DA56FD">
        <w:rPr>
          <w:rFonts w:hint="eastAsia"/>
          <w:rtl/>
        </w:rPr>
        <w:lastRenderedPageBreak/>
        <w:t>נמצא</w:t>
      </w:r>
      <w:r w:rsidRPr="00DA56FD">
        <w:rPr>
          <w:rtl/>
        </w:rPr>
        <w:t xml:space="preserve"> כי למרות היתרונות הגלומים בהערכה אינטגרטיבית, </w:t>
      </w:r>
      <w:r w:rsidRPr="00DA56FD">
        <w:rPr>
          <w:rFonts w:hint="eastAsia"/>
          <w:rtl/>
        </w:rPr>
        <w:t>השימוש</w:t>
      </w:r>
      <w:r w:rsidRPr="00DA56FD">
        <w:rPr>
          <w:rtl/>
        </w:rPr>
        <w:t xml:space="preserve"> בה </w:t>
      </w:r>
      <w:r w:rsidRPr="00DA56FD">
        <w:rPr>
          <w:rFonts w:hint="eastAsia"/>
          <w:rtl/>
        </w:rPr>
        <w:t>אינו</w:t>
      </w:r>
      <w:r w:rsidRPr="00DA56FD">
        <w:rPr>
          <w:rtl/>
        </w:rPr>
        <w:t xml:space="preserve"> </w:t>
      </w:r>
      <w:r w:rsidRPr="00DA56FD">
        <w:rPr>
          <w:rFonts w:hint="eastAsia"/>
          <w:rtl/>
        </w:rPr>
        <w:t>סדור</w:t>
      </w:r>
      <w:r>
        <w:rPr>
          <w:rFonts w:hint="cs"/>
          <w:rtl/>
        </w:rPr>
        <w:t>:</w:t>
      </w:r>
      <w:r w:rsidRPr="00DA56FD">
        <w:rPr>
          <w:rtl/>
        </w:rPr>
        <w:t xml:space="preserve"> </w:t>
      </w:r>
      <w:r>
        <w:rPr>
          <w:rFonts w:hint="cs"/>
          <w:rtl/>
        </w:rPr>
        <w:t>ב</w:t>
      </w:r>
      <w:r w:rsidRPr="00DA56FD">
        <w:rPr>
          <w:rFonts w:hint="eastAsia"/>
          <w:rtl/>
        </w:rPr>
        <w:t>חלק</w:t>
      </w:r>
      <w:r w:rsidRPr="00DA56FD">
        <w:rPr>
          <w:rtl/>
        </w:rPr>
        <w:t xml:space="preserve"> מבדיקות ההתאמה </w:t>
      </w:r>
      <w:r>
        <w:rPr>
          <w:rFonts w:hint="cs"/>
          <w:rtl/>
        </w:rPr>
        <w:t>לא נעשתה</w:t>
      </w:r>
      <w:r w:rsidRPr="00DA56FD">
        <w:rPr>
          <w:rtl/>
        </w:rPr>
        <w:t xml:space="preserve"> הערכה כמותית </w:t>
      </w:r>
      <w:r>
        <w:rPr>
          <w:rFonts w:hint="cs"/>
          <w:rtl/>
        </w:rPr>
        <w:t>וב</w:t>
      </w:r>
      <w:r w:rsidRPr="00DA56FD">
        <w:rPr>
          <w:rtl/>
        </w:rPr>
        <w:t xml:space="preserve">אחרות </w:t>
      </w:r>
      <w:r>
        <w:rPr>
          <w:rFonts w:hint="cs"/>
          <w:rtl/>
        </w:rPr>
        <w:t>לא נעשתה</w:t>
      </w:r>
      <w:r w:rsidRPr="00DA56FD">
        <w:rPr>
          <w:rtl/>
        </w:rPr>
        <w:t xml:space="preserve"> הערכה איכותית. </w:t>
      </w:r>
      <w:r>
        <w:rPr>
          <w:rFonts w:hint="cs"/>
          <w:rtl/>
        </w:rPr>
        <w:t>אם כן,</w:t>
      </w:r>
      <w:r w:rsidRPr="00DA56FD">
        <w:rPr>
          <w:rtl/>
        </w:rPr>
        <w:t xml:space="preserve"> לא בכל בדיקות ההתאמה </w:t>
      </w:r>
      <w:r>
        <w:rPr>
          <w:rFonts w:hint="cs"/>
          <w:rtl/>
        </w:rPr>
        <w:t xml:space="preserve">נעשית </w:t>
      </w:r>
      <w:r w:rsidRPr="00DA56FD">
        <w:rPr>
          <w:rtl/>
        </w:rPr>
        <w:t>השוואה בין חלופות ביצוע אפשריות להקמת הפרויקט. כך נמנעת היכולת להעריך את ה</w:t>
      </w:r>
      <w:r w:rsidRPr="00DA56FD">
        <w:rPr>
          <w:rFonts w:hint="eastAsia"/>
          <w:rtl/>
        </w:rPr>
        <w:t>יתרונות</w:t>
      </w:r>
      <w:r w:rsidRPr="00DA56FD">
        <w:rPr>
          <w:rtl/>
        </w:rPr>
        <w:t xml:space="preserve"> ו</w:t>
      </w:r>
      <w:r w:rsidRPr="00DA56FD">
        <w:rPr>
          <w:rFonts w:hint="eastAsia"/>
          <w:rtl/>
        </w:rPr>
        <w:t>החסרונות</w:t>
      </w:r>
      <w:r w:rsidRPr="00DA56FD">
        <w:rPr>
          <w:rtl/>
        </w:rPr>
        <w:t xml:space="preserve"> </w:t>
      </w:r>
      <w:r w:rsidRPr="00DA56FD">
        <w:rPr>
          <w:rFonts w:hint="eastAsia"/>
          <w:rtl/>
        </w:rPr>
        <w:t>של</w:t>
      </w:r>
      <w:r w:rsidRPr="00DA56FD">
        <w:rPr>
          <w:rtl/>
        </w:rPr>
        <w:t xml:space="preserve"> </w:t>
      </w:r>
      <w:r w:rsidRPr="00DA56FD">
        <w:rPr>
          <w:rFonts w:hint="eastAsia"/>
          <w:rtl/>
        </w:rPr>
        <w:t>הקמת</w:t>
      </w:r>
      <w:r w:rsidRPr="00DA56FD">
        <w:rPr>
          <w:rtl/>
        </w:rPr>
        <w:t xml:space="preserve"> </w:t>
      </w:r>
      <w:r w:rsidRPr="00DA56FD">
        <w:rPr>
          <w:rFonts w:hint="eastAsia"/>
          <w:rtl/>
        </w:rPr>
        <w:t>הפרויקט</w:t>
      </w:r>
      <w:r w:rsidRPr="00DA56FD">
        <w:rPr>
          <w:rtl/>
        </w:rPr>
        <w:t xml:space="preserve"> </w:t>
      </w:r>
      <w:r w:rsidRPr="00DA56FD">
        <w:rPr>
          <w:rFonts w:hint="eastAsia"/>
          <w:rtl/>
        </w:rPr>
        <w:t>בחלופות</w:t>
      </w:r>
      <w:r w:rsidRPr="00DA56FD">
        <w:rPr>
          <w:rtl/>
        </w:rPr>
        <w:t xml:space="preserve"> </w:t>
      </w:r>
      <w:r w:rsidRPr="00DA56FD">
        <w:rPr>
          <w:rFonts w:hint="eastAsia"/>
          <w:rtl/>
        </w:rPr>
        <w:t>המוצעות</w:t>
      </w:r>
      <w:r w:rsidRPr="00DA56FD">
        <w:rPr>
          <w:rtl/>
        </w:rPr>
        <w:t xml:space="preserve"> </w:t>
      </w:r>
      <w:r w:rsidRPr="00DA56FD">
        <w:rPr>
          <w:rFonts w:hint="eastAsia"/>
          <w:rtl/>
        </w:rPr>
        <w:t>ולבחור</w:t>
      </w:r>
      <w:r w:rsidRPr="00DA56FD">
        <w:rPr>
          <w:rtl/>
        </w:rPr>
        <w:t xml:space="preserve"> </w:t>
      </w:r>
      <w:r w:rsidRPr="00DA56FD">
        <w:rPr>
          <w:rFonts w:hint="eastAsia"/>
          <w:rtl/>
        </w:rPr>
        <w:t>בחלופה</w:t>
      </w:r>
      <w:r w:rsidRPr="00DA56FD">
        <w:rPr>
          <w:rtl/>
        </w:rPr>
        <w:t xml:space="preserve"> </w:t>
      </w:r>
      <w:r w:rsidRPr="00DA56FD">
        <w:rPr>
          <w:rFonts w:hint="eastAsia"/>
          <w:rtl/>
        </w:rPr>
        <w:t>המיטבית</w:t>
      </w:r>
      <w:r w:rsidRPr="00DA56FD">
        <w:rPr>
          <w:rtl/>
        </w:rPr>
        <w:t xml:space="preserve"> </w:t>
      </w:r>
      <w:r w:rsidRPr="00DA56FD">
        <w:rPr>
          <w:rFonts w:hint="eastAsia"/>
          <w:rtl/>
        </w:rPr>
        <w:t>עבור</w:t>
      </w:r>
      <w:r w:rsidRPr="00DA56FD">
        <w:rPr>
          <w:rtl/>
        </w:rPr>
        <w:t xml:space="preserve"> </w:t>
      </w:r>
      <w:r w:rsidRPr="00DA56FD">
        <w:rPr>
          <w:rFonts w:hint="eastAsia"/>
          <w:rtl/>
        </w:rPr>
        <w:t>כל</w:t>
      </w:r>
      <w:r w:rsidRPr="00DA56FD">
        <w:rPr>
          <w:rtl/>
        </w:rPr>
        <w:t xml:space="preserve"> </w:t>
      </w:r>
      <w:r w:rsidRPr="00DA56FD">
        <w:rPr>
          <w:rFonts w:hint="eastAsia"/>
          <w:rtl/>
        </w:rPr>
        <w:t>פרויקט</w:t>
      </w:r>
      <w:r w:rsidRPr="00DA56FD">
        <w:rPr>
          <w:rtl/>
        </w:rPr>
        <w:t>.</w:t>
      </w:r>
    </w:p>
    <w:p w14:paraId="7ECDC5A6" w14:textId="77777777" w:rsidR="00823E3A" w:rsidRPr="00613A36" w:rsidRDefault="00823E3A" w:rsidP="00AE32D5">
      <w:pPr>
        <w:pStyle w:val="100"/>
        <w:rPr>
          <w:rtl/>
        </w:rPr>
      </w:pPr>
      <w:r>
        <w:rPr>
          <w:rtl/>
        </w:rPr>
        <w:t xml:space="preserve">להלן </w:t>
      </w:r>
      <w:r w:rsidRPr="00613A36">
        <w:rPr>
          <w:rtl/>
        </w:rPr>
        <w:t xml:space="preserve">דוגמאות </w:t>
      </w:r>
      <w:r>
        <w:rPr>
          <w:rFonts w:hint="cs"/>
          <w:rtl/>
        </w:rPr>
        <w:t xml:space="preserve">אחדות </w:t>
      </w:r>
      <w:r w:rsidRPr="00613A36">
        <w:rPr>
          <w:rtl/>
        </w:rPr>
        <w:t xml:space="preserve">לבדיקות </w:t>
      </w:r>
      <w:r w:rsidRPr="00613A36">
        <w:rPr>
          <w:rFonts w:hint="eastAsia"/>
          <w:rtl/>
        </w:rPr>
        <w:t>חלקיות</w:t>
      </w:r>
      <w:r w:rsidRPr="00613A36">
        <w:rPr>
          <w:rFonts w:hint="cs"/>
          <w:rtl/>
        </w:rPr>
        <w:t xml:space="preserve"> שבוצעו:</w:t>
      </w:r>
    </w:p>
    <w:p w14:paraId="0CC172F0" w14:textId="77777777" w:rsidR="00823E3A" w:rsidRPr="00AB1331" w:rsidRDefault="00823E3A" w:rsidP="00AE32D5">
      <w:pPr>
        <w:pStyle w:val="a3"/>
        <w:numPr>
          <w:ilvl w:val="0"/>
          <w:numId w:val="38"/>
        </w:numPr>
        <w:rPr>
          <w:rtl/>
        </w:rPr>
      </w:pPr>
      <w:r w:rsidRPr="00AE32D5">
        <w:rPr>
          <w:rStyle w:val="Heading6Char"/>
          <w:rFonts w:hint="eastAsia"/>
          <w:color w:val="387026"/>
          <w:spacing w:val="0"/>
          <w:rtl/>
        </w:rPr>
        <w:t>מנהלת</w:t>
      </w:r>
      <w:r w:rsidRPr="00AE32D5">
        <w:rPr>
          <w:rStyle w:val="Heading6Char"/>
          <w:color w:val="387026"/>
          <w:spacing w:val="0"/>
          <w:rtl/>
        </w:rPr>
        <w:t xml:space="preserve"> </w:t>
      </w:r>
      <w:r w:rsidRPr="00AE32D5">
        <w:rPr>
          <w:rStyle w:val="Heading6Char"/>
          <w:rFonts w:hint="eastAsia"/>
          <w:color w:val="387026"/>
          <w:spacing w:val="0"/>
          <w:rtl/>
        </w:rPr>
        <w:t>הבינוי</w:t>
      </w:r>
      <w:r w:rsidRPr="00AE32D5">
        <w:rPr>
          <w:rStyle w:val="Heading6Char"/>
          <w:color w:val="387026"/>
          <w:spacing w:val="0"/>
          <w:rtl/>
        </w:rPr>
        <w:t>:</w:t>
      </w:r>
      <w:r w:rsidRPr="00AE32D5">
        <w:rPr>
          <w:color w:val="387026"/>
          <w:rtl/>
        </w:rPr>
        <w:t xml:space="preserve"> </w:t>
      </w:r>
      <w:r w:rsidRPr="00AB1331">
        <w:rPr>
          <w:rtl/>
        </w:rPr>
        <w:t>בדיקת</w:t>
      </w:r>
      <w:r w:rsidRPr="00AB1331">
        <w:rPr>
          <w:rFonts w:hint="eastAsia"/>
          <w:rtl/>
        </w:rPr>
        <w:t>ו</w:t>
      </w:r>
      <w:r w:rsidRPr="00AB1331">
        <w:rPr>
          <w:rtl/>
        </w:rPr>
        <w:t xml:space="preserve"> </w:t>
      </w:r>
      <w:r w:rsidRPr="00AB1331">
        <w:rPr>
          <w:rFonts w:hint="eastAsia"/>
          <w:rtl/>
        </w:rPr>
        <w:t>של</w:t>
      </w:r>
      <w:r w:rsidRPr="00AB1331">
        <w:rPr>
          <w:rtl/>
        </w:rPr>
        <w:t xml:space="preserve"> משרד מבקר המדינה העלתה כי </w:t>
      </w:r>
      <w:r w:rsidRPr="00AB1331">
        <w:rPr>
          <w:rFonts w:hint="eastAsia"/>
          <w:rtl/>
        </w:rPr>
        <w:t>בכל</w:t>
      </w:r>
      <w:r w:rsidRPr="00AB1331">
        <w:rPr>
          <w:rtl/>
        </w:rPr>
        <w:t xml:space="preserve"> 21 </w:t>
      </w:r>
      <w:r w:rsidRPr="00AB1331">
        <w:rPr>
          <w:rFonts w:hint="eastAsia"/>
          <w:rtl/>
        </w:rPr>
        <w:t>הפרויקטים</w:t>
      </w:r>
      <w:r w:rsidRPr="00AB1331">
        <w:rPr>
          <w:rtl/>
        </w:rPr>
        <w:t xml:space="preserve"> </w:t>
      </w:r>
      <w:r w:rsidRPr="00AB1331">
        <w:rPr>
          <w:rFonts w:hint="eastAsia"/>
          <w:rtl/>
        </w:rPr>
        <w:t>שקידמה</w:t>
      </w:r>
      <w:r w:rsidRPr="00AB1331">
        <w:rPr>
          <w:rtl/>
        </w:rPr>
        <w:t xml:space="preserve"> </w:t>
      </w:r>
      <w:r w:rsidRPr="00AB1331">
        <w:rPr>
          <w:rFonts w:hint="eastAsia"/>
          <w:rtl/>
        </w:rPr>
        <w:t>מנהלת</w:t>
      </w:r>
      <w:r w:rsidRPr="00AB1331">
        <w:rPr>
          <w:rtl/>
        </w:rPr>
        <w:t xml:space="preserve"> </w:t>
      </w:r>
      <w:r w:rsidRPr="00AB1331">
        <w:rPr>
          <w:rFonts w:hint="eastAsia"/>
          <w:rtl/>
        </w:rPr>
        <w:t>הבינוי</w:t>
      </w:r>
      <w:r w:rsidRPr="00AB1331">
        <w:rPr>
          <w:rtl/>
        </w:rPr>
        <w:t xml:space="preserve"> </w:t>
      </w:r>
      <w:r w:rsidRPr="00AB1331">
        <w:rPr>
          <w:rFonts w:hint="eastAsia"/>
          <w:rtl/>
        </w:rPr>
        <w:t>נעשו</w:t>
      </w:r>
      <w:r w:rsidRPr="00AB1331">
        <w:rPr>
          <w:rtl/>
        </w:rPr>
        <w:t xml:space="preserve"> </w:t>
      </w:r>
      <w:r w:rsidRPr="00AB1331">
        <w:rPr>
          <w:rFonts w:hint="eastAsia"/>
          <w:rtl/>
        </w:rPr>
        <w:t>בדיקות</w:t>
      </w:r>
      <w:r w:rsidRPr="00AB1331">
        <w:rPr>
          <w:rtl/>
        </w:rPr>
        <w:t xml:space="preserve"> ההתאמה </w:t>
      </w:r>
      <w:r w:rsidRPr="00AB1331">
        <w:rPr>
          <w:rFonts w:hint="eastAsia"/>
          <w:rtl/>
        </w:rPr>
        <w:t>על</w:t>
      </w:r>
      <w:r w:rsidRPr="00AB1331">
        <w:rPr>
          <w:rtl/>
        </w:rPr>
        <w:t xml:space="preserve"> </w:t>
      </w:r>
      <w:r w:rsidRPr="00AB1331">
        <w:rPr>
          <w:rFonts w:hint="eastAsia"/>
          <w:rtl/>
        </w:rPr>
        <w:t>פי</w:t>
      </w:r>
      <w:r w:rsidRPr="00AB1331">
        <w:rPr>
          <w:rtl/>
        </w:rPr>
        <w:t xml:space="preserve"> </w:t>
      </w:r>
      <w:r w:rsidRPr="00AB1331">
        <w:rPr>
          <w:rFonts w:hint="eastAsia"/>
          <w:rtl/>
        </w:rPr>
        <w:t>הערכה</w:t>
      </w:r>
      <w:r w:rsidRPr="00AB1331">
        <w:rPr>
          <w:rtl/>
        </w:rPr>
        <w:t xml:space="preserve"> </w:t>
      </w:r>
      <w:r w:rsidRPr="00AB1331">
        <w:rPr>
          <w:rFonts w:hint="eastAsia"/>
          <w:rtl/>
        </w:rPr>
        <w:t>כמותית</w:t>
      </w:r>
      <w:r w:rsidRPr="00AB1331">
        <w:rPr>
          <w:rtl/>
        </w:rPr>
        <w:t xml:space="preserve"> </w:t>
      </w:r>
      <w:r w:rsidRPr="00AB1331">
        <w:rPr>
          <w:rFonts w:hint="eastAsia"/>
          <w:rtl/>
        </w:rPr>
        <w:t>בלבד</w:t>
      </w:r>
      <w:r w:rsidRPr="00AB1331">
        <w:rPr>
          <w:rtl/>
        </w:rPr>
        <w:t xml:space="preserve">. </w:t>
      </w:r>
      <w:r w:rsidRPr="00AB1331">
        <w:rPr>
          <w:rFonts w:hint="eastAsia"/>
          <w:rtl/>
        </w:rPr>
        <w:t>בהיעדר</w:t>
      </w:r>
      <w:r w:rsidRPr="00AB1331">
        <w:rPr>
          <w:rtl/>
        </w:rPr>
        <w:t xml:space="preserve"> הערכה איכותית </w:t>
      </w:r>
      <w:r w:rsidRPr="00AB1331">
        <w:rPr>
          <w:rFonts w:hint="eastAsia"/>
          <w:rtl/>
        </w:rPr>
        <w:t>פרטנית</w:t>
      </w:r>
      <w:r w:rsidRPr="00AB1331">
        <w:rPr>
          <w:rtl/>
        </w:rPr>
        <w:t xml:space="preserve"> </w:t>
      </w:r>
      <w:r w:rsidRPr="00AB1331">
        <w:rPr>
          <w:rFonts w:hint="eastAsia"/>
          <w:rtl/>
        </w:rPr>
        <w:t>בולט</w:t>
      </w:r>
      <w:r w:rsidRPr="00AB1331">
        <w:rPr>
          <w:rtl/>
        </w:rPr>
        <w:t xml:space="preserve"> </w:t>
      </w:r>
      <w:r w:rsidRPr="00AB1331">
        <w:rPr>
          <w:rFonts w:hint="eastAsia"/>
          <w:rtl/>
        </w:rPr>
        <w:t>חסרונה</w:t>
      </w:r>
      <w:r w:rsidRPr="00AB1331">
        <w:rPr>
          <w:rtl/>
        </w:rPr>
        <w:t xml:space="preserve"> </w:t>
      </w:r>
      <w:r w:rsidRPr="00AB1331">
        <w:rPr>
          <w:rFonts w:hint="eastAsia"/>
          <w:rtl/>
        </w:rPr>
        <w:t>של</w:t>
      </w:r>
      <w:r w:rsidRPr="00AB1331">
        <w:rPr>
          <w:rtl/>
        </w:rPr>
        <w:t xml:space="preserve"> </w:t>
      </w:r>
      <w:r w:rsidRPr="00AB1331">
        <w:rPr>
          <w:rFonts w:hint="eastAsia"/>
          <w:rtl/>
        </w:rPr>
        <w:t>ההתייחסות</w:t>
      </w:r>
      <w:r w:rsidRPr="00AB1331">
        <w:rPr>
          <w:rtl/>
        </w:rPr>
        <w:t xml:space="preserve"> </w:t>
      </w:r>
      <w:r w:rsidRPr="00AB1331">
        <w:rPr>
          <w:rFonts w:hint="eastAsia"/>
          <w:rtl/>
        </w:rPr>
        <w:t>להקצאת</w:t>
      </w:r>
      <w:r w:rsidRPr="00AB1331">
        <w:rPr>
          <w:rtl/>
        </w:rPr>
        <w:t xml:space="preserve"> </w:t>
      </w:r>
      <w:r w:rsidRPr="00AB1331">
        <w:rPr>
          <w:rFonts w:hint="eastAsia"/>
          <w:rtl/>
        </w:rPr>
        <w:t>הסיכונים</w:t>
      </w:r>
      <w:r w:rsidRPr="00AB1331">
        <w:rPr>
          <w:rtl/>
        </w:rPr>
        <w:t xml:space="preserve">, </w:t>
      </w:r>
      <w:r w:rsidRPr="00AB1331">
        <w:rPr>
          <w:rFonts w:hint="eastAsia"/>
          <w:rtl/>
        </w:rPr>
        <w:t>להיבטי</w:t>
      </w:r>
      <w:r w:rsidRPr="00AB1331">
        <w:rPr>
          <w:rtl/>
        </w:rPr>
        <w:t xml:space="preserve"> </w:t>
      </w:r>
      <w:r w:rsidRPr="00AB1331">
        <w:rPr>
          <w:rFonts w:hint="eastAsia"/>
          <w:rtl/>
        </w:rPr>
        <w:t>תחרות</w:t>
      </w:r>
      <w:r w:rsidRPr="00AB1331">
        <w:rPr>
          <w:rtl/>
        </w:rPr>
        <w:t xml:space="preserve"> וליתר תנאי הסף המצדיקים הקמת </w:t>
      </w:r>
      <w:r w:rsidRPr="00AB1331">
        <w:rPr>
          <w:rFonts w:hint="eastAsia"/>
          <w:rtl/>
        </w:rPr>
        <w:t>פרויקט</w:t>
      </w:r>
      <w:r w:rsidRPr="00AB1331">
        <w:rPr>
          <w:rtl/>
        </w:rPr>
        <w:t xml:space="preserve"> במתווה של שיתוף המגזר הפרטי. </w:t>
      </w:r>
    </w:p>
    <w:p w14:paraId="1AA91213" w14:textId="77777777" w:rsidR="00823E3A" w:rsidRDefault="00823E3A" w:rsidP="00AE32D5">
      <w:pPr>
        <w:pStyle w:val="af4"/>
        <w:rPr>
          <w:rtl/>
        </w:rPr>
      </w:pPr>
      <w:r>
        <w:rPr>
          <w:rFonts w:hint="cs"/>
          <w:rtl/>
        </w:rPr>
        <w:t>נוסף על כך נמצא כי הבדיקות של המנהלת חסרות מרכיב השוואתי לחלופות ביצוע אפשריות</w:t>
      </w:r>
      <w:r>
        <w:rPr>
          <w:rStyle w:val="FootnoteReference"/>
          <w:rtl/>
        </w:rPr>
        <w:footnoteReference w:id="103"/>
      </w:r>
      <w:r>
        <w:rPr>
          <w:rFonts w:hint="cs"/>
          <w:rtl/>
        </w:rPr>
        <w:t>. בתשובתה של מנהלת הבינוי נאמר כי החלופות הקיימות למתווה ה-</w:t>
      </w:r>
      <w:r>
        <w:rPr>
          <w:rFonts w:hint="cs"/>
        </w:rPr>
        <w:t>PPP</w:t>
      </w:r>
      <w:r>
        <w:rPr>
          <w:rFonts w:hint="cs"/>
          <w:rtl/>
        </w:rPr>
        <w:t xml:space="preserve"> הן הקמת הפרויקטים בשיטה התקציבית או שכירת מבנים. עם זאת, מאחר שהחלופה התקציבית אינה ישימה מבחינת המדיניות והמשאבים, בדיקות ההתאמה נעשות לעומת חלופת השכירות, הנחותה מבחינה כלכלית.</w:t>
      </w:r>
    </w:p>
    <w:p w14:paraId="63272D9B" w14:textId="54FB66F8" w:rsidR="00823E3A" w:rsidRDefault="00823E3A" w:rsidP="00823E3A">
      <w:pPr>
        <w:pStyle w:val="aff8"/>
        <w:spacing w:line="269" w:lineRule="auto"/>
        <w:rPr>
          <w:rtl/>
        </w:rPr>
      </w:pPr>
    </w:p>
    <w:p w14:paraId="710D70D1" w14:textId="77777777" w:rsidR="00823E3A" w:rsidRPr="00CC4CB9" w:rsidRDefault="00823E3A" w:rsidP="00AE32D5">
      <w:pPr>
        <w:pStyle w:val="ae"/>
        <w:rPr>
          <w:rtl/>
        </w:rPr>
      </w:pPr>
      <w:r>
        <w:rPr>
          <w:rFonts w:hint="cs"/>
          <w:rtl/>
        </w:rPr>
        <w:t>משרד מבקר המדינה מדגיש כי השוואה בין חלופות ביצוע אפשריות היא מרכיב חשוב בקבלת ההחלטה על יישום מתווה ה-</w:t>
      </w:r>
      <w:r>
        <w:rPr>
          <w:rFonts w:hint="cs"/>
        </w:rPr>
        <w:t>PPP</w:t>
      </w:r>
      <w:r>
        <w:rPr>
          <w:rFonts w:hint="cs"/>
          <w:rtl/>
        </w:rPr>
        <w:t xml:space="preserve"> ובמניעת בחירתו מתוך שיקולי תקציב גרידא, לכן מומלץ להקפיד על ההשוואה בבדיקות ההתאמה. יתרה מזו, השוואה לחלופות נחותות מבחינה כלכלית בלבד עלולה להטות את שיקול הדעת של מקבלי ההחלטות. על כן ראוי להציג את עלות החלופה התקציבית ולו למטרת הצגת אומדן ראוי לעלות חלופית כאשר קיים מקור תקציבי.</w:t>
      </w:r>
    </w:p>
    <w:p w14:paraId="2BADF624" w14:textId="3A4FC6DA" w:rsidR="00823E3A" w:rsidRDefault="00823E3A" w:rsidP="00823E3A">
      <w:pPr>
        <w:pStyle w:val="aff8"/>
        <w:spacing w:line="269" w:lineRule="auto"/>
        <w:rPr>
          <w:rtl/>
        </w:rPr>
      </w:pPr>
    </w:p>
    <w:p w14:paraId="4BC8926D" w14:textId="77777777" w:rsidR="00823E3A" w:rsidRDefault="00823E3A" w:rsidP="00AE32D5">
      <w:pPr>
        <w:pStyle w:val="a3"/>
      </w:pPr>
      <w:r w:rsidRPr="00AE32D5">
        <w:rPr>
          <w:rStyle w:val="Heading6Char"/>
          <w:rFonts w:hint="eastAsia"/>
          <w:color w:val="387026"/>
          <w:spacing w:val="0"/>
          <w:rtl/>
        </w:rPr>
        <w:t>משרד</w:t>
      </w:r>
      <w:r w:rsidRPr="00AE32D5">
        <w:rPr>
          <w:rStyle w:val="Heading6Char"/>
          <w:color w:val="387026"/>
          <w:spacing w:val="0"/>
          <w:rtl/>
        </w:rPr>
        <w:t xml:space="preserve"> </w:t>
      </w:r>
      <w:r w:rsidRPr="00AE32D5">
        <w:rPr>
          <w:rStyle w:val="Heading6Char"/>
          <w:rFonts w:hint="eastAsia"/>
          <w:color w:val="387026"/>
          <w:spacing w:val="0"/>
          <w:rtl/>
        </w:rPr>
        <w:t>הביטחון</w:t>
      </w:r>
      <w:r w:rsidRPr="00AE32D5">
        <w:rPr>
          <w:rStyle w:val="Heading6Char"/>
          <w:color w:val="387026"/>
          <w:spacing w:val="0"/>
          <w:rtl/>
        </w:rPr>
        <w:t>:</w:t>
      </w:r>
      <w:r w:rsidRPr="00AE32D5">
        <w:rPr>
          <w:rFonts w:hint="cs"/>
          <w:color w:val="387026"/>
          <w:rtl/>
        </w:rPr>
        <w:t xml:space="preserve"> </w:t>
      </w:r>
      <w:r>
        <w:rPr>
          <w:rFonts w:hint="cs"/>
          <w:rtl/>
        </w:rPr>
        <w:t>בדיקתו של משרד מבקר המדינה העלתה כי שלוש מתוך חמש בדיקות ההתאמה עבור פרויקטים שמקדם המשרד אינן מבטאות את התמורות הגלומות בחלופות הביצוע האחרות ואינן דנות בשיטת הביצוע העדיפה. בפרט, בשתיים מתוך שלוש הבדיקות שלעיל הוצג החיסכון הצפוי מהקמת הפרויקט בלא שיקוף ההבדלים בין חלופות הביצוע</w:t>
      </w:r>
      <w:r>
        <w:rPr>
          <w:rStyle w:val="FootnoteReference"/>
          <w:rtl/>
        </w:rPr>
        <w:footnoteReference w:id="104"/>
      </w:r>
      <w:r>
        <w:rPr>
          <w:rFonts w:hint="cs"/>
          <w:rtl/>
        </w:rPr>
        <w:t>, ובדיקה אחרת התמקדה בתועלות של הקמת הפרויקט במתווה ה-</w:t>
      </w:r>
      <w:r>
        <w:rPr>
          <w:rFonts w:hint="cs"/>
        </w:rPr>
        <w:t>PPP</w:t>
      </w:r>
      <w:r>
        <w:rPr>
          <w:rFonts w:hint="cs"/>
          <w:rtl/>
        </w:rPr>
        <w:t xml:space="preserve"> ללא התייחסות למשמעויות הנגזרות מהקמת הפרויקט בחלופות ביצוע שונות ובלא לבצע הערכה כמותית, שלה חשיבות רבה בקבלת ההחלטה</w:t>
      </w:r>
      <w:r>
        <w:rPr>
          <w:rStyle w:val="FootnoteReference"/>
          <w:rtl/>
        </w:rPr>
        <w:footnoteReference w:id="105"/>
      </w:r>
      <w:r>
        <w:rPr>
          <w:rFonts w:hint="cs"/>
          <w:rtl/>
        </w:rPr>
        <w:t xml:space="preserve">. </w:t>
      </w:r>
    </w:p>
    <w:p w14:paraId="4E0457B1" w14:textId="77777777" w:rsidR="00823E3A" w:rsidRDefault="00823E3A" w:rsidP="00AE32D5">
      <w:pPr>
        <w:pStyle w:val="af4"/>
        <w:rPr>
          <w:rtl/>
        </w:rPr>
      </w:pPr>
      <w:r>
        <w:rPr>
          <w:rFonts w:hint="cs"/>
          <w:rtl/>
        </w:rPr>
        <w:lastRenderedPageBreak/>
        <w:t>על שאלתם של נציגי צוות הביקורת השיב נציג משרד הביטחון כי חישוב העלויות מבוסס על השיטה התקציבית, וכי נעשתה הערכה כמותית נוסף על ההערכה האיכותית עבור בדיקת התאמה זו, ואולם בפועל נמצא כי אין תיעוד לביצוע בדיקה כאמור.</w:t>
      </w:r>
    </w:p>
    <w:p w14:paraId="31292FE5" w14:textId="77777777" w:rsidR="00823E3A" w:rsidRDefault="00823E3A" w:rsidP="00AE32D5">
      <w:pPr>
        <w:pStyle w:val="ae"/>
        <w:rPr>
          <w:rtl/>
        </w:rPr>
      </w:pPr>
      <w:r>
        <w:rPr>
          <w:rFonts w:hint="cs"/>
          <w:rtl/>
        </w:rPr>
        <w:t>אי שימוש בהערכה איכותית ובמרכיב השוואתי באופן סדור מחטיא את מטרת הבדיקה ועלול להוביל להטיית שיקול הדעת בבחירת חלופת הביצוע הראויה</w:t>
      </w:r>
      <w:r w:rsidRPr="00D17F6E">
        <w:rPr>
          <w:rFonts w:hint="cs"/>
          <w:rtl/>
        </w:rPr>
        <w:t xml:space="preserve"> להקמת הפרויקט לאחר שהוכחה כדאיותו. על בדיקות ההתאמה להשוות בין חלופות ביצוע </w:t>
      </w:r>
      <w:r>
        <w:rPr>
          <w:rFonts w:hint="cs"/>
          <w:rtl/>
        </w:rPr>
        <w:t xml:space="preserve">אפשריות כדי לאמוד את טיבה של </w:t>
      </w:r>
      <w:r w:rsidRPr="00D17F6E">
        <w:rPr>
          <w:rFonts w:hint="cs"/>
          <w:rtl/>
        </w:rPr>
        <w:t xml:space="preserve">הקמת הפרויקט בשיתוף המגזר הפרטי </w:t>
      </w:r>
      <w:r>
        <w:rPr>
          <w:rFonts w:hint="cs"/>
          <w:rtl/>
        </w:rPr>
        <w:t>ולבסס את הבחירה בחלופה זו.</w:t>
      </w:r>
      <w:r w:rsidRPr="00D17F6E">
        <w:rPr>
          <w:rFonts w:hint="cs"/>
          <w:rtl/>
        </w:rPr>
        <w:t xml:space="preserve"> </w:t>
      </w:r>
    </w:p>
    <w:p w14:paraId="0CA73593" w14:textId="77777777" w:rsidR="00823E3A" w:rsidRDefault="00823E3A" w:rsidP="00AE32D5">
      <w:pPr>
        <w:pStyle w:val="5115"/>
        <w:rPr>
          <w:rtl/>
        </w:rPr>
      </w:pPr>
      <w:r w:rsidRPr="006B676C">
        <w:rPr>
          <w:rFonts w:hint="eastAsia"/>
          <w:rtl/>
        </w:rPr>
        <w:t>קביעת</w:t>
      </w:r>
      <w:r w:rsidRPr="006B676C">
        <w:rPr>
          <w:rtl/>
        </w:rPr>
        <w:t xml:space="preserve"> מקדם התייעלות</w:t>
      </w:r>
    </w:p>
    <w:p w14:paraId="0B811086" w14:textId="77777777" w:rsidR="00823E3A" w:rsidRDefault="00823E3A" w:rsidP="00AE32D5">
      <w:pPr>
        <w:pStyle w:val="100"/>
        <w:rPr>
          <w:rtl/>
        </w:rPr>
      </w:pPr>
      <w:r>
        <w:rPr>
          <w:rFonts w:hint="cs"/>
          <w:rtl/>
        </w:rPr>
        <w:t xml:space="preserve">מקדם התייעלות מבטא את יתרונות הביצוע של הפרויקט ביחס לחלופות ביצוע אחרות. כלי זה נועד לשקף את שיעור החיסכון הצפוי להיווצר בעקבות הקמת פרויקט במתווה של </w:t>
      </w:r>
      <w:r>
        <w:rPr>
          <w:rFonts w:hint="cs"/>
        </w:rPr>
        <w:t>PPP</w:t>
      </w:r>
      <w:r>
        <w:rPr>
          <w:rFonts w:hint="cs"/>
          <w:rtl/>
        </w:rPr>
        <w:t xml:space="preserve">. יישומו נוגע הן לשלב ההקמה והן לשלב התפעול והתחזוקה. פוטנציאל החיסכון בשלב הראשון נובע בעיקר מחדשנות ומשימוש בטכנולוגיה מתקדמת המצויה בידי המגזר הפרטי. החיסכון מותנה בשילוב הון פרטי ובתמיכתן של תקנות התכנון והרכש המקומי במימוש החדשנות המוצעת. עם זאת, ארגון </w:t>
      </w:r>
      <w:r>
        <w:rPr>
          <w:rFonts w:hint="cs"/>
        </w:rPr>
        <w:t>OECD</w:t>
      </w:r>
      <w:r>
        <w:rPr>
          <w:rFonts w:hint="cs"/>
          <w:rtl/>
        </w:rPr>
        <w:t xml:space="preserve"> הדגיש בהמלצותיו לביצוע בדיקות התאמה ליישום מתווה של </w:t>
      </w:r>
      <w:r>
        <w:rPr>
          <w:rFonts w:hint="cs"/>
        </w:rPr>
        <w:t>PPP</w:t>
      </w:r>
      <w:r>
        <w:rPr>
          <w:rFonts w:hint="cs"/>
          <w:rtl/>
        </w:rPr>
        <w:t xml:space="preserve"> כי אין להניח שאכן צפוי חיסכון מסוג זה אלא לאחר שבוצעה בדיקה פרטנית המעידה על קיומו</w:t>
      </w:r>
      <w:r>
        <w:rPr>
          <w:rStyle w:val="FootnoteReference"/>
          <w:rtl/>
        </w:rPr>
        <w:footnoteReference w:id="106"/>
      </w:r>
      <w:r>
        <w:rPr>
          <w:rFonts w:hint="cs"/>
          <w:rtl/>
        </w:rPr>
        <w:t xml:space="preserve">, ולפיכך יש להשתמש בו בזהירות ורק כשיש הצדקה לכך. </w:t>
      </w:r>
    </w:p>
    <w:p w14:paraId="04733179" w14:textId="5317F158" w:rsidR="00823E3A" w:rsidRDefault="00823E3A" w:rsidP="00AE32D5">
      <w:pPr>
        <w:pStyle w:val="100"/>
        <w:rPr>
          <w:rtl/>
        </w:rPr>
      </w:pPr>
      <w:r>
        <w:rPr>
          <w:rFonts w:hint="cs"/>
          <w:rtl/>
        </w:rPr>
        <w:t>חיסכון אפשרי בשלב השני מושג באמצעות תכלול וסינרגיה מובנית בין שלבי הביצוע השונים של הפרויקט, לאורך כל חייו, בזכות הקשר בין הגורם המתכנן והבונה את הפרויקט לבין הגורם המתחזק אותו ומפעיל אותו. אחריותו של הזכיין לטווח הארוך היא תמריץ עבורו לפעול להקמת הפרויקט בתכנון מיטבי שיתמוך בתפעולו, ומאפשרת לממש את היתרונות הטמונים בבסיס המתווה</w:t>
      </w:r>
      <w:r>
        <w:rPr>
          <w:rStyle w:val="FootnoteReference"/>
          <w:rtl/>
        </w:rPr>
        <w:footnoteReference w:id="107"/>
      </w:r>
      <w:r>
        <w:rPr>
          <w:rFonts w:hint="cs"/>
          <w:rtl/>
        </w:rPr>
        <w:t>. יתרונות אלה מתעצמים ככל שמרכיבי התפעול והתחזוקה בעלי חשיבות בפרויקט, ובהנחה שהמגזר הפרטי יפעל להפחית את העלויות לאורך כל חיי הפרויקט. מחקר</w:t>
      </w:r>
      <w:r>
        <w:rPr>
          <w:rFonts w:hint="cs"/>
        </w:rPr>
        <w:t xml:space="preserve"> </w:t>
      </w:r>
      <w:r>
        <w:rPr>
          <w:rFonts w:hint="cs"/>
          <w:rtl/>
        </w:rPr>
        <w:t>שביצעה המועצה הלאומית לשותפות ציבורית-פרטית בארה"ב מראה שיישום המתווה כרוך בעלויות גבוהות בשלב ההקמה ביחס לשיטה התקציבית, אולם על פי רוב צפוי חיסכון לאורך חיי הפרויקט</w:t>
      </w:r>
      <w:r>
        <w:rPr>
          <w:rStyle w:val="FootnoteReference"/>
          <w:rtl/>
        </w:rPr>
        <w:footnoteReference w:id="108"/>
      </w:r>
      <w:r>
        <w:rPr>
          <w:rFonts w:hint="cs"/>
          <w:rtl/>
        </w:rPr>
        <w:t>.</w:t>
      </w:r>
    </w:p>
    <w:p w14:paraId="21DDCA61" w14:textId="77777777" w:rsidR="00823E3A" w:rsidRDefault="00823E3A" w:rsidP="00D22316">
      <w:pPr>
        <w:pStyle w:val="a3"/>
        <w:numPr>
          <w:ilvl w:val="0"/>
          <w:numId w:val="39"/>
        </w:numPr>
        <w:rPr>
          <w:rtl/>
        </w:rPr>
      </w:pPr>
      <w:r w:rsidRPr="00D22316">
        <w:rPr>
          <w:rStyle w:val="Heading5Char"/>
          <w:rFonts w:hint="eastAsia"/>
          <w:b/>
          <w:bCs w:val="0"/>
          <w:color w:val="387026"/>
          <w:spacing w:val="0"/>
          <w:rtl/>
        </w:rPr>
        <w:t>חטיבת</w:t>
      </w:r>
      <w:r w:rsidRPr="00D22316">
        <w:rPr>
          <w:rStyle w:val="Heading5Char"/>
          <w:b/>
          <w:bCs w:val="0"/>
          <w:color w:val="387026"/>
          <w:spacing w:val="0"/>
          <w:rtl/>
        </w:rPr>
        <w:t xml:space="preserve"> </w:t>
      </w:r>
      <w:r w:rsidRPr="00D22316">
        <w:rPr>
          <w:rStyle w:val="Heading5Char"/>
          <w:rFonts w:hint="cs"/>
          <w:b/>
          <w:bCs w:val="0"/>
          <w:color w:val="387026"/>
          <w:spacing w:val="0"/>
          <w:rtl/>
        </w:rPr>
        <w:t>ת</w:t>
      </w:r>
      <w:r w:rsidRPr="00D22316">
        <w:rPr>
          <w:rStyle w:val="Heading5Char"/>
          <w:rFonts w:hint="eastAsia"/>
          <w:b/>
          <w:bCs w:val="0"/>
          <w:color w:val="387026"/>
          <w:spacing w:val="0"/>
          <w:rtl/>
        </w:rPr>
        <w:t>שתיות</w:t>
      </w:r>
      <w:r w:rsidRPr="00D22316">
        <w:rPr>
          <w:rStyle w:val="Heading5Char"/>
          <w:b/>
          <w:bCs w:val="0"/>
          <w:color w:val="387026"/>
          <w:spacing w:val="0"/>
          <w:rtl/>
        </w:rPr>
        <w:t xml:space="preserve"> </w:t>
      </w:r>
      <w:r w:rsidRPr="00D22316">
        <w:rPr>
          <w:rStyle w:val="Heading5Char"/>
          <w:rFonts w:hint="eastAsia"/>
          <w:b/>
          <w:bCs w:val="0"/>
          <w:color w:val="387026"/>
          <w:spacing w:val="0"/>
          <w:rtl/>
        </w:rPr>
        <w:t>ופרויקטים</w:t>
      </w:r>
      <w:r w:rsidRPr="00D22316">
        <w:rPr>
          <w:rStyle w:val="Heading5Char"/>
          <w:rFonts w:hint="cs"/>
          <w:b/>
          <w:bCs w:val="0"/>
          <w:color w:val="387026"/>
          <w:spacing w:val="0"/>
          <w:rtl/>
        </w:rPr>
        <w:t>:</w:t>
      </w:r>
      <w:r w:rsidRPr="00AE32D5">
        <w:rPr>
          <w:rFonts w:hint="cs"/>
          <w:rtl/>
        </w:rPr>
        <w:t xml:space="preserve"> </w:t>
      </w:r>
      <w:r>
        <w:rPr>
          <w:rFonts w:hint="cs"/>
          <w:rtl/>
        </w:rPr>
        <w:t>נוהל חטיבת תשתיות ופרויקטים משנת 2015 מורה על שימוש במקדם התייעלות שנתי בשיעור של 10% עד 15% בביצוע כל בדיקת התאמה עבור אומדני העלויות, הן בשלב ההקמה והן בשלב התפעול והתחזוקה, וזאת בהסתמך על ניסיון בין-לאומי שנצבר בביצוע פרויקטים בשיתוף המגזר הפרטי</w:t>
      </w:r>
      <w:r>
        <w:rPr>
          <w:rStyle w:val="FootnoteReference"/>
          <w:rtl/>
        </w:rPr>
        <w:footnoteReference w:id="109"/>
      </w:r>
      <w:r>
        <w:rPr>
          <w:rFonts w:hint="cs"/>
          <w:rtl/>
        </w:rPr>
        <w:t xml:space="preserve">. אף על פי כן, משיחות שערך צוות הביקורת עם נציגי חטיבת תשתיות ופרויקטים עולה כי אין בידם כל ביסוס </w:t>
      </w:r>
      <w:r>
        <w:rPr>
          <w:rFonts w:hint="cs"/>
          <w:rtl/>
        </w:rPr>
        <w:lastRenderedPageBreak/>
        <w:t>לשימוש במקדמי התייעלות, ובפרט בשיעורים שנקבעו בנוהל העבודה. יתר על כן, הביקורת העלתה כי בכל בדיקות ההתאמה שערכה החטיבה נעשה שימוש במקדמי התייעלות בשיעור של 15% לפחות מכלל עלויות הפרויקט</w:t>
      </w:r>
      <w:r>
        <w:rPr>
          <w:rStyle w:val="FootnoteReference"/>
          <w:rtl/>
        </w:rPr>
        <w:footnoteReference w:id="110"/>
      </w:r>
      <w:r>
        <w:rPr>
          <w:rFonts w:hint="cs"/>
          <w:rtl/>
        </w:rPr>
        <w:t>. ניתוחי רגישות שביצעה החטיבה בבדיקות ההתאמה מראים שאיזון כלכלי לעומת חלופת הביצוע התקציבית מתקבל ביישום מקדם התייעלות בשיעור של 10% עד 12%</w:t>
      </w:r>
      <w:r>
        <w:rPr>
          <w:rStyle w:val="FootnoteReference"/>
          <w:rtl/>
        </w:rPr>
        <w:footnoteReference w:id="111"/>
      </w:r>
      <w:r>
        <w:rPr>
          <w:rFonts w:hint="cs"/>
          <w:rtl/>
        </w:rPr>
        <w:t>. על כן שימוש במקדם התייעלות נמוך מזה שאימצה החטיבה עשוי לבטל את כדאיותו הכלכלית של ביצוע הפרויקט בשיתוף המגזר הפרטי ביחס לחלופה התקציבית.</w:t>
      </w:r>
    </w:p>
    <w:p w14:paraId="0A1DE573" w14:textId="77777777" w:rsidR="00823E3A" w:rsidRDefault="00823E3A" w:rsidP="00D22316">
      <w:pPr>
        <w:pStyle w:val="ae"/>
        <w:rPr>
          <w:rtl/>
        </w:rPr>
      </w:pPr>
      <w:r>
        <w:rPr>
          <w:rFonts w:hint="cs"/>
          <w:rtl/>
        </w:rPr>
        <w:t xml:space="preserve">על </w:t>
      </w:r>
      <w:r w:rsidRPr="00434B65">
        <w:rPr>
          <w:rFonts w:hint="cs"/>
          <w:rtl/>
        </w:rPr>
        <w:t>חטיבת תשתיות ופרויקטים ל</w:t>
      </w:r>
      <w:r>
        <w:rPr>
          <w:rFonts w:hint="cs"/>
          <w:rtl/>
        </w:rPr>
        <w:t xml:space="preserve">השתמש </w:t>
      </w:r>
      <w:r w:rsidRPr="00434B65">
        <w:rPr>
          <w:rFonts w:hint="cs"/>
          <w:rtl/>
        </w:rPr>
        <w:t xml:space="preserve">במקדמי התייעלות מדויקים ככל </w:t>
      </w:r>
      <w:r>
        <w:rPr>
          <w:rFonts w:hint="cs"/>
          <w:rtl/>
        </w:rPr>
        <w:t>ש</w:t>
      </w:r>
      <w:r w:rsidRPr="00434B65">
        <w:rPr>
          <w:rFonts w:hint="cs"/>
          <w:rtl/>
        </w:rPr>
        <w:t>ניתן</w:t>
      </w:r>
      <w:r>
        <w:rPr>
          <w:rFonts w:hint="cs"/>
          <w:rtl/>
        </w:rPr>
        <w:t>,</w:t>
      </w:r>
      <w:r w:rsidRPr="00434B65">
        <w:rPr>
          <w:rFonts w:hint="cs"/>
          <w:rtl/>
        </w:rPr>
        <w:t xml:space="preserve"> </w:t>
      </w:r>
      <w:r>
        <w:rPr>
          <w:rFonts w:hint="cs"/>
          <w:rtl/>
        </w:rPr>
        <w:t xml:space="preserve">המבוססים על ניסיון בין-לאומי ועל מאפייני הפרויקט הייחודים, </w:t>
      </w:r>
      <w:r w:rsidRPr="00434B65">
        <w:rPr>
          <w:rFonts w:hint="cs"/>
          <w:rtl/>
        </w:rPr>
        <w:t xml:space="preserve">כדי לשקף </w:t>
      </w:r>
      <w:r>
        <w:rPr>
          <w:rFonts w:hint="cs"/>
          <w:rtl/>
        </w:rPr>
        <w:t xml:space="preserve">נכונה </w:t>
      </w:r>
      <w:r w:rsidRPr="00434B65">
        <w:rPr>
          <w:rFonts w:hint="cs"/>
          <w:rtl/>
        </w:rPr>
        <w:t xml:space="preserve">את התועלת הכלכלית הצפויה מיישום </w:t>
      </w:r>
      <w:r>
        <w:rPr>
          <w:rFonts w:hint="cs"/>
          <w:rtl/>
        </w:rPr>
        <w:t xml:space="preserve">מתווה של </w:t>
      </w:r>
      <w:r>
        <w:rPr>
          <w:rFonts w:hint="cs"/>
        </w:rPr>
        <w:t>PPP</w:t>
      </w:r>
      <w:r>
        <w:rPr>
          <w:rFonts w:hint="cs"/>
          <w:rtl/>
        </w:rPr>
        <w:t xml:space="preserve"> (אם אכן צפויה בו תועלת) ביחס לתועלת הצפויה מחלופות ביצוע אחרות. על החטיבה להשתמש במקדם ההתייעלות באופן זהיר, פרטני ומדוד עבור כל פרויקט ולהימנע מההנחה השרירותית בדבר קיומו לנוכח עוצמת השפעתו על תוצאת הניתוח של המודל הפיננסי. </w:t>
      </w:r>
    </w:p>
    <w:p w14:paraId="15C2196A" w14:textId="0C8474EC" w:rsidR="00823E3A" w:rsidRDefault="00823E3A" w:rsidP="00D22316">
      <w:pPr>
        <w:pStyle w:val="af4"/>
        <w:rPr>
          <w:rtl/>
        </w:rPr>
      </w:pPr>
      <w:r>
        <w:rPr>
          <w:rFonts w:hint="cs"/>
          <w:rtl/>
        </w:rPr>
        <w:t xml:space="preserve">זאת ועוד, באחת משלוש בדיקות ההתאמה שבוצעו בחטיבה הוצג כי יישום מתווה של </w:t>
      </w:r>
      <w:r>
        <w:rPr>
          <w:rFonts w:hint="cs"/>
        </w:rPr>
        <w:t>PPP</w:t>
      </w:r>
      <w:r>
        <w:rPr>
          <w:rFonts w:hint="cs"/>
          <w:rtl/>
        </w:rPr>
        <w:t xml:space="preserve"> בתחום התשתיות בשיתוף המגזר הפרטי הוביל כביכול להפחתה ניכרת של העלויות בפרויקטים קודמים שקידמה החטיבה, זאת אף שלא נאספו נתונים על שיעור החיסכון שהושג (אם אכן היה חיסכון)</w:t>
      </w:r>
      <w:r>
        <w:rPr>
          <w:rStyle w:val="FootnoteReference"/>
          <w:rtl/>
        </w:rPr>
        <w:footnoteReference w:id="112"/>
      </w:r>
      <w:r>
        <w:rPr>
          <w:rFonts w:hint="cs"/>
          <w:rtl/>
        </w:rPr>
        <w:t>. על בסיס קביעה לא מבוססת זו אף הוצדק השימוש במקדם ההתייעלות שנקבע גם בפרויקטים נוספים.</w:t>
      </w:r>
    </w:p>
    <w:p w14:paraId="5255AB5B" w14:textId="77777777" w:rsidR="00823E3A" w:rsidRDefault="00823E3A" w:rsidP="00D22316">
      <w:pPr>
        <w:pStyle w:val="ae"/>
        <w:rPr>
          <w:rtl/>
        </w:rPr>
      </w:pPr>
      <w:r>
        <w:rPr>
          <w:rFonts w:hint="cs"/>
          <w:rtl/>
        </w:rPr>
        <w:t>ראוי כי</w:t>
      </w:r>
      <w:r w:rsidRPr="00390D5F">
        <w:rPr>
          <w:rFonts w:hint="cs"/>
          <w:rtl/>
        </w:rPr>
        <w:t xml:space="preserve"> חטיב</w:t>
      </w:r>
      <w:r>
        <w:rPr>
          <w:rFonts w:hint="cs"/>
          <w:rtl/>
        </w:rPr>
        <w:t>ת תשתיות ופרויקטים תבצע עבור כל פרויקט בחינה פרטנית של פוטנציאל ההתייעלות הגלום בו, תוך שקלול המאפיינים והסיכונים הייחודיים לו בתנאי השוק הרלוונטיים במועד הנבחן.</w:t>
      </w:r>
    </w:p>
    <w:p w14:paraId="5FB7EA2F" w14:textId="77777777" w:rsidR="00823E3A" w:rsidRDefault="00823E3A" w:rsidP="00D22316">
      <w:pPr>
        <w:pStyle w:val="a3"/>
      </w:pPr>
      <w:r w:rsidRPr="00D22316">
        <w:rPr>
          <w:rStyle w:val="Heading5Char"/>
          <w:rFonts w:hint="eastAsia"/>
          <w:b/>
          <w:bCs w:val="0"/>
          <w:color w:val="387026"/>
          <w:spacing w:val="0"/>
          <w:rtl/>
        </w:rPr>
        <w:t>מנהלת</w:t>
      </w:r>
      <w:r w:rsidRPr="00D22316">
        <w:rPr>
          <w:rStyle w:val="Heading5Char"/>
          <w:b/>
          <w:bCs w:val="0"/>
          <w:color w:val="387026"/>
          <w:spacing w:val="0"/>
          <w:rtl/>
        </w:rPr>
        <w:t xml:space="preserve"> </w:t>
      </w:r>
      <w:r w:rsidRPr="00D22316">
        <w:rPr>
          <w:rStyle w:val="Heading5Char"/>
          <w:rFonts w:hint="eastAsia"/>
          <w:b/>
          <w:bCs w:val="0"/>
          <w:color w:val="387026"/>
          <w:spacing w:val="0"/>
          <w:rtl/>
        </w:rPr>
        <w:t>הבינוי</w:t>
      </w:r>
      <w:r w:rsidRPr="00D22316">
        <w:rPr>
          <w:rStyle w:val="Heading5Char"/>
          <w:rFonts w:hint="cs"/>
          <w:b/>
          <w:bCs w:val="0"/>
          <w:color w:val="387026"/>
          <w:spacing w:val="0"/>
          <w:rtl/>
        </w:rPr>
        <w:t>:</w:t>
      </w:r>
      <w:r w:rsidRPr="00D22316">
        <w:rPr>
          <w:rFonts w:hint="cs"/>
          <w:color w:val="387026"/>
          <w:rtl/>
        </w:rPr>
        <w:t xml:space="preserve"> </w:t>
      </w:r>
      <w:r>
        <w:rPr>
          <w:rFonts w:hint="cs"/>
          <w:rtl/>
        </w:rPr>
        <w:t>בדיקות ההתאמה שמבצעת מנהלת הבינוי כוללות יישום של מקדם התייעלות המבוסס לדבריה על הידע והניסיון שצברה, ומסתכם בשיעור קבוע של 15%. המנהלת גורסת כי קביעה זו מבטאת את יכולתם של היזמים לשלוט בתהליך התכנון, ההקמה והתפעול לצד היתרונות הנובעים מהקמה ותחזוקה בידי גורם אחד, והבדיקות משקפות את הערך הכלכלי המשוקלל בהצעה הכספית לעלות הפרויקט.</w:t>
      </w:r>
    </w:p>
    <w:p w14:paraId="6EB47F46" w14:textId="77777777" w:rsidR="00823E3A" w:rsidRPr="004269CB" w:rsidRDefault="00823E3A" w:rsidP="00D22316">
      <w:pPr>
        <w:pStyle w:val="ae"/>
        <w:rPr>
          <w:rtl/>
        </w:rPr>
      </w:pPr>
      <w:r w:rsidRPr="004269CB">
        <w:rPr>
          <w:rFonts w:hint="eastAsia"/>
          <w:rtl/>
        </w:rPr>
        <w:lastRenderedPageBreak/>
        <w:t>הביקורת</w:t>
      </w:r>
      <w:r w:rsidRPr="004269CB">
        <w:rPr>
          <w:rtl/>
        </w:rPr>
        <w:t xml:space="preserve"> </w:t>
      </w:r>
      <w:r w:rsidRPr="004269CB">
        <w:rPr>
          <w:rFonts w:hint="eastAsia"/>
          <w:rtl/>
        </w:rPr>
        <w:t>העלתה</w:t>
      </w:r>
      <w:r w:rsidRPr="004269CB">
        <w:rPr>
          <w:rtl/>
        </w:rPr>
        <w:t xml:space="preserve"> כי </w:t>
      </w:r>
      <w:r w:rsidRPr="004269CB">
        <w:rPr>
          <w:rFonts w:hint="eastAsia"/>
          <w:rtl/>
        </w:rPr>
        <w:t>מקדם</w:t>
      </w:r>
      <w:r w:rsidRPr="004269CB">
        <w:rPr>
          <w:rtl/>
        </w:rPr>
        <w:t xml:space="preserve"> </w:t>
      </w:r>
      <w:r w:rsidRPr="004269CB">
        <w:rPr>
          <w:rFonts w:hint="eastAsia"/>
          <w:rtl/>
        </w:rPr>
        <w:t>ההתייעלות</w:t>
      </w:r>
      <w:r w:rsidRPr="004269CB">
        <w:rPr>
          <w:rtl/>
        </w:rPr>
        <w:t xml:space="preserve"> </w:t>
      </w:r>
      <w:r w:rsidRPr="004269CB">
        <w:rPr>
          <w:rFonts w:hint="cs"/>
          <w:rtl/>
        </w:rPr>
        <w:t xml:space="preserve">שהמנהלת השתמשה </w:t>
      </w:r>
      <w:r w:rsidRPr="004269CB">
        <w:rPr>
          <w:rFonts w:hint="eastAsia"/>
          <w:rtl/>
        </w:rPr>
        <w:t>בו</w:t>
      </w:r>
      <w:r w:rsidRPr="004269CB">
        <w:rPr>
          <w:rtl/>
        </w:rPr>
        <w:t xml:space="preserve"> </w:t>
      </w:r>
      <w:r w:rsidRPr="004269CB">
        <w:rPr>
          <w:rFonts w:hint="eastAsia"/>
          <w:rtl/>
        </w:rPr>
        <w:t>בכל</w:t>
      </w:r>
      <w:r w:rsidRPr="004269CB">
        <w:rPr>
          <w:rtl/>
        </w:rPr>
        <w:t xml:space="preserve"> </w:t>
      </w:r>
      <w:r w:rsidRPr="004269CB">
        <w:rPr>
          <w:rFonts w:hint="eastAsia"/>
          <w:rtl/>
        </w:rPr>
        <w:t>בדיקות</w:t>
      </w:r>
      <w:r w:rsidRPr="004269CB">
        <w:rPr>
          <w:rtl/>
        </w:rPr>
        <w:t xml:space="preserve"> </w:t>
      </w:r>
      <w:r w:rsidRPr="004269CB">
        <w:rPr>
          <w:rFonts w:hint="eastAsia"/>
          <w:rtl/>
        </w:rPr>
        <w:t>ההתאמה</w:t>
      </w:r>
      <w:r w:rsidRPr="004269CB">
        <w:rPr>
          <w:rtl/>
        </w:rPr>
        <w:t xml:space="preserve"> שביצעה </w:t>
      </w:r>
      <w:r w:rsidRPr="004269CB">
        <w:rPr>
          <w:rFonts w:hint="eastAsia"/>
          <w:rtl/>
        </w:rPr>
        <w:t>נקבע</w:t>
      </w:r>
      <w:r w:rsidRPr="004269CB">
        <w:rPr>
          <w:rtl/>
        </w:rPr>
        <w:t xml:space="preserve"> בל</w:t>
      </w:r>
      <w:r w:rsidRPr="004269CB">
        <w:rPr>
          <w:rFonts w:hint="cs"/>
          <w:rtl/>
        </w:rPr>
        <w:t>א</w:t>
      </w:r>
      <w:r w:rsidRPr="004269CB">
        <w:rPr>
          <w:rtl/>
        </w:rPr>
        <w:t xml:space="preserve"> בדיקה פרטנית מקדימה, </w:t>
      </w:r>
      <w:r w:rsidRPr="004269CB">
        <w:rPr>
          <w:rFonts w:hint="eastAsia"/>
          <w:rtl/>
        </w:rPr>
        <w:t>ו</w:t>
      </w:r>
      <w:r w:rsidRPr="004269CB">
        <w:rPr>
          <w:rFonts w:hint="cs"/>
          <w:rtl/>
        </w:rPr>
        <w:t xml:space="preserve">כי הוא </w:t>
      </w:r>
      <w:r w:rsidRPr="004269CB">
        <w:rPr>
          <w:rFonts w:hint="eastAsia"/>
          <w:rtl/>
        </w:rPr>
        <w:t>אינ</w:t>
      </w:r>
      <w:r w:rsidRPr="004269CB">
        <w:rPr>
          <w:rFonts w:hint="cs"/>
          <w:rtl/>
        </w:rPr>
        <w:t>ו</w:t>
      </w:r>
      <w:r w:rsidRPr="004269CB">
        <w:rPr>
          <w:rtl/>
        </w:rPr>
        <w:t xml:space="preserve"> עול</w:t>
      </w:r>
      <w:r w:rsidRPr="004269CB">
        <w:rPr>
          <w:rFonts w:hint="eastAsia"/>
          <w:rtl/>
        </w:rPr>
        <w:t>ה</w:t>
      </w:r>
      <w:r w:rsidRPr="004269CB">
        <w:rPr>
          <w:rtl/>
        </w:rPr>
        <w:t xml:space="preserve"> בקנה אחד עם המלצות ארגון</w:t>
      </w:r>
      <w:r w:rsidRPr="004269CB">
        <w:rPr>
          <w:rFonts w:hint="cs"/>
          <w:rtl/>
        </w:rPr>
        <w:t xml:space="preserve"> </w:t>
      </w:r>
      <w:r w:rsidRPr="004269CB">
        <w:rPr>
          <w:rFonts w:hint="cs"/>
        </w:rPr>
        <w:t>OECD</w:t>
      </w:r>
      <w:r w:rsidRPr="004269CB">
        <w:rPr>
          <w:rtl/>
        </w:rPr>
        <w:t xml:space="preserve"> </w:t>
      </w:r>
      <w:r w:rsidRPr="004269CB">
        <w:rPr>
          <w:rStyle w:val="FootnoteReference"/>
          <w:b/>
          <w:bCs/>
        </w:rPr>
        <w:footnoteReference w:id="113"/>
      </w:r>
      <w:r w:rsidRPr="004269CB">
        <w:rPr>
          <w:rFonts w:hint="cs"/>
          <w:rtl/>
        </w:rPr>
        <w:t>.</w:t>
      </w:r>
      <w:r w:rsidRPr="004269CB">
        <w:rPr>
          <w:rtl/>
        </w:rPr>
        <w:t xml:space="preserve"> </w:t>
      </w:r>
      <w:r w:rsidRPr="004269CB">
        <w:rPr>
          <w:rFonts w:hint="eastAsia"/>
          <w:rtl/>
        </w:rPr>
        <w:t>מאחר</w:t>
      </w:r>
      <w:r w:rsidRPr="004269CB">
        <w:rPr>
          <w:rtl/>
        </w:rPr>
        <w:t xml:space="preserve"> </w:t>
      </w:r>
      <w:r w:rsidRPr="004269CB">
        <w:rPr>
          <w:rFonts w:hint="cs"/>
          <w:rtl/>
        </w:rPr>
        <w:t>שה</w:t>
      </w:r>
      <w:r w:rsidRPr="004269CB">
        <w:rPr>
          <w:rFonts w:hint="eastAsia"/>
          <w:rtl/>
        </w:rPr>
        <w:t>פרויקטים</w:t>
      </w:r>
      <w:r w:rsidRPr="004269CB">
        <w:rPr>
          <w:rtl/>
        </w:rPr>
        <w:t xml:space="preserve"> </w:t>
      </w:r>
      <w:r w:rsidRPr="004269CB">
        <w:rPr>
          <w:rFonts w:hint="eastAsia"/>
          <w:rtl/>
        </w:rPr>
        <w:t>בתחום</w:t>
      </w:r>
      <w:r w:rsidRPr="004269CB">
        <w:rPr>
          <w:rtl/>
        </w:rPr>
        <w:t xml:space="preserve"> </w:t>
      </w:r>
      <w:r w:rsidRPr="004269CB">
        <w:rPr>
          <w:rFonts w:hint="eastAsia"/>
          <w:rtl/>
        </w:rPr>
        <w:t>הבינוי</w:t>
      </w:r>
      <w:r w:rsidRPr="004269CB">
        <w:rPr>
          <w:rtl/>
        </w:rPr>
        <w:t xml:space="preserve"> </w:t>
      </w:r>
      <w:r w:rsidRPr="004269CB">
        <w:rPr>
          <w:rFonts w:hint="cs"/>
          <w:rtl/>
        </w:rPr>
        <w:t xml:space="preserve">הם </w:t>
      </w:r>
      <w:r w:rsidRPr="004269CB">
        <w:rPr>
          <w:rFonts w:hint="eastAsia"/>
          <w:rtl/>
        </w:rPr>
        <w:t>פשוטים</w:t>
      </w:r>
      <w:r w:rsidRPr="004269CB">
        <w:rPr>
          <w:rtl/>
        </w:rPr>
        <w:t xml:space="preserve"> ו</w:t>
      </w:r>
      <w:r w:rsidRPr="004269CB">
        <w:rPr>
          <w:rFonts w:hint="cs"/>
          <w:rtl/>
        </w:rPr>
        <w:t xml:space="preserve">רכיב התפעול והתחזוקה בהם קטן </w:t>
      </w:r>
      <w:r w:rsidRPr="004269CB">
        <w:rPr>
          <w:rFonts w:hint="eastAsia"/>
          <w:rtl/>
        </w:rPr>
        <w:t>ביח</w:t>
      </w:r>
      <w:r w:rsidRPr="004269CB">
        <w:rPr>
          <w:rFonts w:hint="cs"/>
          <w:rtl/>
        </w:rPr>
        <w:t>ס</w:t>
      </w:r>
      <w:r w:rsidRPr="004269CB">
        <w:rPr>
          <w:rtl/>
        </w:rPr>
        <w:t xml:space="preserve"> </w:t>
      </w:r>
      <w:r w:rsidRPr="004269CB">
        <w:rPr>
          <w:rFonts w:hint="eastAsia"/>
          <w:rtl/>
        </w:rPr>
        <w:t>לתחומים</w:t>
      </w:r>
      <w:r w:rsidRPr="004269CB">
        <w:rPr>
          <w:rtl/>
        </w:rPr>
        <w:t xml:space="preserve"> אחרים </w:t>
      </w:r>
      <w:r w:rsidRPr="004269CB">
        <w:rPr>
          <w:rFonts w:hint="cs"/>
          <w:rtl/>
        </w:rPr>
        <w:t>ש</w:t>
      </w:r>
      <w:r w:rsidRPr="004269CB">
        <w:rPr>
          <w:rtl/>
        </w:rPr>
        <w:t xml:space="preserve">בהם מיושם </w:t>
      </w:r>
      <w:r w:rsidRPr="004269CB">
        <w:rPr>
          <w:rFonts w:hint="eastAsia"/>
          <w:rtl/>
        </w:rPr>
        <w:t>המתווה</w:t>
      </w:r>
      <w:r w:rsidRPr="004269CB">
        <w:rPr>
          <w:rtl/>
        </w:rPr>
        <w:t>,</w:t>
      </w:r>
      <w:r w:rsidRPr="004269CB">
        <w:rPr>
          <w:rFonts w:hint="cs"/>
          <w:rtl/>
        </w:rPr>
        <w:t xml:space="preserve"> חשוב מאוד לדרוש</w:t>
      </w:r>
      <w:r w:rsidRPr="004269CB">
        <w:rPr>
          <w:rtl/>
        </w:rPr>
        <w:t xml:space="preserve"> </w:t>
      </w:r>
      <w:r w:rsidRPr="004269CB">
        <w:rPr>
          <w:rFonts w:hint="cs"/>
          <w:rtl/>
        </w:rPr>
        <w:t>מ</w:t>
      </w:r>
      <w:r w:rsidRPr="004269CB">
        <w:rPr>
          <w:rFonts w:hint="eastAsia"/>
          <w:rtl/>
        </w:rPr>
        <w:t>מנהלת</w:t>
      </w:r>
      <w:r w:rsidRPr="004269CB">
        <w:rPr>
          <w:rtl/>
        </w:rPr>
        <w:t xml:space="preserve"> </w:t>
      </w:r>
      <w:r w:rsidRPr="004269CB">
        <w:rPr>
          <w:rFonts w:hint="eastAsia"/>
          <w:rtl/>
        </w:rPr>
        <w:t>הבינוי</w:t>
      </w:r>
      <w:r w:rsidRPr="004269CB">
        <w:rPr>
          <w:rtl/>
        </w:rPr>
        <w:t xml:space="preserve"> להוכ</w:t>
      </w:r>
      <w:r w:rsidRPr="004269CB">
        <w:rPr>
          <w:rFonts w:hint="cs"/>
          <w:rtl/>
        </w:rPr>
        <w:t>י</w:t>
      </w:r>
      <w:r w:rsidRPr="004269CB">
        <w:rPr>
          <w:rtl/>
        </w:rPr>
        <w:t xml:space="preserve">ח </w:t>
      </w:r>
      <w:r w:rsidRPr="004269CB">
        <w:rPr>
          <w:rFonts w:hint="cs"/>
          <w:rtl/>
        </w:rPr>
        <w:t xml:space="preserve">את </w:t>
      </w:r>
      <w:r w:rsidRPr="004269CB">
        <w:rPr>
          <w:rFonts w:hint="eastAsia"/>
          <w:rtl/>
        </w:rPr>
        <w:t>ההתייעלות</w:t>
      </w:r>
      <w:r w:rsidRPr="004269CB">
        <w:rPr>
          <w:rtl/>
        </w:rPr>
        <w:t xml:space="preserve"> ו</w:t>
      </w:r>
      <w:r w:rsidRPr="004269CB">
        <w:rPr>
          <w:rFonts w:hint="cs"/>
          <w:rtl/>
        </w:rPr>
        <w:t>את שיעורה ולבסס אותה היטב ב</w:t>
      </w:r>
      <w:r w:rsidRPr="004269CB">
        <w:rPr>
          <w:rFonts w:hint="eastAsia"/>
          <w:rtl/>
        </w:rPr>
        <w:t>טרם</w:t>
      </w:r>
      <w:r w:rsidRPr="004269CB">
        <w:rPr>
          <w:rFonts w:hint="cs"/>
          <w:rtl/>
        </w:rPr>
        <w:t xml:space="preserve"> ייעשה</w:t>
      </w:r>
      <w:r w:rsidRPr="004269CB">
        <w:rPr>
          <w:rtl/>
        </w:rPr>
        <w:t xml:space="preserve"> </w:t>
      </w:r>
      <w:r w:rsidRPr="004269CB">
        <w:rPr>
          <w:rFonts w:hint="eastAsia"/>
          <w:rtl/>
        </w:rPr>
        <w:t>שימוש</w:t>
      </w:r>
      <w:r w:rsidRPr="004269CB">
        <w:rPr>
          <w:rtl/>
        </w:rPr>
        <w:t xml:space="preserve"> </w:t>
      </w:r>
      <w:r w:rsidRPr="004269CB">
        <w:rPr>
          <w:rFonts w:hint="eastAsia"/>
          <w:rtl/>
        </w:rPr>
        <w:t>בהנחות</w:t>
      </w:r>
      <w:r w:rsidRPr="004269CB">
        <w:rPr>
          <w:rtl/>
        </w:rPr>
        <w:t xml:space="preserve"> </w:t>
      </w:r>
      <w:r w:rsidRPr="004269CB">
        <w:rPr>
          <w:rFonts w:hint="eastAsia"/>
          <w:rtl/>
        </w:rPr>
        <w:t>אלה</w:t>
      </w:r>
      <w:r w:rsidRPr="004269CB">
        <w:rPr>
          <w:rtl/>
        </w:rPr>
        <w:t xml:space="preserve"> </w:t>
      </w:r>
      <w:r w:rsidRPr="004269CB">
        <w:rPr>
          <w:rFonts w:hint="eastAsia"/>
          <w:rtl/>
        </w:rPr>
        <w:t>בבדי</w:t>
      </w:r>
      <w:r w:rsidRPr="004269CB">
        <w:rPr>
          <w:rFonts w:hint="cs"/>
          <w:rtl/>
        </w:rPr>
        <w:t xml:space="preserve">קות התאמה לפרויקטים. </w:t>
      </w:r>
    </w:p>
    <w:p w14:paraId="5C0C3890" w14:textId="4FF517B8" w:rsidR="00823E3A" w:rsidRDefault="00823E3A" w:rsidP="00D22316">
      <w:pPr>
        <w:pStyle w:val="ae"/>
        <w:rPr>
          <w:rtl/>
        </w:rPr>
      </w:pPr>
      <w:r w:rsidRPr="00931DC1">
        <w:rPr>
          <w:rFonts w:hint="cs"/>
          <w:rtl/>
        </w:rPr>
        <w:t>לדעת</w:t>
      </w:r>
      <w:r>
        <w:rPr>
          <w:rFonts w:hint="cs"/>
          <w:rtl/>
        </w:rPr>
        <w:t>ו של</w:t>
      </w:r>
      <w:r w:rsidRPr="00931DC1">
        <w:rPr>
          <w:rFonts w:hint="cs"/>
          <w:rtl/>
        </w:rPr>
        <w:t xml:space="preserve"> משרד מבקר המדינה</w:t>
      </w:r>
      <w:r>
        <w:rPr>
          <w:rFonts w:hint="cs"/>
          <w:rtl/>
        </w:rPr>
        <w:t>,</w:t>
      </w:r>
      <w:r w:rsidRPr="00931DC1">
        <w:rPr>
          <w:rFonts w:hint="cs"/>
          <w:rtl/>
        </w:rPr>
        <w:t xml:space="preserve"> על </w:t>
      </w:r>
      <w:r>
        <w:rPr>
          <w:rFonts w:hint="cs"/>
          <w:rtl/>
        </w:rPr>
        <w:t xml:space="preserve">מנהלת הבינוי </w:t>
      </w:r>
      <w:r w:rsidRPr="00931DC1">
        <w:rPr>
          <w:rFonts w:hint="cs"/>
          <w:rtl/>
        </w:rPr>
        <w:t>ל</w:t>
      </w:r>
      <w:r>
        <w:rPr>
          <w:rFonts w:hint="cs"/>
          <w:rtl/>
        </w:rPr>
        <w:t>בחון לעומקן את ההנחות שבבסיס השימוש במקדם ההתייעלות ואת אופן השימוש בו.</w:t>
      </w:r>
    </w:p>
    <w:p w14:paraId="27E3C04E" w14:textId="33F3C905" w:rsidR="00823E3A" w:rsidRDefault="00823E3A" w:rsidP="00D22316">
      <w:pPr>
        <w:pStyle w:val="a3"/>
        <w:rPr>
          <w:rtl/>
        </w:rPr>
      </w:pPr>
      <w:r w:rsidRPr="00D22316">
        <w:rPr>
          <w:rStyle w:val="Heading5Char"/>
          <w:rFonts w:hint="eastAsia"/>
          <w:b/>
          <w:bCs w:val="0"/>
          <w:color w:val="387026"/>
          <w:spacing w:val="0"/>
          <w:rtl/>
        </w:rPr>
        <w:t>משרד</w:t>
      </w:r>
      <w:r w:rsidRPr="00D22316">
        <w:rPr>
          <w:rStyle w:val="Heading5Char"/>
          <w:b/>
          <w:bCs w:val="0"/>
          <w:color w:val="387026"/>
          <w:spacing w:val="0"/>
          <w:rtl/>
        </w:rPr>
        <w:t xml:space="preserve"> </w:t>
      </w:r>
      <w:r w:rsidRPr="00D22316">
        <w:rPr>
          <w:rStyle w:val="Heading5Char"/>
          <w:rFonts w:hint="eastAsia"/>
          <w:b/>
          <w:bCs w:val="0"/>
          <w:color w:val="387026"/>
          <w:spacing w:val="0"/>
          <w:rtl/>
        </w:rPr>
        <w:t>הביטחון</w:t>
      </w:r>
      <w:r w:rsidRPr="00D22316">
        <w:rPr>
          <w:rStyle w:val="Heading5Char"/>
          <w:b/>
          <w:bCs w:val="0"/>
          <w:color w:val="387026"/>
          <w:spacing w:val="0"/>
          <w:rtl/>
        </w:rPr>
        <w:t>:</w:t>
      </w:r>
      <w:r w:rsidRPr="00D22316">
        <w:rPr>
          <w:rFonts w:hint="cs"/>
          <w:color w:val="387026"/>
          <w:rtl/>
        </w:rPr>
        <w:t xml:space="preserve"> </w:t>
      </w:r>
      <w:r w:rsidRPr="00B85C48">
        <w:rPr>
          <w:rFonts w:hint="cs"/>
          <w:rtl/>
        </w:rPr>
        <w:t>הנחיות העבודה של משרד הביטחון אינן מורות</w:t>
      </w:r>
      <w:r>
        <w:rPr>
          <w:rFonts w:hint="cs"/>
          <w:rtl/>
        </w:rPr>
        <w:t xml:space="preserve"> על יישום </w:t>
      </w:r>
      <w:r w:rsidRPr="00B85C48">
        <w:rPr>
          <w:rFonts w:hint="cs"/>
          <w:rtl/>
        </w:rPr>
        <w:t xml:space="preserve">מקדם התייעלות </w:t>
      </w:r>
      <w:r>
        <w:rPr>
          <w:rFonts w:hint="cs"/>
          <w:rtl/>
        </w:rPr>
        <w:t>בבניית המודל הפיננסי</w:t>
      </w:r>
      <w:r>
        <w:rPr>
          <w:rStyle w:val="FootnoteReference"/>
          <w:rtl/>
        </w:rPr>
        <w:footnoteReference w:id="114"/>
      </w:r>
      <w:r>
        <w:rPr>
          <w:rFonts w:hint="cs"/>
          <w:rtl/>
        </w:rPr>
        <w:t>, אולם המשרד גורס כי יש סינרגיה בין שלבי הפרויקטים שבביצועו. גורמים במשרד הביטחון שעימם נפגש צוות הביקורת ציינו כי מקדם ההתייעלות נקבע על פי אופיו של הפרויקט, על פי מורכבותו ועל פי ההנחה לגבי יכולת הזכיין ליזום צעדי התייעלות להקטנת העלויות. נמצא כי מקדמי ההתייעלות ששימשו את משרד הביטחון בבדיקות ההתאמה התבססו על ניסיונם של היועצים הפיננסיים ועל מכרזים קודמים שבוצעו. עם זאת, מקדמים אלה יושמו רק בחלק מהפרויקטים</w:t>
      </w:r>
      <w:r>
        <w:rPr>
          <w:rStyle w:val="FootnoteReference"/>
          <w:rtl/>
        </w:rPr>
        <w:footnoteReference w:id="115"/>
      </w:r>
      <w:r>
        <w:rPr>
          <w:rFonts w:hint="cs"/>
          <w:rtl/>
        </w:rPr>
        <w:t>, בערכים שונים</w:t>
      </w:r>
      <w:r>
        <w:rPr>
          <w:rStyle w:val="FootnoteReference"/>
          <w:rtl/>
        </w:rPr>
        <w:footnoteReference w:id="116"/>
      </w:r>
      <w:r>
        <w:rPr>
          <w:rFonts w:hint="cs"/>
          <w:rtl/>
        </w:rPr>
        <w:t>, ולעיתים נעשה שימוש במקדמים שונים בין שלב ההקמה לשלב התפעול בלא לספק הסבר מבוסס לצעדים אלה.</w:t>
      </w:r>
    </w:p>
    <w:p w14:paraId="67553498" w14:textId="77777777" w:rsidR="00823E3A" w:rsidRPr="00D30B45" w:rsidRDefault="00823E3A" w:rsidP="00D22316">
      <w:pPr>
        <w:pStyle w:val="af4"/>
      </w:pPr>
      <w:r>
        <w:rPr>
          <w:rFonts w:hint="cs"/>
          <w:rtl/>
        </w:rPr>
        <w:t>משרד הביטחון מסר בתשובתו כי שיעורם של מקדמי ההתייעלות מושפע הן מציר הזמן ומתהליך הלמידה והן מתכולת הפרויקט ומהנחות העבודה שלפיהן נבנו האומדנים. לפיכך אומדני פרויקטים מאוחרים נשענו על תוצאות פרויקטים קודמים ומכילים בבסיסם מקדמי התייעלות.</w:t>
      </w:r>
    </w:p>
    <w:p w14:paraId="18EAE2B3" w14:textId="77777777" w:rsidR="00823E3A" w:rsidRDefault="00823E3A" w:rsidP="00D22316">
      <w:pPr>
        <w:pStyle w:val="ae"/>
        <w:rPr>
          <w:rtl/>
        </w:rPr>
      </w:pPr>
      <w:r w:rsidRPr="007D5F56">
        <w:rPr>
          <w:rFonts w:hint="eastAsia"/>
          <w:rtl/>
        </w:rPr>
        <w:t>לדעת</w:t>
      </w:r>
      <w:r>
        <w:rPr>
          <w:rFonts w:hint="cs"/>
          <w:rtl/>
        </w:rPr>
        <w:t>ו של</w:t>
      </w:r>
      <w:r w:rsidRPr="007D5F56">
        <w:rPr>
          <w:rtl/>
        </w:rPr>
        <w:t xml:space="preserve"> משרד מבקר המדינה</w:t>
      </w:r>
      <w:r>
        <w:rPr>
          <w:rFonts w:hint="cs"/>
          <w:rtl/>
        </w:rPr>
        <w:t>,</w:t>
      </w:r>
      <w:r w:rsidRPr="007D5F56">
        <w:rPr>
          <w:rtl/>
        </w:rPr>
        <w:t xml:space="preserve"> ראוי להגדיר בנוהל </w:t>
      </w:r>
      <w:r>
        <w:rPr>
          <w:rFonts w:hint="cs"/>
          <w:rtl/>
        </w:rPr>
        <w:t>הנחיות ל</w:t>
      </w:r>
      <w:r w:rsidRPr="007D5F56">
        <w:rPr>
          <w:rtl/>
        </w:rPr>
        <w:t xml:space="preserve">אופן השימוש במקדמי התייעלות שתשקף את התועלות מהסינרגיה הקיימת </w:t>
      </w:r>
      <w:r w:rsidRPr="007D5F56">
        <w:rPr>
          <w:rFonts w:hint="eastAsia"/>
          <w:rtl/>
        </w:rPr>
        <w:t>בין</w:t>
      </w:r>
      <w:r w:rsidRPr="007D5F56">
        <w:rPr>
          <w:rtl/>
        </w:rPr>
        <w:t xml:space="preserve"> השלבים השונים </w:t>
      </w:r>
      <w:r w:rsidRPr="007D5F56">
        <w:rPr>
          <w:rFonts w:hint="eastAsia"/>
          <w:rtl/>
        </w:rPr>
        <w:t>בפרויקטים</w:t>
      </w:r>
      <w:r w:rsidRPr="007D5F56">
        <w:rPr>
          <w:rtl/>
        </w:rPr>
        <w:t xml:space="preserve"> בשיתוף המגזר הפרטי, </w:t>
      </w:r>
      <w:r>
        <w:rPr>
          <w:rFonts w:hint="cs"/>
          <w:rtl/>
        </w:rPr>
        <w:t>ו</w:t>
      </w:r>
      <w:r w:rsidRPr="007D5F56">
        <w:rPr>
          <w:rtl/>
        </w:rPr>
        <w:t xml:space="preserve">זאת לאחר בחינה פרטנית </w:t>
      </w:r>
      <w:r>
        <w:rPr>
          <w:rFonts w:hint="cs"/>
          <w:rtl/>
        </w:rPr>
        <w:t>ומבוססת ש</w:t>
      </w:r>
      <w:r w:rsidRPr="007D5F56">
        <w:rPr>
          <w:rtl/>
        </w:rPr>
        <w:t>ל</w:t>
      </w:r>
      <w:r>
        <w:rPr>
          <w:rFonts w:hint="cs"/>
          <w:rtl/>
        </w:rPr>
        <w:t xml:space="preserve"> שיעור</w:t>
      </w:r>
      <w:r w:rsidRPr="007D5F56">
        <w:rPr>
          <w:rtl/>
        </w:rPr>
        <w:t xml:space="preserve"> פוטנציאל </w:t>
      </w:r>
      <w:r>
        <w:rPr>
          <w:rFonts w:hint="cs"/>
          <w:rtl/>
        </w:rPr>
        <w:t xml:space="preserve">ההתייעלות </w:t>
      </w:r>
      <w:r w:rsidRPr="007D5F56">
        <w:rPr>
          <w:rFonts w:hint="eastAsia"/>
          <w:rtl/>
        </w:rPr>
        <w:t>בכל</w:t>
      </w:r>
      <w:r w:rsidRPr="007D5F56">
        <w:rPr>
          <w:rtl/>
        </w:rPr>
        <w:t xml:space="preserve"> פרויקט</w:t>
      </w:r>
      <w:r>
        <w:rPr>
          <w:rFonts w:hint="cs"/>
          <w:rtl/>
        </w:rPr>
        <w:t>.</w:t>
      </w:r>
      <w:r w:rsidRPr="007D5F56">
        <w:rPr>
          <w:rtl/>
        </w:rPr>
        <w:t xml:space="preserve"> </w:t>
      </w:r>
    </w:p>
    <w:p w14:paraId="6CFBAE2A" w14:textId="77777777" w:rsidR="00823E3A" w:rsidRDefault="00823E3A" w:rsidP="00D22316">
      <w:pPr>
        <w:pStyle w:val="af4"/>
        <w:rPr>
          <w:rtl/>
        </w:rPr>
      </w:pPr>
      <w:r w:rsidRPr="00853C8D">
        <w:rPr>
          <w:rFonts w:hint="eastAsia"/>
          <w:rtl/>
        </w:rPr>
        <w:t>מבדיקה</w:t>
      </w:r>
      <w:r w:rsidRPr="00853C8D">
        <w:rPr>
          <w:rtl/>
        </w:rPr>
        <w:t xml:space="preserve"> של צוות הביקורת </w:t>
      </w:r>
      <w:r w:rsidRPr="00853C8D">
        <w:rPr>
          <w:rFonts w:hint="eastAsia"/>
          <w:rtl/>
        </w:rPr>
        <w:t>באחת</w:t>
      </w:r>
      <w:r w:rsidRPr="00853C8D">
        <w:rPr>
          <w:rtl/>
        </w:rPr>
        <w:t xml:space="preserve"> </w:t>
      </w:r>
      <w:r w:rsidRPr="00853C8D">
        <w:rPr>
          <w:rFonts w:hint="eastAsia"/>
          <w:rtl/>
        </w:rPr>
        <w:t>מחמש</w:t>
      </w:r>
      <w:r w:rsidRPr="00853C8D">
        <w:rPr>
          <w:rtl/>
        </w:rPr>
        <w:t xml:space="preserve"> </w:t>
      </w:r>
      <w:r w:rsidRPr="00853C8D">
        <w:rPr>
          <w:rFonts w:hint="eastAsia"/>
          <w:rtl/>
        </w:rPr>
        <w:t>בדיקות</w:t>
      </w:r>
      <w:r w:rsidRPr="00853C8D">
        <w:rPr>
          <w:rtl/>
        </w:rPr>
        <w:t xml:space="preserve"> </w:t>
      </w:r>
      <w:r w:rsidRPr="00853C8D">
        <w:rPr>
          <w:rFonts w:hint="eastAsia"/>
          <w:rtl/>
        </w:rPr>
        <w:t>ההתאמה</w:t>
      </w:r>
      <w:r w:rsidRPr="00853C8D">
        <w:rPr>
          <w:rtl/>
        </w:rPr>
        <w:t xml:space="preserve"> </w:t>
      </w:r>
      <w:r w:rsidRPr="00853C8D">
        <w:rPr>
          <w:rFonts w:hint="eastAsia"/>
          <w:rtl/>
        </w:rPr>
        <w:t>שב</w:t>
      </w:r>
      <w:r>
        <w:rPr>
          <w:rFonts w:hint="cs"/>
          <w:rtl/>
        </w:rPr>
        <w:t>י</w:t>
      </w:r>
      <w:r w:rsidRPr="00853C8D">
        <w:rPr>
          <w:rFonts w:hint="eastAsia"/>
          <w:rtl/>
        </w:rPr>
        <w:t>צע</w:t>
      </w:r>
      <w:r w:rsidRPr="00853C8D">
        <w:rPr>
          <w:rtl/>
        </w:rPr>
        <w:t xml:space="preserve"> </w:t>
      </w:r>
      <w:r w:rsidRPr="00853C8D">
        <w:rPr>
          <w:rFonts w:hint="eastAsia"/>
          <w:rtl/>
        </w:rPr>
        <w:t>משרד</w:t>
      </w:r>
      <w:r w:rsidRPr="00853C8D">
        <w:rPr>
          <w:rtl/>
        </w:rPr>
        <w:t xml:space="preserve"> </w:t>
      </w:r>
      <w:r w:rsidRPr="00853C8D">
        <w:rPr>
          <w:rFonts w:hint="eastAsia"/>
          <w:rtl/>
        </w:rPr>
        <w:t>הביטחון</w:t>
      </w:r>
      <w:r>
        <w:rPr>
          <w:rStyle w:val="FootnoteReference"/>
          <w:rtl/>
        </w:rPr>
        <w:footnoteReference w:id="117"/>
      </w:r>
      <w:r>
        <w:rPr>
          <w:rFonts w:hint="cs"/>
          <w:rtl/>
        </w:rPr>
        <w:t xml:space="preserve"> </w:t>
      </w:r>
      <w:r w:rsidRPr="00853C8D">
        <w:rPr>
          <w:rFonts w:hint="eastAsia"/>
          <w:rtl/>
        </w:rPr>
        <w:t>עולה</w:t>
      </w:r>
      <w:r w:rsidRPr="00853C8D">
        <w:rPr>
          <w:rtl/>
        </w:rPr>
        <w:t xml:space="preserve"> </w:t>
      </w:r>
      <w:r w:rsidRPr="00853C8D">
        <w:rPr>
          <w:rFonts w:hint="eastAsia"/>
          <w:rtl/>
        </w:rPr>
        <w:t>כי</w:t>
      </w:r>
      <w:r w:rsidRPr="00853C8D">
        <w:rPr>
          <w:rtl/>
        </w:rPr>
        <w:t xml:space="preserve"> </w:t>
      </w:r>
      <w:r w:rsidRPr="00853C8D">
        <w:rPr>
          <w:rFonts w:hint="eastAsia"/>
          <w:rtl/>
        </w:rPr>
        <w:t>מקדם</w:t>
      </w:r>
      <w:r w:rsidRPr="00853C8D">
        <w:rPr>
          <w:rtl/>
        </w:rPr>
        <w:t xml:space="preserve"> </w:t>
      </w:r>
      <w:r w:rsidRPr="00853C8D">
        <w:rPr>
          <w:rFonts w:hint="eastAsia"/>
          <w:rtl/>
        </w:rPr>
        <w:t>ההתייעלות</w:t>
      </w:r>
      <w:r w:rsidRPr="00853C8D">
        <w:rPr>
          <w:rtl/>
        </w:rPr>
        <w:t xml:space="preserve"> </w:t>
      </w:r>
      <w:r>
        <w:rPr>
          <w:rFonts w:hint="cs"/>
          <w:rtl/>
        </w:rPr>
        <w:t xml:space="preserve">יושם </w:t>
      </w:r>
      <w:r w:rsidRPr="00853C8D">
        <w:rPr>
          <w:rFonts w:hint="eastAsia"/>
          <w:rtl/>
        </w:rPr>
        <w:t>על</w:t>
      </w:r>
      <w:r w:rsidRPr="00853C8D">
        <w:rPr>
          <w:rtl/>
        </w:rPr>
        <w:t xml:space="preserve"> </w:t>
      </w:r>
      <w:r w:rsidRPr="00853C8D">
        <w:rPr>
          <w:rFonts w:hint="eastAsia"/>
          <w:rtl/>
        </w:rPr>
        <w:t>כלל</w:t>
      </w:r>
      <w:r w:rsidRPr="00853C8D">
        <w:rPr>
          <w:rtl/>
        </w:rPr>
        <w:t xml:space="preserve"> </w:t>
      </w:r>
      <w:r w:rsidRPr="00853C8D">
        <w:rPr>
          <w:rFonts w:hint="eastAsia"/>
          <w:rtl/>
        </w:rPr>
        <w:t>תזרים</w:t>
      </w:r>
      <w:r w:rsidRPr="00853C8D">
        <w:rPr>
          <w:rtl/>
        </w:rPr>
        <w:t xml:space="preserve"> </w:t>
      </w:r>
      <w:r w:rsidRPr="00853C8D">
        <w:rPr>
          <w:rFonts w:hint="eastAsia"/>
          <w:rtl/>
        </w:rPr>
        <w:t>הפרויקט</w:t>
      </w:r>
      <w:r w:rsidRPr="00853C8D">
        <w:rPr>
          <w:rtl/>
        </w:rPr>
        <w:t xml:space="preserve"> </w:t>
      </w:r>
      <w:r w:rsidRPr="00853C8D">
        <w:rPr>
          <w:rFonts w:hint="eastAsia"/>
          <w:rtl/>
        </w:rPr>
        <w:t>המהוון</w:t>
      </w:r>
      <w:r w:rsidRPr="00853C8D">
        <w:t xml:space="preserve"> </w:t>
      </w:r>
      <w:r w:rsidRPr="00853C8D">
        <w:rPr>
          <w:rFonts w:hint="eastAsia"/>
          <w:rtl/>
        </w:rPr>
        <w:t>לפי</w:t>
      </w:r>
      <w:r w:rsidRPr="00853C8D">
        <w:rPr>
          <w:rtl/>
        </w:rPr>
        <w:t xml:space="preserve"> </w:t>
      </w:r>
      <w:r w:rsidRPr="00853C8D">
        <w:rPr>
          <w:rFonts w:hint="eastAsia"/>
          <w:rtl/>
        </w:rPr>
        <w:t>עלותו</w:t>
      </w:r>
      <w:r w:rsidRPr="00853C8D">
        <w:rPr>
          <w:rtl/>
        </w:rPr>
        <w:t xml:space="preserve"> </w:t>
      </w:r>
      <w:r w:rsidRPr="00853C8D">
        <w:rPr>
          <w:rFonts w:hint="eastAsia"/>
          <w:rtl/>
        </w:rPr>
        <w:t>בשיטה</w:t>
      </w:r>
      <w:r w:rsidRPr="00853C8D">
        <w:rPr>
          <w:rtl/>
        </w:rPr>
        <w:t xml:space="preserve"> </w:t>
      </w:r>
      <w:r w:rsidRPr="00853C8D">
        <w:rPr>
          <w:rFonts w:hint="eastAsia"/>
          <w:rtl/>
        </w:rPr>
        <w:t>התקציבית</w:t>
      </w:r>
      <w:r w:rsidRPr="00853C8D">
        <w:rPr>
          <w:rtl/>
        </w:rPr>
        <w:t xml:space="preserve"> </w:t>
      </w:r>
      <w:r w:rsidRPr="00853C8D">
        <w:rPr>
          <w:rFonts w:hint="eastAsia"/>
          <w:rtl/>
        </w:rPr>
        <w:t>במקום</w:t>
      </w:r>
      <w:r w:rsidRPr="00853C8D">
        <w:rPr>
          <w:rtl/>
        </w:rPr>
        <w:t xml:space="preserve"> </w:t>
      </w:r>
      <w:r w:rsidRPr="00853C8D">
        <w:rPr>
          <w:rFonts w:hint="eastAsia"/>
          <w:rtl/>
        </w:rPr>
        <w:t>על</w:t>
      </w:r>
      <w:r w:rsidRPr="00853C8D">
        <w:rPr>
          <w:rtl/>
        </w:rPr>
        <w:t xml:space="preserve"> </w:t>
      </w:r>
      <w:r w:rsidRPr="00853C8D">
        <w:rPr>
          <w:rFonts w:hint="eastAsia"/>
          <w:rtl/>
        </w:rPr>
        <w:t>עלויות</w:t>
      </w:r>
      <w:r w:rsidRPr="00853C8D">
        <w:rPr>
          <w:rtl/>
        </w:rPr>
        <w:t xml:space="preserve"> </w:t>
      </w:r>
      <w:r w:rsidRPr="00853C8D">
        <w:rPr>
          <w:rFonts w:hint="eastAsia"/>
          <w:rtl/>
        </w:rPr>
        <w:t>הבינוי</w:t>
      </w:r>
      <w:r w:rsidRPr="00853C8D">
        <w:rPr>
          <w:rtl/>
        </w:rPr>
        <w:t xml:space="preserve"> </w:t>
      </w:r>
      <w:r w:rsidRPr="00853C8D">
        <w:rPr>
          <w:rFonts w:hint="eastAsia"/>
          <w:rtl/>
        </w:rPr>
        <w:t>והתפעול</w:t>
      </w:r>
      <w:r w:rsidRPr="00853C8D">
        <w:rPr>
          <w:rtl/>
        </w:rPr>
        <w:t xml:space="preserve"> </w:t>
      </w:r>
      <w:r w:rsidRPr="00853C8D">
        <w:rPr>
          <w:rFonts w:hint="eastAsia"/>
          <w:rtl/>
        </w:rPr>
        <w:t>בלבד</w:t>
      </w:r>
      <w:r w:rsidRPr="00853C8D">
        <w:rPr>
          <w:rtl/>
        </w:rPr>
        <w:t xml:space="preserve">. </w:t>
      </w:r>
      <w:r w:rsidRPr="00853C8D">
        <w:rPr>
          <w:rFonts w:hint="eastAsia"/>
          <w:rtl/>
        </w:rPr>
        <w:t>השימוש</w:t>
      </w:r>
      <w:r w:rsidRPr="00853C8D">
        <w:rPr>
          <w:rtl/>
        </w:rPr>
        <w:t xml:space="preserve"> </w:t>
      </w:r>
      <w:r w:rsidRPr="00853C8D">
        <w:rPr>
          <w:rFonts w:hint="eastAsia"/>
          <w:rtl/>
        </w:rPr>
        <w:t>הנרחב</w:t>
      </w:r>
      <w:r w:rsidRPr="00853C8D">
        <w:rPr>
          <w:rtl/>
        </w:rPr>
        <w:t xml:space="preserve"> בהנחת ההתייעלות גרר הפחתה ב</w:t>
      </w:r>
      <w:r>
        <w:rPr>
          <w:rFonts w:hint="cs"/>
          <w:rtl/>
        </w:rPr>
        <w:t xml:space="preserve">תחשיב של </w:t>
      </w:r>
      <w:r w:rsidRPr="00853C8D">
        <w:rPr>
          <w:rtl/>
        </w:rPr>
        <w:t xml:space="preserve">עלויות הפרויקט </w:t>
      </w:r>
      <w:r>
        <w:rPr>
          <w:rFonts w:hint="cs"/>
          <w:rtl/>
        </w:rPr>
        <w:t>המתווספות עקב יישום המתווה</w:t>
      </w:r>
      <w:r w:rsidRPr="00853C8D">
        <w:rPr>
          <w:rtl/>
        </w:rPr>
        <w:t xml:space="preserve">, </w:t>
      </w:r>
      <w:r w:rsidRPr="00853C8D">
        <w:rPr>
          <w:rFonts w:hint="eastAsia"/>
          <w:rtl/>
        </w:rPr>
        <w:t>בהן</w:t>
      </w:r>
      <w:r w:rsidRPr="00853C8D">
        <w:rPr>
          <w:rtl/>
        </w:rPr>
        <w:t xml:space="preserve"> </w:t>
      </w:r>
      <w:r w:rsidRPr="00853C8D">
        <w:rPr>
          <w:rFonts w:hint="eastAsia"/>
          <w:rtl/>
        </w:rPr>
        <w:t>עלויות</w:t>
      </w:r>
      <w:r w:rsidRPr="00853C8D">
        <w:rPr>
          <w:rtl/>
        </w:rPr>
        <w:t xml:space="preserve"> </w:t>
      </w:r>
      <w:r w:rsidRPr="00853C8D">
        <w:rPr>
          <w:rFonts w:hint="eastAsia"/>
          <w:rtl/>
        </w:rPr>
        <w:lastRenderedPageBreak/>
        <w:t>מימון</w:t>
      </w:r>
      <w:r w:rsidRPr="00853C8D">
        <w:rPr>
          <w:rtl/>
        </w:rPr>
        <w:t xml:space="preserve"> </w:t>
      </w:r>
      <w:r w:rsidRPr="00853C8D">
        <w:rPr>
          <w:rFonts w:hint="eastAsia"/>
          <w:rtl/>
        </w:rPr>
        <w:t>ועלויות</w:t>
      </w:r>
      <w:r w:rsidRPr="00853C8D">
        <w:rPr>
          <w:rtl/>
        </w:rPr>
        <w:t xml:space="preserve"> </w:t>
      </w:r>
      <w:r w:rsidRPr="00853C8D">
        <w:rPr>
          <w:rFonts w:hint="eastAsia"/>
          <w:rtl/>
        </w:rPr>
        <w:t>העסקת</w:t>
      </w:r>
      <w:r w:rsidRPr="00853C8D">
        <w:rPr>
          <w:rtl/>
        </w:rPr>
        <w:t xml:space="preserve"> </w:t>
      </w:r>
      <w:r w:rsidRPr="00853C8D">
        <w:rPr>
          <w:rFonts w:hint="eastAsia"/>
          <w:rtl/>
        </w:rPr>
        <w:t>יועצים</w:t>
      </w:r>
      <w:r w:rsidRPr="00853C8D">
        <w:rPr>
          <w:rtl/>
        </w:rPr>
        <w:t xml:space="preserve">, אשר אינן מושפעות מפוטנציאל החיסכון של הסינרגיה בין </w:t>
      </w:r>
      <w:r w:rsidRPr="00853C8D">
        <w:rPr>
          <w:rFonts w:hint="eastAsia"/>
          <w:rtl/>
        </w:rPr>
        <w:t>שלבי</w:t>
      </w:r>
      <w:r>
        <w:rPr>
          <w:rFonts w:hint="cs"/>
          <w:rtl/>
        </w:rPr>
        <w:t xml:space="preserve"> הפרויקט.</w:t>
      </w:r>
    </w:p>
    <w:p w14:paraId="7FB65BFB" w14:textId="3EF6A978" w:rsidR="00823E3A" w:rsidRPr="00D22316" w:rsidRDefault="00823E3A" w:rsidP="00D22316">
      <w:pPr>
        <w:pStyle w:val="ae"/>
        <w:rPr>
          <w:rtl/>
        </w:rPr>
      </w:pPr>
      <w:r>
        <w:rPr>
          <w:rFonts w:hint="cs"/>
          <w:rtl/>
        </w:rPr>
        <w:t xml:space="preserve">יישום מקדם התייעלות על עלות הפרויקט בשיטה התקציבית עלול לגרור הטיה בתוצאת הבדיקה לטובת יישום מתווה של </w:t>
      </w:r>
      <w:r>
        <w:rPr>
          <w:rFonts w:hint="cs"/>
        </w:rPr>
        <w:t>PPP</w:t>
      </w:r>
      <w:r>
        <w:rPr>
          <w:rFonts w:hint="cs"/>
          <w:rtl/>
        </w:rPr>
        <w:t xml:space="preserve"> באמצעות מתן ית</w:t>
      </w:r>
      <w:r w:rsidR="00D22316">
        <w:rPr>
          <w:rFonts w:hint="cs"/>
          <w:rtl/>
        </w:rPr>
        <w:t>רון בגובה מקדם ההתייעלות שהונח.</w:t>
      </w:r>
    </w:p>
    <w:p w14:paraId="11F3B0E2" w14:textId="77777777" w:rsidR="00823E3A" w:rsidRDefault="00823E3A" w:rsidP="00D22316">
      <w:pPr>
        <w:pStyle w:val="5115"/>
        <w:rPr>
          <w:rtl/>
        </w:rPr>
      </w:pPr>
      <w:r>
        <w:rPr>
          <w:rFonts w:hint="cs"/>
          <w:rtl/>
        </w:rPr>
        <w:t xml:space="preserve">העלויות הייחודיות של המתווה </w:t>
      </w:r>
    </w:p>
    <w:p w14:paraId="7C5F2796" w14:textId="2B333C6D" w:rsidR="00823E3A" w:rsidRDefault="00823E3A" w:rsidP="00D22316">
      <w:pPr>
        <w:pStyle w:val="100"/>
        <w:rPr>
          <w:rtl/>
        </w:rPr>
      </w:pPr>
      <w:r>
        <w:rPr>
          <w:rFonts w:hint="cs"/>
          <w:rtl/>
        </w:rPr>
        <w:t>כל הוצאה של המגזר הפרטי והציבורי הקשורה לפרויקט, ישירה או עקיפה, תגולם בהצעת המחיר ולכן הכרחי שתשוקף באומדן העלויות. שותפות ציבורית-פרטית נושאת עלויות ייחודיות הנוספות על הקיימות בשיטה התקציבית, וזאת בשל מורכבות המתווה ואופיו. המרכזית שבהן היא הוצאת המימון אשר נובעת מגיוס הון בידי המגזר הפרטי ומטילה על הפרויקט התחייבויות מסוגים שונים. הראשון, חוב בכיר, הוא הכספים שנטל המגזר הפרטי מגופים מממנים ועל כן החזרם יובטח במנגנוני ההגנה בהסכם הזיכיון; האחר, חוב נחות, הוא ההון העצמי שהשקיע הזכיין והוא נושא תשואה גבוהה יותר המשקפת את מערך הסיכונים שנטל הזכיין ולכן אינו מובטח. פרט לעלויות המימון, יש עלויות אינהרנטיות נוספות שעלותן המצטברת עשויה להיאמד בעשרות מיליוני שקלים, ואף ששיעורן עשוי להסתכם באחוזים ספורים מתקציב הפרויקט, ראוי לשקפן בבדיקות ההתאמה.</w:t>
      </w:r>
    </w:p>
    <w:p w14:paraId="697EAADD" w14:textId="77777777" w:rsidR="00823E3A" w:rsidRDefault="00823E3A" w:rsidP="00D22316">
      <w:pPr>
        <w:pStyle w:val="af5"/>
        <w:rPr>
          <w:rtl/>
        </w:rPr>
      </w:pPr>
      <w:r w:rsidRPr="006155B4">
        <w:rPr>
          <w:rFonts w:hint="eastAsia"/>
          <w:rtl/>
        </w:rPr>
        <w:t>בדיקת</w:t>
      </w:r>
      <w:r>
        <w:rPr>
          <w:rFonts w:hint="cs"/>
          <w:rtl/>
        </w:rPr>
        <w:t>ו של</w:t>
      </w:r>
      <w:r w:rsidRPr="006155B4">
        <w:rPr>
          <w:rtl/>
        </w:rPr>
        <w:t xml:space="preserve"> </w:t>
      </w:r>
      <w:r w:rsidRPr="006155B4">
        <w:rPr>
          <w:rFonts w:hint="eastAsia"/>
          <w:rtl/>
        </w:rPr>
        <w:t>משרד</w:t>
      </w:r>
      <w:r w:rsidRPr="006155B4">
        <w:rPr>
          <w:rtl/>
        </w:rPr>
        <w:t xml:space="preserve"> </w:t>
      </w:r>
      <w:r w:rsidRPr="006155B4">
        <w:rPr>
          <w:rFonts w:hint="eastAsia"/>
          <w:rtl/>
        </w:rPr>
        <w:t>מבקר</w:t>
      </w:r>
      <w:r w:rsidRPr="006155B4">
        <w:rPr>
          <w:rtl/>
        </w:rPr>
        <w:t xml:space="preserve"> </w:t>
      </w:r>
      <w:r w:rsidRPr="006155B4">
        <w:rPr>
          <w:rFonts w:hint="eastAsia"/>
          <w:rtl/>
        </w:rPr>
        <w:t>המדינה</w:t>
      </w:r>
      <w:r w:rsidRPr="006155B4">
        <w:rPr>
          <w:rtl/>
        </w:rPr>
        <w:t xml:space="preserve"> </w:t>
      </w:r>
      <w:r w:rsidRPr="006155B4">
        <w:rPr>
          <w:rFonts w:hint="eastAsia"/>
          <w:rtl/>
        </w:rPr>
        <w:t>העלתה</w:t>
      </w:r>
      <w:r w:rsidRPr="006155B4">
        <w:rPr>
          <w:rtl/>
        </w:rPr>
        <w:t xml:space="preserve"> </w:t>
      </w:r>
      <w:r w:rsidRPr="006155B4">
        <w:rPr>
          <w:rFonts w:hint="eastAsia"/>
          <w:rtl/>
        </w:rPr>
        <w:t>כי</w:t>
      </w:r>
      <w:r w:rsidRPr="006155B4">
        <w:rPr>
          <w:rtl/>
        </w:rPr>
        <w:t xml:space="preserve"> </w:t>
      </w:r>
      <w:r w:rsidRPr="006155B4">
        <w:rPr>
          <w:rFonts w:hint="eastAsia"/>
          <w:rtl/>
        </w:rPr>
        <w:t>המודל</w:t>
      </w:r>
      <w:r w:rsidRPr="006155B4">
        <w:rPr>
          <w:rtl/>
        </w:rPr>
        <w:t xml:space="preserve"> </w:t>
      </w:r>
      <w:r w:rsidRPr="006155B4">
        <w:rPr>
          <w:rFonts w:hint="eastAsia"/>
          <w:rtl/>
        </w:rPr>
        <w:t>הפיננסי</w:t>
      </w:r>
      <w:r w:rsidRPr="006155B4">
        <w:rPr>
          <w:rtl/>
        </w:rPr>
        <w:t xml:space="preserve"> </w:t>
      </w:r>
      <w:r>
        <w:rPr>
          <w:rFonts w:hint="cs"/>
          <w:rtl/>
        </w:rPr>
        <w:t>ש</w:t>
      </w:r>
      <w:r w:rsidRPr="006155B4">
        <w:rPr>
          <w:rFonts w:hint="eastAsia"/>
          <w:rtl/>
        </w:rPr>
        <w:t>בדיקת</w:t>
      </w:r>
      <w:r w:rsidRPr="006155B4">
        <w:rPr>
          <w:rtl/>
        </w:rPr>
        <w:t xml:space="preserve"> </w:t>
      </w:r>
      <w:r w:rsidRPr="006155B4">
        <w:rPr>
          <w:rFonts w:hint="eastAsia"/>
          <w:rtl/>
        </w:rPr>
        <w:t>ההתאמה</w:t>
      </w:r>
      <w:r w:rsidRPr="006155B4">
        <w:rPr>
          <w:rtl/>
        </w:rPr>
        <w:t xml:space="preserve"> </w:t>
      </w:r>
      <w:r w:rsidRPr="006155B4">
        <w:rPr>
          <w:rFonts w:hint="eastAsia"/>
          <w:rtl/>
        </w:rPr>
        <w:t>של</w:t>
      </w:r>
      <w:r w:rsidRPr="006155B4">
        <w:rPr>
          <w:rtl/>
        </w:rPr>
        <w:t xml:space="preserve"> </w:t>
      </w:r>
      <w:r w:rsidRPr="006155B4">
        <w:rPr>
          <w:rFonts w:hint="eastAsia"/>
          <w:rtl/>
        </w:rPr>
        <w:t>חטיבת</w:t>
      </w:r>
      <w:r w:rsidRPr="006155B4">
        <w:rPr>
          <w:rtl/>
        </w:rPr>
        <w:t xml:space="preserve"> </w:t>
      </w:r>
      <w:r w:rsidRPr="006155B4">
        <w:rPr>
          <w:rFonts w:hint="eastAsia"/>
          <w:rtl/>
        </w:rPr>
        <w:t>תשתיות</w:t>
      </w:r>
      <w:r w:rsidRPr="006155B4">
        <w:rPr>
          <w:rtl/>
        </w:rPr>
        <w:t xml:space="preserve"> </w:t>
      </w:r>
      <w:r w:rsidRPr="006155B4">
        <w:rPr>
          <w:rFonts w:hint="eastAsia"/>
          <w:rtl/>
        </w:rPr>
        <w:t>ופרויקטים</w:t>
      </w:r>
      <w:r>
        <w:rPr>
          <w:rFonts w:hint="cs"/>
          <w:rtl/>
        </w:rPr>
        <w:t xml:space="preserve"> מסתמכת עליו</w:t>
      </w:r>
      <w:r w:rsidRPr="006155B4">
        <w:rPr>
          <w:rtl/>
        </w:rPr>
        <w:t xml:space="preserve">, </w:t>
      </w:r>
      <w:r w:rsidRPr="006155B4">
        <w:rPr>
          <w:rFonts w:hint="eastAsia"/>
          <w:rtl/>
        </w:rPr>
        <w:t>אינו</w:t>
      </w:r>
      <w:r w:rsidRPr="006155B4">
        <w:rPr>
          <w:rtl/>
        </w:rPr>
        <w:t xml:space="preserve"> </w:t>
      </w:r>
      <w:r w:rsidRPr="006155B4">
        <w:rPr>
          <w:rFonts w:hint="eastAsia"/>
          <w:rtl/>
        </w:rPr>
        <w:t>מקיף</w:t>
      </w:r>
      <w:r w:rsidRPr="006155B4">
        <w:rPr>
          <w:rtl/>
        </w:rPr>
        <w:t xml:space="preserve"> </w:t>
      </w:r>
      <w:r w:rsidRPr="006155B4">
        <w:rPr>
          <w:rFonts w:hint="eastAsia"/>
          <w:rtl/>
        </w:rPr>
        <w:t>את</w:t>
      </w:r>
      <w:r w:rsidRPr="006155B4">
        <w:rPr>
          <w:rtl/>
        </w:rPr>
        <w:t xml:space="preserve"> </w:t>
      </w:r>
      <w:r w:rsidRPr="006155B4">
        <w:rPr>
          <w:rFonts w:hint="eastAsia"/>
          <w:rtl/>
        </w:rPr>
        <w:t>כל</w:t>
      </w:r>
      <w:r w:rsidRPr="006155B4">
        <w:rPr>
          <w:rtl/>
        </w:rPr>
        <w:t xml:space="preserve"> </w:t>
      </w:r>
      <w:r w:rsidRPr="006155B4">
        <w:rPr>
          <w:rFonts w:hint="eastAsia"/>
          <w:rtl/>
        </w:rPr>
        <w:t>העלויות</w:t>
      </w:r>
      <w:r w:rsidRPr="006155B4">
        <w:rPr>
          <w:rtl/>
        </w:rPr>
        <w:t xml:space="preserve"> </w:t>
      </w:r>
      <w:r w:rsidRPr="006155B4">
        <w:rPr>
          <w:rFonts w:hint="eastAsia"/>
          <w:rtl/>
        </w:rPr>
        <w:t>הייחודיות</w:t>
      </w:r>
      <w:r w:rsidRPr="006155B4">
        <w:rPr>
          <w:rtl/>
        </w:rPr>
        <w:t xml:space="preserve"> </w:t>
      </w:r>
      <w:r w:rsidRPr="006155B4">
        <w:rPr>
          <w:rFonts w:hint="eastAsia"/>
          <w:rtl/>
        </w:rPr>
        <w:t>הנובעות</w:t>
      </w:r>
      <w:r w:rsidRPr="006155B4">
        <w:rPr>
          <w:rtl/>
        </w:rPr>
        <w:t xml:space="preserve"> </w:t>
      </w:r>
      <w:r w:rsidRPr="006155B4">
        <w:rPr>
          <w:rFonts w:hint="eastAsia"/>
          <w:rtl/>
        </w:rPr>
        <w:t>מהקמת</w:t>
      </w:r>
      <w:r w:rsidRPr="006155B4">
        <w:rPr>
          <w:rtl/>
        </w:rPr>
        <w:t xml:space="preserve"> </w:t>
      </w:r>
      <w:r w:rsidRPr="006155B4">
        <w:rPr>
          <w:rFonts w:hint="eastAsia"/>
          <w:rtl/>
        </w:rPr>
        <w:t>הפרויקט</w:t>
      </w:r>
      <w:r w:rsidRPr="006155B4">
        <w:rPr>
          <w:rtl/>
        </w:rPr>
        <w:t xml:space="preserve"> </w:t>
      </w:r>
      <w:r w:rsidRPr="006155B4">
        <w:rPr>
          <w:rFonts w:hint="eastAsia"/>
          <w:rtl/>
        </w:rPr>
        <w:t>בשיתוף</w:t>
      </w:r>
      <w:r w:rsidRPr="006155B4">
        <w:rPr>
          <w:rtl/>
        </w:rPr>
        <w:t xml:space="preserve"> </w:t>
      </w:r>
      <w:r w:rsidRPr="006155B4">
        <w:rPr>
          <w:rFonts w:hint="eastAsia"/>
          <w:rtl/>
        </w:rPr>
        <w:t>המגזר</w:t>
      </w:r>
      <w:r w:rsidRPr="006155B4">
        <w:rPr>
          <w:rtl/>
        </w:rPr>
        <w:t xml:space="preserve"> </w:t>
      </w:r>
      <w:r w:rsidRPr="006155B4">
        <w:rPr>
          <w:rFonts w:hint="eastAsia"/>
          <w:rtl/>
        </w:rPr>
        <w:t>הפרטי</w:t>
      </w:r>
      <w:r w:rsidRPr="006155B4">
        <w:rPr>
          <w:rtl/>
        </w:rPr>
        <w:t xml:space="preserve">. </w:t>
      </w:r>
      <w:r w:rsidRPr="006155B4">
        <w:rPr>
          <w:rFonts w:hint="eastAsia"/>
          <w:rtl/>
        </w:rPr>
        <w:t>בפרט</w:t>
      </w:r>
      <w:r w:rsidRPr="006155B4">
        <w:rPr>
          <w:rtl/>
        </w:rPr>
        <w:t xml:space="preserve"> </w:t>
      </w:r>
      <w:r w:rsidRPr="006155B4">
        <w:rPr>
          <w:rFonts w:hint="eastAsia"/>
          <w:rtl/>
        </w:rPr>
        <w:t>אין</w:t>
      </w:r>
      <w:r w:rsidRPr="006155B4">
        <w:rPr>
          <w:rtl/>
        </w:rPr>
        <w:t xml:space="preserve"> </w:t>
      </w:r>
      <w:r>
        <w:rPr>
          <w:rFonts w:hint="cs"/>
          <w:rtl/>
        </w:rPr>
        <w:t xml:space="preserve">במודל </w:t>
      </w:r>
      <w:r w:rsidRPr="006155B4">
        <w:rPr>
          <w:rFonts w:hint="eastAsia"/>
          <w:rtl/>
        </w:rPr>
        <w:t>ביטוי</w:t>
      </w:r>
      <w:r w:rsidRPr="006155B4">
        <w:rPr>
          <w:rtl/>
        </w:rPr>
        <w:t xml:space="preserve"> </w:t>
      </w:r>
      <w:r w:rsidRPr="006155B4">
        <w:rPr>
          <w:rFonts w:hint="eastAsia"/>
          <w:rtl/>
        </w:rPr>
        <w:t>לעלויות</w:t>
      </w:r>
      <w:r w:rsidRPr="006155B4">
        <w:rPr>
          <w:rtl/>
        </w:rPr>
        <w:t xml:space="preserve"> </w:t>
      </w:r>
      <w:r w:rsidRPr="006155B4">
        <w:rPr>
          <w:rFonts w:hint="eastAsia"/>
          <w:rtl/>
        </w:rPr>
        <w:t>אינהרנטיות</w:t>
      </w:r>
      <w:r w:rsidRPr="006155B4">
        <w:rPr>
          <w:rtl/>
        </w:rPr>
        <w:t xml:space="preserve"> </w:t>
      </w:r>
      <w:r>
        <w:rPr>
          <w:rFonts w:hint="cs"/>
          <w:rtl/>
        </w:rPr>
        <w:t>ה</w:t>
      </w:r>
      <w:r w:rsidRPr="006155B4">
        <w:rPr>
          <w:rFonts w:hint="eastAsia"/>
          <w:rtl/>
        </w:rPr>
        <w:t>נוספות</w:t>
      </w:r>
      <w:r w:rsidRPr="006155B4">
        <w:rPr>
          <w:rtl/>
        </w:rPr>
        <w:t xml:space="preserve"> </w:t>
      </w:r>
      <w:r>
        <w:rPr>
          <w:rFonts w:hint="cs"/>
          <w:rtl/>
        </w:rPr>
        <w:t>על</w:t>
      </w:r>
      <w:r w:rsidRPr="006155B4">
        <w:rPr>
          <w:rtl/>
        </w:rPr>
        <w:t xml:space="preserve"> </w:t>
      </w:r>
      <w:r>
        <w:rPr>
          <w:rFonts w:hint="cs"/>
          <w:rtl/>
        </w:rPr>
        <w:t>ה</w:t>
      </w:r>
      <w:r w:rsidRPr="006155B4">
        <w:rPr>
          <w:rFonts w:hint="eastAsia"/>
          <w:rtl/>
        </w:rPr>
        <w:t>הוצאות</w:t>
      </w:r>
      <w:r w:rsidRPr="006155B4">
        <w:rPr>
          <w:rtl/>
        </w:rPr>
        <w:t xml:space="preserve"> </w:t>
      </w:r>
      <w:r w:rsidRPr="006155B4">
        <w:rPr>
          <w:rFonts w:hint="eastAsia"/>
          <w:rtl/>
        </w:rPr>
        <w:t>הנובעות</w:t>
      </w:r>
      <w:r w:rsidRPr="006155B4">
        <w:rPr>
          <w:rtl/>
        </w:rPr>
        <w:t xml:space="preserve"> </w:t>
      </w:r>
      <w:r w:rsidRPr="006155B4">
        <w:rPr>
          <w:rFonts w:hint="eastAsia"/>
          <w:rtl/>
        </w:rPr>
        <w:t>ממימון</w:t>
      </w:r>
      <w:r w:rsidRPr="006155B4">
        <w:rPr>
          <w:rtl/>
        </w:rPr>
        <w:t xml:space="preserve"> </w:t>
      </w:r>
      <w:r w:rsidRPr="006155B4">
        <w:rPr>
          <w:rFonts w:hint="eastAsia"/>
          <w:rtl/>
        </w:rPr>
        <w:t>הפרויקט</w:t>
      </w:r>
      <w:r w:rsidRPr="006155B4">
        <w:rPr>
          <w:rtl/>
        </w:rPr>
        <w:t xml:space="preserve"> </w:t>
      </w:r>
      <w:r w:rsidRPr="006155B4">
        <w:rPr>
          <w:rFonts w:hint="eastAsia"/>
          <w:rtl/>
        </w:rPr>
        <w:t>בשיטה</w:t>
      </w:r>
      <w:r w:rsidRPr="006155B4">
        <w:rPr>
          <w:rtl/>
        </w:rPr>
        <w:t xml:space="preserve"> </w:t>
      </w:r>
      <w:r w:rsidRPr="006155B4">
        <w:rPr>
          <w:rFonts w:hint="eastAsia"/>
          <w:rtl/>
        </w:rPr>
        <w:t>זו</w:t>
      </w:r>
      <w:r>
        <w:rPr>
          <w:rFonts w:hint="cs"/>
          <w:rtl/>
        </w:rPr>
        <w:t>, לרבות עלויות הביטוח, התקורה של חברת הפרויקט והעסקת יועצים חיצוניים.</w:t>
      </w:r>
      <w:r w:rsidRPr="006155B4">
        <w:rPr>
          <w:rtl/>
        </w:rPr>
        <w:t xml:space="preserve"> </w:t>
      </w:r>
      <w:r>
        <w:rPr>
          <w:rFonts w:hint="cs"/>
          <w:rtl/>
        </w:rPr>
        <w:t xml:space="preserve">אף ששיעורן הוא אחוזים ספורים מתקציב הפרויקטים, היעדר שיקופן עלול להטות את תוצאת בדיקת ההתאמה במקרים שבהם אין פער מהותי ביחס לשיטה התקציבית. </w:t>
      </w:r>
    </w:p>
    <w:p w14:paraId="24612612" w14:textId="35356B1B" w:rsidR="00823E3A" w:rsidRDefault="00823E3A" w:rsidP="00CE0F5D">
      <w:pPr>
        <w:pStyle w:val="100"/>
        <w:rPr>
          <w:rtl/>
        </w:rPr>
      </w:pPr>
      <w:r>
        <w:rPr>
          <w:rFonts w:hint="cs"/>
          <w:rtl/>
        </w:rPr>
        <w:t>אופייה המורכב של השותפות מחייב להעסיק הן במגזר הפרטי והן במגזר הציבורי מגוון של יועצים מקצועיים, בהם משפטנים, מומחים טכניים, מומחים להנדסה ואנשי כלכלה. העסקת יועצים חיצוניים מטעם המגזר הציבורי בעלות גבוהה משקפת את מומחיותם הייחודית בתחום, ובפרט בניהול הליך של הקמת שותפות ציבורית-פרטית ארוכת-טווח, הנבדל במהותו מהתקשרות במכרז סטנדרטי לרכישת שירותים מהמגזר הפרטי. באופן דומה, המגזר הפרטי מעסיק קבוצת יועצים חיצוניים לשם הבטחת קיומה של הצעה תחרותית לצד שמירה על תשואה ועל הקצאת סיכונים הגיונית בין הצדדים.</w:t>
      </w:r>
    </w:p>
    <w:p w14:paraId="3DFE3F8E" w14:textId="77777777" w:rsidR="00823E3A" w:rsidRDefault="00823E3A" w:rsidP="00CE0F5D">
      <w:pPr>
        <w:pStyle w:val="100"/>
        <w:rPr>
          <w:rtl/>
        </w:rPr>
      </w:pPr>
      <w:r>
        <w:rPr>
          <w:rFonts w:hint="cs"/>
          <w:rtl/>
        </w:rPr>
        <w:t xml:space="preserve">נציגי חטיבת תשתיות ופרויקטים מסרו לצוות הביקורת כי עלותה של העסקת יועצים חיצוניים בידי המגזר הציבורי נדרשת בכל חלופת ביצוע ולכן אינה זוכה להתייחסות מיוחדת בבדיקת ההתאמה. באופן דומה, עלות העסקתם בידי המגזר הפרטי מיוחסת למגישי ההצעות, ללא תלות בפרויקט הנבחן או בזכייה במכרז להקמתו, ולכן אינה יוצרת התחייבות עודפת ביחס לחלופות האחרות. בניגוד לנטען, בדיקתו של משרד מבקר המדינה העלתה כי עלותה של </w:t>
      </w:r>
      <w:r>
        <w:rPr>
          <w:rFonts w:hint="cs"/>
          <w:rtl/>
        </w:rPr>
        <w:lastRenderedPageBreak/>
        <w:t xml:space="preserve">העסקת יועצים חיצוניים מטעם המגזר הפרטי נכללת בהצעת המחיר של המציעים בהתאם להיקף השימוש בכל פרויקט ואינה גורעת מדרישת התשואה להון, וזאת אף שרבות מהוצאות אלו נוצרו טרם ההכרזה על הזוכה במכרז. יתרה מזו, אופי ההתקשרות עם המגזר הפרטי ומורכבותה יוצרים התחייבויות במונחי זמן וכסף הגבוהות מאלה שבהליך של מכרז רגיל. </w:t>
      </w:r>
    </w:p>
    <w:p w14:paraId="682A0B2D" w14:textId="77777777" w:rsidR="00823E3A" w:rsidRDefault="00823E3A" w:rsidP="00D22316">
      <w:pPr>
        <w:pStyle w:val="af5"/>
        <w:rPr>
          <w:rtl/>
        </w:rPr>
      </w:pPr>
      <w:r w:rsidRPr="00304084">
        <w:rPr>
          <w:rFonts w:hint="eastAsia"/>
          <w:rtl/>
        </w:rPr>
        <w:t>לדעת</w:t>
      </w:r>
      <w:r>
        <w:rPr>
          <w:rFonts w:hint="cs"/>
          <w:rtl/>
        </w:rPr>
        <w:t>ו של</w:t>
      </w:r>
      <w:r w:rsidRPr="00304084">
        <w:rPr>
          <w:rtl/>
        </w:rPr>
        <w:t xml:space="preserve"> משרד מבקר המדינה, </w:t>
      </w:r>
      <w:r w:rsidRPr="00304084">
        <w:rPr>
          <w:rFonts w:hint="eastAsia"/>
          <w:rtl/>
        </w:rPr>
        <w:t>ההנחה</w:t>
      </w:r>
      <w:r w:rsidRPr="00304084">
        <w:rPr>
          <w:rtl/>
        </w:rPr>
        <w:t xml:space="preserve"> כי </w:t>
      </w:r>
      <w:r w:rsidRPr="00304084">
        <w:rPr>
          <w:rFonts w:hint="eastAsia"/>
          <w:rtl/>
        </w:rPr>
        <w:t>עלויות</w:t>
      </w:r>
      <w:r w:rsidRPr="00304084">
        <w:rPr>
          <w:rtl/>
        </w:rPr>
        <w:t xml:space="preserve"> </w:t>
      </w:r>
      <w:r w:rsidRPr="00304084">
        <w:rPr>
          <w:rFonts w:hint="eastAsia"/>
          <w:rtl/>
        </w:rPr>
        <w:t>המכרז</w:t>
      </w:r>
      <w:r w:rsidRPr="00304084">
        <w:rPr>
          <w:rtl/>
        </w:rPr>
        <w:t xml:space="preserve"> </w:t>
      </w:r>
      <w:r w:rsidRPr="00304084">
        <w:rPr>
          <w:rFonts w:hint="eastAsia"/>
          <w:rtl/>
        </w:rPr>
        <w:t>עבור</w:t>
      </w:r>
      <w:r w:rsidRPr="00304084">
        <w:rPr>
          <w:rtl/>
        </w:rPr>
        <w:t xml:space="preserve"> </w:t>
      </w:r>
      <w:r w:rsidRPr="00304084">
        <w:rPr>
          <w:rFonts w:hint="eastAsia"/>
          <w:rtl/>
        </w:rPr>
        <w:t>המגזר</w:t>
      </w:r>
      <w:r w:rsidRPr="00304084">
        <w:rPr>
          <w:rtl/>
        </w:rPr>
        <w:t xml:space="preserve"> </w:t>
      </w:r>
      <w:r w:rsidRPr="00304084">
        <w:rPr>
          <w:rFonts w:hint="eastAsia"/>
          <w:rtl/>
        </w:rPr>
        <w:t>הציבורי</w:t>
      </w:r>
      <w:r w:rsidRPr="00304084">
        <w:rPr>
          <w:rtl/>
        </w:rPr>
        <w:t xml:space="preserve"> </w:t>
      </w:r>
      <w:r>
        <w:rPr>
          <w:rFonts w:hint="cs"/>
          <w:rtl/>
        </w:rPr>
        <w:t xml:space="preserve">הן אותן העלויות </w:t>
      </w:r>
      <w:r w:rsidRPr="00304084">
        <w:rPr>
          <w:rFonts w:hint="eastAsia"/>
          <w:rtl/>
        </w:rPr>
        <w:t>על</w:t>
      </w:r>
      <w:r w:rsidRPr="00304084">
        <w:rPr>
          <w:rtl/>
        </w:rPr>
        <w:t xml:space="preserve"> </w:t>
      </w:r>
      <w:r w:rsidRPr="00304084">
        <w:rPr>
          <w:rFonts w:hint="eastAsia"/>
          <w:rtl/>
        </w:rPr>
        <w:t>אף</w:t>
      </w:r>
      <w:r w:rsidRPr="00304084">
        <w:rPr>
          <w:rtl/>
        </w:rPr>
        <w:t xml:space="preserve"> </w:t>
      </w:r>
      <w:r w:rsidRPr="00304084">
        <w:rPr>
          <w:rFonts w:hint="eastAsia"/>
          <w:rtl/>
        </w:rPr>
        <w:t>העסקת</w:t>
      </w:r>
      <w:r w:rsidRPr="00304084">
        <w:rPr>
          <w:rtl/>
        </w:rPr>
        <w:t xml:space="preserve"> </w:t>
      </w:r>
      <w:r w:rsidRPr="00304084">
        <w:rPr>
          <w:rFonts w:hint="eastAsia"/>
          <w:rtl/>
        </w:rPr>
        <w:t>יועצים</w:t>
      </w:r>
      <w:r w:rsidRPr="00304084">
        <w:rPr>
          <w:rtl/>
        </w:rPr>
        <w:t xml:space="preserve"> </w:t>
      </w:r>
      <w:r w:rsidRPr="00304084">
        <w:rPr>
          <w:rFonts w:hint="eastAsia"/>
          <w:rtl/>
        </w:rPr>
        <w:t>חיצוניים</w:t>
      </w:r>
      <w:r w:rsidRPr="00304084">
        <w:rPr>
          <w:rtl/>
        </w:rPr>
        <w:t xml:space="preserve"> </w:t>
      </w:r>
      <w:r w:rsidRPr="00304084">
        <w:rPr>
          <w:rFonts w:hint="eastAsia"/>
          <w:rtl/>
        </w:rPr>
        <w:t>מקצועיים</w:t>
      </w:r>
      <w:r w:rsidRPr="00304084">
        <w:rPr>
          <w:rtl/>
        </w:rPr>
        <w:t xml:space="preserve"> </w:t>
      </w:r>
      <w:r w:rsidRPr="00571BAA">
        <w:rPr>
          <w:rFonts w:hint="eastAsia"/>
          <w:rtl/>
        </w:rPr>
        <w:t>ולתקופה</w:t>
      </w:r>
      <w:r w:rsidRPr="00571BAA">
        <w:rPr>
          <w:rtl/>
        </w:rPr>
        <w:t xml:space="preserve"> </w:t>
      </w:r>
      <w:r w:rsidRPr="00571BAA">
        <w:rPr>
          <w:rFonts w:hint="eastAsia"/>
          <w:rtl/>
        </w:rPr>
        <w:t>ארוכה</w:t>
      </w:r>
      <w:r w:rsidRPr="00571BAA">
        <w:rPr>
          <w:rFonts w:hint="cs"/>
          <w:rtl/>
        </w:rPr>
        <w:t>,</w:t>
      </w:r>
      <w:r w:rsidRPr="00571BAA">
        <w:rPr>
          <w:rtl/>
        </w:rPr>
        <w:t xml:space="preserve"> </w:t>
      </w:r>
      <w:r w:rsidRPr="0035637F">
        <w:rPr>
          <w:rtl/>
        </w:rPr>
        <w:t xml:space="preserve">אינה תואמת </w:t>
      </w:r>
      <w:r w:rsidRPr="00571BAA">
        <w:rPr>
          <w:rFonts w:hint="eastAsia"/>
          <w:rtl/>
        </w:rPr>
        <w:t>את</w:t>
      </w:r>
      <w:r w:rsidRPr="00571BAA">
        <w:rPr>
          <w:rtl/>
        </w:rPr>
        <w:t xml:space="preserve"> </w:t>
      </w:r>
      <w:r w:rsidRPr="00571BAA">
        <w:rPr>
          <w:rFonts w:hint="eastAsia"/>
          <w:rtl/>
        </w:rPr>
        <w:t>מאפייני</w:t>
      </w:r>
      <w:r w:rsidRPr="00571BAA">
        <w:rPr>
          <w:rtl/>
        </w:rPr>
        <w:t xml:space="preserve"> </w:t>
      </w:r>
      <w:r w:rsidRPr="00571BAA">
        <w:rPr>
          <w:rFonts w:hint="eastAsia"/>
          <w:rtl/>
        </w:rPr>
        <w:t>המתווה</w:t>
      </w:r>
      <w:r w:rsidRPr="00571BAA">
        <w:rPr>
          <w:rtl/>
        </w:rPr>
        <w:t xml:space="preserve"> </w:t>
      </w:r>
      <w:r w:rsidRPr="00571BAA">
        <w:rPr>
          <w:rFonts w:hint="eastAsia"/>
          <w:rtl/>
        </w:rPr>
        <w:t>המובהקים</w:t>
      </w:r>
      <w:r w:rsidRPr="00571BAA">
        <w:rPr>
          <w:rtl/>
        </w:rPr>
        <w:t xml:space="preserve">. </w:t>
      </w:r>
      <w:r w:rsidRPr="00571BAA">
        <w:rPr>
          <w:rFonts w:hint="eastAsia"/>
          <w:rtl/>
        </w:rPr>
        <w:t>לפיכך</w:t>
      </w:r>
      <w:r w:rsidRPr="00571BAA">
        <w:rPr>
          <w:rtl/>
        </w:rPr>
        <w:t xml:space="preserve"> </w:t>
      </w:r>
      <w:r w:rsidRPr="00571BAA">
        <w:rPr>
          <w:rFonts w:hint="cs"/>
          <w:rtl/>
        </w:rPr>
        <w:t xml:space="preserve">על חטיבת תשתיות ופרויקטים לשקף </w:t>
      </w:r>
      <w:r>
        <w:rPr>
          <w:rFonts w:hint="cs"/>
          <w:rtl/>
        </w:rPr>
        <w:t xml:space="preserve">במודל הפיננסי </w:t>
      </w:r>
      <w:r w:rsidRPr="00571BAA">
        <w:rPr>
          <w:rFonts w:hint="cs"/>
          <w:rtl/>
        </w:rPr>
        <w:t>את עלות העסקת</w:t>
      </w:r>
      <w:r>
        <w:rPr>
          <w:rFonts w:hint="cs"/>
          <w:rtl/>
        </w:rPr>
        <w:t>ם של</w:t>
      </w:r>
      <w:r w:rsidRPr="00571BAA">
        <w:rPr>
          <w:rFonts w:hint="cs"/>
          <w:rtl/>
        </w:rPr>
        <w:t xml:space="preserve"> </w:t>
      </w:r>
      <w:r>
        <w:rPr>
          <w:rFonts w:hint="cs"/>
          <w:rtl/>
        </w:rPr>
        <w:t>ה</w:t>
      </w:r>
      <w:r w:rsidRPr="00571BAA">
        <w:rPr>
          <w:rFonts w:hint="cs"/>
          <w:rtl/>
        </w:rPr>
        <w:t xml:space="preserve">יועצים </w:t>
      </w:r>
      <w:r>
        <w:rPr>
          <w:rFonts w:hint="cs"/>
          <w:rtl/>
        </w:rPr>
        <w:t>ה</w:t>
      </w:r>
      <w:r w:rsidRPr="00571BAA">
        <w:rPr>
          <w:rFonts w:hint="cs"/>
          <w:rtl/>
        </w:rPr>
        <w:t>חיצוניים של שני הצדדים, אם בהגדלת התשואה להון הנדרשת מצד הזכיינים ואם בהכללת</w:t>
      </w:r>
      <w:r>
        <w:rPr>
          <w:rFonts w:hint="cs"/>
          <w:rtl/>
        </w:rPr>
        <w:t>ה</w:t>
      </w:r>
      <w:r w:rsidRPr="00571BAA">
        <w:rPr>
          <w:rFonts w:hint="cs"/>
          <w:rtl/>
        </w:rPr>
        <w:t xml:space="preserve"> בתקציב</w:t>
      </w:r>
      <w:r w:rsidRPr="00CD0A1F">
        <w:rPr>
          <w:rFonts w:hint="cs"/>
          <w:rtl/>
        </w:rPr>
        <w:t xml:space="preserve"> הפרויקט. </w:t>
      </w:r>
    </w:p>
    <w:p w14:paraId="630BF0C9" w14:textId="77777777" w:rsidR="00823E3A" w:rsidRDefault="00823E3A" w:rsidP="00CE0F5D">
      <w:pPr>
        <w:pStyle w:val="100"/>
        <w:rPr>
          <w:rtl/>
        </w:rPr>
      </w:pPr>
      <w:r w:rsidRPr="00BF6B1F">
        <w:rPr>
          <w:rFonts w:hint="cs"/>
          <w:rtl/>
        </w:rPr>
        <w:t xml:space="preserve">עלות נוספת שאינה משתקפת במודל </w:t>
      </w:r>
      <w:r>
        <w:rPr>
          <w:rFonts w:hint="cs"/>
          <w:rtl/>
        </w:rPr>
        <w:t>הפיננסי</w:t>
      </w:r>
      <w:r w:rsidRPr="00BF6B1F">
        <w:rPr>
          <w:rFonts w:hint="cs"/>
          <w:rtl/>
        </w:rPr>
        <w:t xml:space="preserve"> נובעת מהקמת חברה ייעודית</w:t>
      </w:r>
      <w:r>
        <w:rPr>
          <w:rFonts w:hint="cs"/>
          <w:rtl/>
        </w:rPr>
        <w:t xml:space="preserve"> (</w:t>
      </w:r>
      <w:r>
        <w:t>SPC</w:t>
      </w:r>
      <w:r>
        <w:rPr>
          <w:rFonts w:hint="cs"/>
          <w:rtl/>
        </w:rPr>
        <w:t>) עבור הפרויקט שהזכיין הנבחר נדרש להקים. לחברה זו הוצאות תקורה אשר הכרחיות לשם הבטחת פעילותה התקינה; שיעורן מוערך באחוז אחד עד שני אחוזים מכלל הוצאות הפרויקט</w:t>
      </w:r>
      <w:r>
        <w:rPr>
          <w:rStyle w:val="FootnoteReference"/>
          <w:rtl/>
        </w:rPr>
        <w:footnoteReference w:id="118"/>
      </w:r>
      <w:r>
        <w:rPr>
          <w:rFonts w:hint="cs"/>
          <w:rtl/>
        </w:rPr>
        <w:t xml:space="preserve"> והן מתומחרות בהצעת המחיר של הזכיינים.</w:t>
      </w:r>
      <w:r w:rsidRPr="00BF6B1F">
        <w:rPr>
          <w:rFonts w:hint="cs"/>
          <w:rtl/>
        </w:rPr>
        <w:t xml:space="preserve"> </w:t>
      </w:r>
      <w:r>
        <w:rPr>
          <w:rFonts w:hint="cs"/>
          <w:rtl/>
        </w:rPr>
        <w:t xml:space="preserve">בדיקתו של משרד מבקר המדינה העלתה כי </w:t>
      </w:r>
      <w:r w:rsidRPr="00BF6B1F">
        <w:rPr>
          <w:rFonts w:hint="cs"/>
          <w:rtl/>
        </w:rPr>
        <w:t xml:space="preserve">החטיבה </w:t>
      </w:r>
      <w:r>
        <w:rPr>
          <w:rFonts w:hint="cs"/>
          <w:rtl/>
        </w:rPr>
        <w:t>אינה מציגה עלויות אלו בבדיקות ההתאמה אף שאי אפשר לייחסן לבעלי החברה ואף שהן חלק בלתי נפרד מהעלות של פעילותה התקינה.</w:t>
      </w:r>
    </w:p>
    <w:p w14:paraId="0478F46D" w14:textId="77777777" w:rsidR="00823E3A" w:rsidRPr="007E6D9D" w:rsidRDefault="00823E3A" w:rsidP="00CE0F5D">
      <w:pPr>
        <w:pStyle w:val="100"/>
        <w:rPr>
          <w:rtl/>
        </w:rPr>
      </w:pPr>
      <w:r>
        <w:rPr>
          <w:rFonts w:hint="cs"/>
          <w:rtl/>
        </w:rPr>
        <w:t>עלויות אחרות שאינן באות לידי ביטוי בבדיקות ההתאמה נובעות מן ההבדלים בכיסויי הביטוח בין חלופות הביצוע.</w:t>
      </w:r>
      <w:r w:rsidRPr="009023C1">
        <w:rPr>
          <w:rFonts w:hint="cs"/>
          <w:rtl/>
        </w:rPr>
        <w:t xml:space="preserve"> </w:t>
      </w:r>
      <w:r>
        <w:rPr>
          <w:rFonts w:hint="cs"/>
          <w:rtl/>
        </w:rPr>
        <w:t>אמנם עלויות הביטוח</w:t>
      </w:r>
      <w:r w:rsidRPr="009023C1">
        <w:rPr>
          <w:rFonts w:hint="cs"/>
          <w:rtl/>
        </w:rPr>
        <w:t xml:space="preserve"> מוטלות</w:t>
      </w:r>
      <w:r>
        <w:rPr>
          <w:rFonts w:hint="cs"/>
          <w:rtl/>
        </w:rPr>
        <w:t xml:space="preserve"> על המגזר הפרטי</w:t>
      </w:r>
      <w:r w:rsidRPr="009023C1">
        <w:rPr>
          <w:rFonts w:hint="cs"/>
          <w:rtl/>
        </w:rPr>
        <w:t xml:space="preserve"> הן בפרויקטים תקציביים והן בפרויקטי</w:t>
      </w:r>
      <w:r>
        <w:rPr>
          <w:rFonts w:hint="cs"/>
        </w:rPr>
        <w:t xml:space="preserve"> </w:t>
      </w:r>
      <w:r w:rsidRPr="009023C1">
        <w:rPr>
          <w:rFonts w:hint="cs"/>
        </w:rPr>
        <w:t>PPP</w:t>
      </w:r>
      <w:r>
        <w:t xml:space="preserve"> </w:t>
      </w:r>
      <w:r>
        <w:rPr>
          <w:rFonts w:hint="cs"/>
          <w:rtl/>
        </w:rPr>
        <w:t>ומגולמות בתקציב הפרויקטים</w:t>
      </w:r>
      <w:r w:rsidRPr="009023C1">
        <w:rPr>
          <w:rFonts w:hint="cs"/>
          <w:rtl/>
        </w:rPr>
        <w:t>,</w:t>
      </w:r>
      <w:r>
        <w:rPr>
          <w:rFonts w:hint="cs"/>
          <w:rtl/>
        </w:rPr>
        <w:t xml:space="preserve"> אולם</w:t>
      </w:r>
      <w:r w:rsidRPr="009023C1">
        <w:rPr>
          <w:rFonts w:hint="cs"/>
          <w:rtl/>
        </w:rPr>
        <w:t xml:space="preserve"> </w:t>
      </w:r>
      <w:r>
        <w:rPr>
          <w:rFonts w:hint="cs"/>
          <w:rtl/>
        </w:rPr>
        <w:t xml:space="preserve">לעיתים הכיסוי הביטוחי הנהוג בפרויקטי </w:t>
      </w:r>
      <w:r>
        <w:rPr>
          <w:rFonts w:hint="cs"/>
        </w:rPr>
        <w:t>PPP</w:t>
      </w:r>
      <w:r>
        <w:rPr>
          <w:rFonts w:hint="cs"/>
          <w:rtl/>
        </w:rPr>
        <w:t xml:space="preserve"> מקיף יותר ולכן כרוך בפרמיות גבוהות יותר שאינן משתקפות במודל הפיננסי. יתר על כן, המדינה ככלל אינה מבטחת את כל נכסיה, מתוך שיקול של ניהול סיכונים בבחינת עלות מול תועלת, ואילו פרויקטים המבוצעים בשיתוף המגזר הפרטי מחויבים בביטוח מקיף לכל אורכם. ההבדלים בין תקופות </w:t>
      </w:r>
      <w:r w:rsidRPr="009023C1">
        <w:rPr>
          <w:rFonts w:hint="cs"/>
          <w:rtl/>
        </w:rPr>
        <w:t>הביטוח</w:t>
      </w:r>
      <w:r>
        <w:rPr>
          <w:rFonts w:hint="cs"/>
          <w:rtl/>
        </w:rPr>
        <w:t xml:space="preserve"> משתקפים בסך </w:t>
      </w:r>
      <w:r w:rsidRPr="009023C1">
        <w:rPr>
          <w:rFonts w:hint="cs"/>
          <w:rtl/>
        </w:rPr>
        <w:t>ההתחייבויו</w:t>
      </w:r>
      <w:r>
        <w:rPr>
          <w:rFonts w:hint="cs"/>
          <w:rtl/>
        </w:rPr>
        <w:t xml:space="preserve">ת שאינן באות לידי ביטוי במודל הפיננסי. </w:t>
      </w:r>
    </w:p>
    <w:p w14:paraId="17851BD8" w14:textId="343E0313" w:rsidR="00823E3A" w:rsidRDefault="00823E3A" w:rsidP="00CE0F5D">
      <w:pPr>
        <w:pStyle w:val="af5"/>
        <w:rPr>
          <w:rtl/>
        </w:rPr>
      </w:pPr>
      <w:r>
        <w:rPr>
          <w:rFonts w:hint="cs"/>
          <w:rtl/>
        </w:rPr>
        <w:t>חלופות ביצוע שונות יוצרות הוצאות שונות, ולכן התעלמות ממקצתן עלולה להטות את תוצאות המודל הפיננסי. על חטיבת תשתיות ופרויקטים לבחון בעת ביצוע בדיקות ההתאמה את עלויות הפרויקט הרלוונטיות אשר נקבעות על פי שיטת הביצוע הנבחנת ולתת להן ביטוי הולם בבדיקה.</w:t>
      </w:r>
    </w:p>
    <w:p w14:paraId="0FE5CECB" w14:textId="67A1FCEF" w:rsidR="00823E3A" w:rsidRPr="000513D2" w:rsidRDefault="00823E3A" w:rsidP="00D22316">
      <w:pPr>
        <w:pStyle w:val="100"/>
        <w:rPr>
          <w:rtl/>
        </w:rPr>
      </w:pPr>
      <w:r>
        <w:rPr>
          <w:rFonts w:hint="cs"/>
          <w:rtl/>
        </w:rPr>
        <w:t xml:space="preserve">על פי רוב, </w:t>
      </w:r>
      <w:r w:rsidRPr="0029323B">
        <w:rPr>
          <w:rFonts w:hint="cs"/>
          <w:rtl/>
        </w:rPr>
        <w:t>עלויות העסקה</w:t>
      </w:r>
      <w:r>
        <w:rPr>
          <w:rFonts w:hint="cs"/>
          <w:rtl/>
        </w:rPr>
        <w:t xml:space="preserve"> של שותפות ציבורית-פרטית מובילות לכך שפרויקטים המוקמים בשיטת </w:t>
      </w:r>
      <w:r>
        <w:rPr>
          <w:rFonts w:hint="cs"/>
        </w:rPr>
        <w:t>PFI</w:t>
      </w:r>
      <w:r>
        <w:rPr>
          <w:rFonts w:hint="cs"/>
          <w:rtl/>
        </w:rPr>
        <w:t xml:space="preserve"> יקרים בהשוואה לחלופה התקציבית</w:t>
      </w:r>
      <w:r>
        <w:rPr>
          <w:rStyle w:val="FootnoteReference"/>
          <w:rtl/>
        </w:rPr>
        <w:footnoteReference w:id="119"/>
      </w:r>
      <w:r w:rsidRPr="0029323B">
        <w:rPr>
          <w:rFonts w:hint="cs"/>
          <w:rtl/>
        </w:rPr>
        <w:t xml:space="preserve">. </w:t>
      </w:r>
      <w:r>
        <w:rPr>
          <w:rFonts w:hint="cs"/>
          <w:rtl/>
        </w:rPr>
        <w:t xml:space="preserve">שיטת התקשרות זו היא השכיחה בפרויקטי בינוי המוקמים </w:t>
      </w:r>
      <w:r w:rsidRPr="000513D2">
        <w:rPr>
          <w:rFonts w:hint="cs"/>
          <w:rtl/>
        </w:rPr>
        <w:t xml:space="preserve">במתווה של </w:t>
      </w:r>
      <w:r>
        <w:rPr>
          <w:rFonts w:hint="cs"/>
        </w:rPr>
        <w:t>PPP</w:t>
      </w:r>
      <w:r w:rsidRPr="000513D2">
        <w:rPr>
          <w:rFonts w:hint="cs"/>
          <w:rtl/>
        </w:rPr>
        <w:t xml:space="preserve"> שמנהלים משרד הביטחון ומנהלת הבינוי. </w:t>
      </w:r>
      <w:r>
        <w:rPr>
          <w:rFonts w:hint="cs"/>
          <w:rtl/>
        </w:rPr>
        <w:t>מאחר ש</w:t>
      </w:r>
      <w:r w:rsidRPr="000513D2">
        <w:rPr>
          <w:rFonts w:hint="cs"/>
          <w:rtl/>
        </w:rPr>
        <w:t xml:space="preserve">אין </w:t>
      </w:r>
      <w:r>
        <w:rPr>
          <w:rFonts w:hint="cs"/>
          <w:rtl/>
        </w:rPr>
        <w:t xml:space="preserve">בנמצא </w:t>
      </w:r>
      <w:r w:rsidRPr="000513D2">
        <w:rPr>
          <w:rFonts w:hint="cs"/>
          <w:rtl/>
        </w:rPr>
        <w:t xml:space="preserve">תיעוד להנחות </w:t>
      </w:r>
      <w:r>
        <w:rPr>
          <w:rFonts w:hint="cs"/>
          <w:rtl/>
        </w:rPr>
        <w:t xml:space="preserve">של </w:t>
      </w:r>
      <w:r w:rsidRPr="000513D2">
        <w:rPr>
          <w:rFonts w:hint="cs"/>
          <w:rtl/>
        </w:rPr>
        <w:t>המודל הפיננסי עבור כל בדיקות ההתאמה שביצעו משרד הביטחון ומנהלת הבינוי</w:t>
      </w:r>
      <w:r>
        <w:rPr>
          <w:rFonts w:hint="cs"/>
          <w:rtl/>
        </w:rPr>
        <w:t xml:space="preserve">, </w:t>
      </w:r>
      <w:r w:rsidRPr="000513D2">
        <w:rPr>
          <w:rFonts w:hint="cs"/>
          <w:rtl/>
        </w:rPr>
        <w:t>לא התאפשרה בחינה ראויה של הכללת כל עלויות העסקה ואיכות אמידת</w:t>
      </w:r>
      <w:r>
        <w:rPr>
          <w:rFonts w:hint="cs"/>
          <w:rtl/>
        </w:rPr>
        <w:t>ן.</w:t>
      </w:r>
    </w:p>
    <w:p w14:paraId="7E3AEC14" w14:textId="77777777" w:rsidR="00823E3A" w:rsidRDefault="00823E3A" w:rsidP="00D22316">
      <w:pPr>
        <w:pStyle w:val="5115"/>
        <w:rPr>
          <w:rtl/>
        </w:rPr>
      </w:pPr>
      <w:r>
        <w:rPr>
          <w:rFonts w:hint="cs"/>
          <w:rtl/>
        </w:rPr>
        <w:lastRenderedPageBreak/>
        <w:t xml:space="preserve">היוון </w:t>
      </w:r>
      <w:r w:rsidRPr="000513D2">
        <w:rPr>
          <w:rFonts w:hint="cs"/>
          <w:rtl/>
        </w:rPr>
        <w:t>תזרים הפרויקט</w:t>
      </w:r>
    </w:p>
    <w:p w14:paraId="148554FB" w14:textId="30B4EDA0" w:rsidR="00823E3A" w:rsidRPr="000513D2" w:rsidRDefault="00823E3A" w:rsidP="00D22316">
      <w:pPr>
        <w:pStyle w:val="100"/>
        <w:rPr>
          <w:rtl/>
        </w:rPr>
      </w:pPr>
      <w:r>
        <w:rPr>
          <w:rFonts w:hint="cs"/>
          <w:rtl/>
        </w:rPr>
        <w:t xml:space="preserve">תזרים הפרויקט מציג את פריסת ההתחייבויות של הפרויקט ומשמש לעריכת השוואה </w:t>
      </w:r>
      <w:r w:rsidRPr="000513D2">
        <w:rPr>
          <w:rFonts w:hint="cs"/>
          <w:rtl/>
        </w:rPr>
        <w:t xml:space="preserve">בין </w:t>
      </w:r>
      <w:r>
        <w:rPr>
          <w:rFonts w:hint="cs"/>
          <w:rtl/>
        </w:rPr>
        <w:t>חלופות</w:t>
      </w:r>
      <w:r w:rsidRPr="000513D2">
        <w:rPr>
          <w:rFonts w:hint="cs"/>
          <w:rtl/>
        </w:rPr>
        <w:t xml:space="preserve"> ההשקעה שנבדלות בהוצאותיהן</w:t>
      </w:r>
      <w:r>
        <w:rPr>
          <w:rFonts w:hint="cs"/>
          <w:rtl/>
        </w:rPr>
        <w:t xml:space="preserve"> בהתאם ל</w:t>
      </w:r>
      <w:r w:rsidRPr="000513D2">
        <w:rPr>
          <w:rFonts w:hint="cs"/>
          <w:rtl/>
        </w:rPr>
        <w:t xml:space="preserve">הנחות הגלומות בבסיסן. תזרים פרויקט </w:t>
      </w:r>
      <w:r>
        <w:rPr>
          <w:rFonts w:hint="cs"/>
          <w:rtl/>
        </w:rPr>
        <w:t xml:space="preserve">המוקם </w:t>
      </w:r>
      <w:r w:rsidRPr="000513D2">
        <w:rPr>
          <w:rFonts w:hint="cs"/>
          <w:rtl/>
        </w:rPr>
        <w:t xml:space="preserve">בשיתוף המגזר הפרטי </w:t>
      </w:r>
      <w:r>
        <w:rPr>
          <w:rFonts w:hint="cs"/>
          <w:rtl/>
        </w:rPr>
        <w:t xml:space="preserve">ומבוסס על </w:t>
      </w:r>
      <w:r w:rsidRPr="000513D2">
        <w:rPr>
          <w:rFonts w:hint="cs"/>
          <w:rtl/>
        </w:rPr>
        <w:t>הנחות התייעלות</w:t>
      </w:r>
      <w:r>
        <w:rPr>
          <w:rFonts w:hint="cs"/>
          <w:rtl/>
        </w:rPr>
        <w:t>,</w:t>
      </w:r>
      <w:r w:rsidRPr="000513D2">
        <w:rPr>
          <w:rFonts w:hint="cs"/>
          <w:rtl/>
        </w:rPr>
        <w:t xml:space="preserve"> מגלם עלויות עסקה ייחודיות וכן תשלומי פריסת חוב על פני זמן אשר אינם </w:t>
      </w:r>
      <w:r>
        <w:rPr>
          <w:rFonts w:hint="cs"/>
          <w:rtl/>
        </w:rPr>
        <w:t xml:space="preserve">מופיעים </w:t>
      </w:r>
      <w:r w:rsidRPr="000513D2">
        <w:rPr>
          <w:rFonts w:hint="cs"/>
          <w:rtl/>
        </w:rPr>
        <w:t>בתזרים</w:t>
      </w:r>
      <w:r>
        <w:rPr>
          <w:rFonts w:hint="cs"/>
          <w:rtl/>
        </w:rPr>
        <w:t xml:space="preserve"> של פרויקט המוקם ב</w:t>
      </w:r>
      <w:r w:rsidRPr="000513D2">
        <w:rPr>
          <w:rFonts w:hint="cs"/>
          <w:rtl/>
        </w:rPr>
        <w:t xml:space="preserve">שיטה התקציבית. </w:t>
      </w:r>
      <w:r>
        <w:rPr>
          <w:rFonts w:hint="cs"/>
          <w:rtl/>
        </w:rPr>
        <w:t>כדי</w:t>
      </w:r>
      <w:r w:rsidRPr="000513D2">
        <w:rPr>
          <w:rFonts w:hint="cs"/>
          <w:rtl/>
        </w:rPr>
        <w:t xml:space="preserve"> להשוות בין חלופות הביצוע </w:t>
      </w:r>
      <w:r>
        <w:rPr>
          <w:rFonts w:hint="cs"/>
          <w:rtl/>
        </w:rPr>
        <w:t xml:space="preserve">יש להוון את </w:t>
      </w:r>
      <w:r w:rsidRPr="000513D2">
        <w:rPr>
          <w:rFonts w:hint="cs"/>
          <w:rtl/>
        </w:rPr>
        <w:t>תזרים הפרויקט בכל השיטות הנבחנות</w:t>
      </w:r>
      <w:r>
        <w:rPr>
          <w:rFonts w:hint="cs"/>
          <w:rtl/>
        </w:rPr>
        <w:t xml:space="preserve"> ל</w:t>
      </w:r>
      <w:r w:rsidRPr="000513D2">
        <w:rPr>
          <w:rFonts w:hint="cs"/>
          <w:rtl/>
        </w:rPr>
        <w:t>ערך נוכחי נקי (</w:t>
      </w:r>
      <w:r w:rsidRPr="000513D2">
        <w:rPr>
          <w:rFonts w:hint="cs"/>
        </w:rPr>
        <w:t>NPV</w:t>
      </w:r>
      <w:r w:rsidRPr="000513D2">
        <w:rPr>
          <w:rFonts w:hint="cs"/>
          <w:rtl/>
        </w:rPr>
        <w:t>)</w:t>
      </w:r>
      <w:r>
        <w:rPr>
          <w:rStyle w:val="FootnoteReference"/>
          <w:rtl/>
        </w:rPr>
        <w:footnoteReference w:id="120"/>
      </w:r>
      <w:r w:rsidRPr="000513D2">
        <w:rPr>
          <w:rFonts w:hint="cs"/>
          <w:rtl/>
        </w:rPr>
        <w:t xml:space="preserve">. תזרים הפרויקט אובייקטיבי ומחושב </w:t>
      </w:r>
      <w:r w:rsidRPr="00711E93">
        <w:rPr>
          <w:rFonts w:hint="cs"/>
          <w:rtl/>
        </w:rPr>
        <w:t xml:space="preserve">באמצעות אמידת כל עלויות הפרויקט </w:t>
      </w:r>
      <w:r w:rsidRPr="002A5F32">
        <w:rPr>
          <w:rFonts w:hint="eastAsia"/>
          <w:rtl/>
        </w:rPr>
        <w:t>על</w:t>
      </w:r>
      <w:r w:rsidRPr="002A5F32">
        <w:rPr>
          <w:rtl/>
        </w:rPr>
        <w:t xml:space="preserve"> פי </w:t>
      </w:r>
      <w:r w:rsidRPr="00711E93">
        <w:rPr>
          <w:rFonts w:hint="cs"/>
          <w:rtl/>
        </w:rPr>
        <w:t xml:space="preserve">שיטת הביצוע, </w:t>
      </w:r>
      <w:r>
        <w:rPr>
          <w:rFonts w:hint="cs"/>
          <w:rtl/>
        </w:rPr>
        <w:t xml:space="preserve">ואילו </w:t>
      </w:r>
      <w:r w:rsidRPr="00711E93">
        <w:rPr>
          <w:rFonts w:hint="cs"/>
          <w:rtl/>
        </w:rPr>
        <w:t>שי</w:t>
      </w:r>
      <w:r w:rsidRPr="000513D2">
        <w:rPr>
          <w:rFonts w:hint="cs"/>
          <w:rtl/>
        </w:rPr>
        <w:t xml:space="preserve">עור ההיוון </w:t>
      </w:r>
      <w:r>
        <w:rPr>
          <w:rFonts w:hint="cs"/>
          <w:rtl/>
        </w:rPr>
        <w:t xml:space="preserve">קשור </w:t>
      </w:r>
      <w:r w:rsidRPr="000513D2">
        <w:rPr>
          <w:rFonts w:hint="cs"/>
          <w:rtl/>
        </w:rPr>
        <w:t>לסיכון הגלום בפרויקט ולשיעור התשואה ה</w:t>
      </w:r>
      <w:r>
        <w:rPr>
          <w:rFonts w:hint="cs"/>
          <w:rtl/>
        </w:rPr>
        <w:t xml:space="preserve">חלופי </w:t>
      </w:r>
      <w:r w:rsidRPr="000513D2">
        <w:rPr>
          <w:rFonts w:hint="cs"/>
          <w:rtl/>
        </w:rPr>
        <w:t>על ההון ו</w:t>
      </w:r>
      <w:r>
        <w:rPr>
          <w:rFonts w:hint="cs"/>
          <w:rtl/>
        </w:rPr>
        <w:t>אפשר לאמוד אותו באמצעות</w:t>
      </w:r>
      <w:r w:rsidRPr="000513D2">
        <w:rPr>
          <w:rFonts w:hint="cs"/>
          <w:rtl/>
        </w:rPr>
        <w:t xml:space="preserve"> מודלים שונים. </w:t>
      </w:r>
      <w:r>
        <w:rPr>
          <w:rFonts w:hint="cs"/>
          <w:rtl/>
        </w:rPr>
        <w:t>בבריטניה, לדוגמה, גובש מודל להיוון פרויקטים שיצר אחידות בשיטת ההיוון של הפרויקטים (המודל מופיע בספר הירוק).</w:t>
      </w:r>
    </w:p>
    <w:p w14:paraId="2B0EB3EE" w14:textId="124D7885" w:rsidR="00823E3A" w:rsidRPr="000513D2" w:rsidRDefault="00823E3A" w:rsidP="00D22316">
      <w:pPr>
        <w:pStyle w:val="af5"/>
        <w:rPr>
          <w:rtl/>
        </w:rPr>
      </w:pPr>
      <w:r w:rsidRPr="008B4464">
        <w:rPr>
          <w:rFonts w:hint="eastAsia"/>
          <w:rtl/>
        </w:rPr>
        <w:t>נמצא</w:t>
      </w:r>
      <w:r w:rsidRPr="008B4464">
        <w:rPr>
          <w:rtl/>
        </w:rPr>
        <w:t xml:space="preserve"> כי </w:t>
      </w:r>
      <w:r>
        <w:rPr>
          <w:rFonts w:hint="cs"/>
          <w:rtl/>
        </w:rPr>
        <w:t xml:space="preserve">בכלל משרדי הממשלה אין </w:t>
      </w:r>
      <w:r w:rsidRPr="008B4464">
        <w:rPr>
          <w:rtl/>
        </w:rPr>
        <w:t xml:space="preserve">מתודולוגיה אחידה לקביעת שיעור ההיוון הן לפרויקטים בחלופה התקציבית והן לפרויקטים בשיתוף המגזר הפרטי. </w:t>
      </w:r>
      <w:r>
        <w:rPr>
          <w:rFonts w:hint="cs"/>
          <w:rtl/>
        </w:rPr>
        <w:t xml:space="preserve">בעקבות זאת, </w:t>
      </w:r>
      <w:r w:rsidRPr="008B4464">
        <w:rPr>
          <w:rtl/>
        </w:rPr>
        <w:t xml:space="preserve">גופים </w:t>
      </w:r>
      <w:r>
        <w:rPr>
          <w:rFonts w:hint="cs"/>
          <w:rtl/>
        </w:rPr>
        <w:t>ה</w:t>
      </w:r>
      <w:r w:rsidRPr="008B4464">
        <w:rPr>
          <w:rtl/>
        </w:rPr>
        <w:t>אמונים על ביצוע בדיקות ההתאמה ליישום המתווה משתמשים בהנחות שונות במהותן ב</w:t>
      </w:r>
      <w:r>
        <w:rPr>
          <w:rFonts w:hint="cs"/>
          <w:rtl/>
        </w:rPr>
        <w:t>עת</w:t>
      </w:r>
      <w:r w:rsidRPr="008B4464">
        <w:rPr>
          <w:rtl/>
        </w:rPr>
        <w:t xml:space="preserve"> חישוב שיעור</w:t>
      </w:r>
      <w:r>
        <w:rPr>
          <w:rFonts w:hint="cs"/>
          <w:rtl/>
        </w:rPr>
        <w:t>ו של</w:t>
      </w:r>
      <w:r w:rsidRPr="008B4464">
        <w:rPr>
          <w:rtl/>
        </w:rPr>
        <w:t xml:space="preserve"> ההיוון הנדרש, </w:t>
      </w:r>
      <w:r>
        <w:rPr>
          <w:rFonts w:hint="cs"/>
          <w:rtl/>
        </w:rPr>
        <w:t xml:space="preserve">ולכן </w:t>
      </w:r>
      <w:r w:rsidRPr="008B4464">
        <w:rPr>
          <w:rtl/>
        </w:rPr>
        <w:t>התוצאה המתקבלת תלויה בזהות</w:t>
      </w:r>
      <w:r>
        <w:rPr>
          <w:rFonts w:hint="cs"/>
          <w:rtl/>
        </w:rPr>
        <w:t>ו של</w:t>
      </w:r>
      <w:r w:rsidRPr="008B4464">
        <w:rPr>
          <w:rtl/>
        </w:rPr>
        <w:t xml:space="preserve"> עורך החישוב. </w:t>
      </w:r>
    </w:p>
    <w:p w14:paraId="651319DE" w14:textId="284259D2" w:rsidR="00823E3A" w:rsidRDefault="00823E3A" w:rsidP="00D22316">
      <w:pPr>
        <w:pStyle w:val="100"/>
        <w:rPr>
          <w:rtl/>
        </w:rPr>
      </w:pPr>
      <w:r w:rsidRPr="000513D2">
        <w:rPr>
          <w:rFonts w:hint="cs"/>
          <w:rtl/>
        </w:rPr>
        <w:t>נ</w:t>
      </w:r>
      <w:r>
        <w:rPr>
          <w:rFonts w:hint="cs"/>
          <w:rtl/>
        </w:rPr>
        <w:t>ו</w:t>
      </w:r>
      <w:r w:rsidRPr="000513D2">
        <w:rPr>
          <w:rFonts w:hint="cs"/>
          <w:rtl/>
        </w:rPr>
        <w:t>הלי חטיבת תשתיות ופרויקטים לביצוע בחינות ההתאמה מורות על יישום שיעור היוון המבטא את שיעור גיוס החוב של המדינה כדי לשקף את העלות למגזר</w:t>
      </w:r>
      <w:r w:rsidR="00D22316">
        <w:rPr>
          <w:rFonts w:hint="cs"/>
          <w:rtl/>
        </w:rPr>
        <w:t xml:space="preserve"> הציבורי עבור כל חלופות הביצוע.</w:t>
      </w:r>
    </w:p>
    <w:p w14:paraId="71C1FD51" w14:textId="0A41AFE7" w:rsidR="00823E3A" w:rsidRPr="000513D2" w:rsidRDefault="00823E3A" w:rsidP="00D22316">
      <w:pPr>
        <w:pStyle w:val="100"/>
        <w:rPr>
          <w:rtl/>
        </w:rPr>
      </w:pPr>
      <w:r>
        <w:rPr>
          <w:rFonts w:hint="cs"/>
          <w:rtl/>
        </w:rPr>
        <w:t xml:space="preserve">לגישת </w:t>
      </w:r>
      <w:r w:rsidRPr="000513D2">
        <w:rPr>
          <w:rFonts w:hint="cs"/>
          <w:rtl/>
        </w:rPr>
        <w:t>מנהלת הבינוי</w:t>
      </w:r>
      <w:r>
        <w:rPr>
          <w:rFonts w:hint="cs"/>
          <w:rtl/>
        </w:rPr>
        <w:t>,</w:t>
      </w:r>
      <w:r w:rsidRPr="000513D2">
        <w:rPr>
          <w:rFonts w:hint="cs"/>
          <w:rtl/>
        </w:rPr>
        <w:t xml:space="preserve"> נדרשת הבחנה בין החלופה התקציבית לזו המשלבת את המגזר הפרטי</w:t>
      </w:r>
      <w:r>
        <w:rPr>
          <w:rFonts w:hint="cs"/>
          <w:rtl/>
        </w:rPr>
        <w:t xml:space="preserve"> </w:t>
      </w:r>
      <w:r w:rsidRPr="000513D2">
        <w:rPr>
          <w:rFonts w:hint="cs"/>
          <w:rtl/>
        </w:rPr>
        <w:t xml:space="preserve">בשיעור ההיוון </w:t>
      </w:r>
      <w:r>
        <w:rPr>
          <w:rFonts w:hint="cs"/>
          <w:rtl/>
        </w:rPr>
        <w:t>שיש להשתמש בו</w:t>
      </w:r>
      <w:r w:rsidRPr="000513D2">
        <w:rPr>
          <w:rFonts w:hint="cs"/>
          <w:rtl/>
        </w:rPr>
        <w:t xml:space="preserve">. </w:t>
      </w:r>
      <w:r>
        <w:rPr>
          <w:rFonts w:hint="cs"/>
          <w:rtl/>
        </w:rPr>
        <w:t xml:space="preserve">המנהלת גורסת </w:t>
      </w:r>
      <w:r w:rsidRPr="000513D2">
        <w:rPr>
          <w:rFonts w:hint="cs"/>
          <w:rtl/>
        </w:rPr>
        <w:t>שבפרויקטים המוקמים ב</w:t>
      </w:r>
      <w:r>
        <w:rPr>
          <w:rFonts w:hint="cs"/>
          <w:rtl/>
        </w:rPr>
        <w:t>שיתוף המגזר הפרטי</w:t>
      </w:r>
      <w:r w:rsidRPr="000513D2">
        <w:rPr>
          <w:rFonts w:hint="cs"/>
          <w:rtl/>
        </w:rPr>
        <w:t xml:space="preserve"> מחיר ההון הראוי נמוך בכשני אחוזים ממחיר ההון היזמי</w:t>
      </w:r>
      <w:r>
        <w:rPr>
          <w:rFonts w:hint="cs"/>
          <w:rtl/>
        </w:rPr>
        <w:t xml:space="preserve"> (</w:t>
      </w:r>
      <w:r w:rsidRPr="000513D2">
        <w:rPr>
          <w:rFonts w:hint="cs"/>
          <w:rtl/>
        </w:rPr>
        <w:t>שיעור התשואה המשוקללת</w:t>
      </w:r>
      <w:r>
        <w:rPr>
          <w:rFonts w:hint="cs"/>
          <w:rtl/>
        </w:rPr>
        <w:t>)</w:t>
      </w:r>
      <w:r w:rsidRPr="000513D2">
        <w:rPr>
          <w:rFonts w:hint="cs"/>
          <w:rtl/>
        </w:rPr>
        <w:t xml:space="preserve">, </w:t>
      </w:r>
      <w:r>
        <w:rPr>
          <w:rFonts w:hint="cs"/>
          <w:rtl/>
        </w:rPr>
        <w:t xml:space="preserve">ואילו </w:t>
      </w:r>
      <w:r w:rsidRPr="000513D2">
        <w:rPr>
          <w:rFonts w:hint="cs"/>
          <w:rtl/>
        </w:rPr>
        <w:t xml:space="preserve">שיעור ההיוון בפרויקטים המוקמים בשיטה התקציבית </w:t>
      </w:r>
      <w:r>
        <w:rPr>
          <w:rFonts w:hint="cs"/>
          <w:rtl/>
        </w:rPr>
        <w:t xml:space="preserve">אמור </w:t>
      </w:r>
      <w:r w:rsidRPr="000513D2">
        <w:rPr>
          <w:rFonts w:hint="cs"/>
          <w:rtl/>
        </w:rPr>
        <w:t xml:space="preserve">לגלם את הסיכונים הקיימים בפרויקט </w:t>
      </w:r>
      <w:r>
        <w:rPr>
          <w:rFonts w:hint="cs"/>
          <w:rtl/>
        </w:rPr>
        <w:t xml:space="preserve">נוסף על </w:t>
      </w:r>
      <w:r w:rsidRPr="000513D2">
        <w:rPr>
          <w:rFonts w:hint="cs"/>
          <w:rtl/>
        </w:rPr>
        <w:t>שיעור</w:t>
      </w:r>
      <w:r>
        <w:rPr>
          <w:rFonts w:hint="cs"/>
          <w:rtl/>
        </w:rPr>
        <w:t>ו של</w:t>
      </w:r>
      <w:r w:rsidRPr="000513D2">
        <w:rPr>
          <w:rFonts w:hint="cs"/>
          <w:rtl/>
        </w:rPr>
        <w:t xml:space="preserve"> גיוס החוב של המדינה.</w:t>
      </w:r>
    </w:p>
    <w:p w14:paraId="3A200FC7" w14:textId="77777777" w:rsidR="00823E3A" w:rsidRDefault="00823E3A" w:rsidP="00D22316">
      <w:pPr>
        <w:pStyle w:val="100"/>
        <w:rPr>
          <w:rtl/>
        </w:rPr>
      </w:pPr>
      <w:r w:rsidRPr="000513D2">
        <w:rPr>
          <w:rFonts w:hint="cs"/>
          <w:rtl/>
        </w:rPr>
        <w:t xml:space="preserve">נוהל משרד הביטחון מורה על בניית מודל פיננסי </w:t>
      </w:r>
      <w:r>
        <w:rPr>
          <w:rFonts w:hint="cs"/>
          <w:rtl/>
        </w:rPr>
        <w:t>ה</w:t>
      </w:r>
      <w:r w:rsidRPr="000513D2">
        <w:rPr>
          <w:rFonts w:hint="cs"/>
          <w:rtl/>
        </w:rPr>
        <w:t>בוחן את כדאיות הפרויקט עבור המגזר הפרטי לצד איתנותו</w:t>
      </w:r>
      <w:r>
        <w:rPr>
          <w:rStyle w:val="FootnoteReference"/>
          <w:rtl/>
        </w:rPr>
        <w:footnoteReference w:id="121"/>
      </w:r>
      <w:r w:rsidRPr="000513D2">
        <w:rPr>
          <w:rFonts w:hint="cs"/>
          <w:rtl/>
        </w:rPr>
        <w:t>. הערכת הפרויקט מזווית הרא</w:t>
      </w:r>
      <w:r>
        <w:rPr>
          <w:rFonts w:hint="cs"/>
          <w:rtl/>
        </w:rPr>
        <w:t>י</w:t>
      </w:r>
      <w:r w:rsidRPr="000513D2">
        <w:rPr>
          <w:rFonts w:hint="cs"/>
          <w:rtl/>
        </w:rPr>
        <w:t>יה של המגזר הפרטי מציגה גישה הפוכה לזו המקובלת בחטיבת תשתיות ונכסים. בפרט מציין הנוהל כי יש ל</w:t>
      </w:r>
      <w:r>
        <w:rPr>
          <w:rFonts w:hint="cs"/>
          <w:rtl/>
        </w:rPr>
        <w:t xml:space="preserve">השתמש </w:t>
      </w:r>
      <w:r w:rsidRPr="000513D2">
        <w:rPr>
          <w:rFonts w:hint="cs"/>
          <w:rtl/>
        </w:rPr>
        <w:t xml:space="preserve">באומדנים המשפיעים על הערך הנוכחי הנקי על פי שיעורי התשואה המקובלים בענף הרלוונטי לאותה השקעה, </w:t>
      </w:r>
      <w:r>
        <w:rPr>
          <w:rFonts w:hint="cs"/>
          <w:rtl/>
        </w:rPr>
        <w:t xml:space="preserve">וזאת </w:t>
      </w:r>
      <w:r w:rsidRPr="000513D2">
        <w:rPr>
          <w:rFonts w:hint="cs"/>
          <w:rtl/>
        </w:rPr>
        <w:t>כביטוי לשוני בשיעורי התשואה בענפים שונים</w:t>
      </w:r>
      <w:r>
        <w:rPr>
          <w:rFonts w:hint="cs"/>
          <w:rtl/>
        </w:rPr>
        <w:t>.</w:t>
      </w:r>
    </w:p>
    <w:p w14:paraId="1423B3A6" w14:textId="1BC4C323" w:rsidR="00823E3A" w:rsidRPr="00090F28" w:rsidRDefault="00823E3A" w:rsidP="00D22316">
      <w:pPr>
        <w:pStyle w:val="af5"/>
        <w:rPr>
          <w:rtl/>
        </w:rPr>
      </w:pPr>
      <w:r w:rsidRPr="00A55680">
        <w:rPr>
          <w:rFonts w:hint="eastAsia"/>
          <w:rtl/>
        </w:rPr>
        <w:lastRenderedPageBreak/>
        <w:t>ה</w:t>
      </w:r>
      <w:r>
        <w:rPr>
          <w:rFonts w:hint="cs"/>
          <w:rtl/>
        </w:rPr>
        <w:t>י</w:t>
      </w:r>
      <w:r w:rsidRPr="00A55680">
        <w:rPr>
          <w:rFonts w:hint="eastAsia"/>
          <w:rtl/>
        </w:rPr>
        <w:t>עדר</w:t>
      </w:r>
      <w:r w:rsidRPr="00A55680">
        <w:rPr>
          <w:rtl/>
        </w:rPr>
        <w:t xml:space="preserve"> </w:t>
      </w:r>
      <w:r w:rsidRPr="00A55680">
        <w:rPr>
          <w:rFonts w:hint="eastAsia"/>
          <w:rtl/>
        </w:rPr>
        <w:t>מתודולוגיית</w:t>
      </w:r>
      <w:r w:rsidRPr="00A55680">
        <w:rPr>
          <w:rtl/>
        </w:rPr>
        <w:t xml:space="preserve"> </w:t>
      </w:r>
      <w:r w:rsidRPr="00A55680">
        <w:rPr>
          <w:rFonts w:hint="eastAsia"/>
          <w:rtl/>
        </w:rPr>
        <w:t>הערכה</w:t>
      </w:r>
      <w:r w:rsidRPr="00A55680">
        <w:rPr>
          <w:rtl/>
        </w:rPr>
        <w:t xml:space="preserve"> </w:t>
      </w:r>
      <w:r w:rsidRPr="00A55680">
        <w:rPr>
          <w:rFonts w:hint="eastAsia"/>
          <w:rtl/>
        </w:rPr>
        <w:t>אחידה</w:t>
      </w:r>
      <w:r w:rsidRPr="00A55680">
        <w:rPr>
          <w:rtl/>
        </w:rPr>
        <w:t xml:space="preserve"> לשיעור ההיוון </w:t>
      </w:r>
      <w:r>
        <w:rPr>
          <w:rFonts w:hint="eastAsia"/>
          <w:rtl/>
        </w:rPr>
        <w:t>פוגע</w:t>
      </w:r>
      <w:r w:rsidRPr="00A55680">
        <w:rPr>
          <w:rtl/>
        </w:rPr>
        <w:t xml:space="preserve"> באמינותו של המודל </w:t>
      </w:r>
      <w:r w:rsidRPr="00A55680">
        <w:rPr>
          <w:rFonts w:hint="eastAsia"/>
          <w:rtl/>
        </w:rPr>
        <w:t>הפיננסי</w:t>
      </w:r>
      <w:r w:rsidRPr="00A55680">
        <w:rPr>
          <w:rtl/>
        </w:rPr>
        <w:t xml:space="preserve"> </w:t>
      </w:r>
      <w:r>
        <w:rPr>
          <w:rFonts w:hint="cs"/>
          <w:rtl/>
        </w:rPr>
        <w:t xml:space="preserve">של הפרויקטים השונים </w:t>
      </w:r>
      <w:r w:rsidRPr="00A55680">
        <w:rPr>
          <w:rFonts w:hint="eastAsia"/>
          <w:rtl/>
        </w:rPr>
        <w:t>ומעלה</w:t>
      </w:r>
      <w:r w:rsidRPr="00A55680">
        <w:rPr>
          <w:rtl/>
        </w:rPr>
        <w:t xml:space="preserve"> </w:t>
      </w:r>
      <w:r w:rsidRPr="00A55680">
        <w:rPr>
          <w:rFonts w:hint="eastAsia"/>
          <w:rtl/>
        </w:rPr>
        <w:t>חשש</w:t>
      </w:r>
      <w:r w:rsidRPr="00A55680">
        <w:rPr>
          <w:rtl/>
        </w:rPr>
        <w:t xml:space="preserve"> </w:t>
      </w:r>
      <w:r>
        <w:rPr>
          <w:rFonts w:hint="cs"/>
          <w:rtl/>
        </w:rPr>
        <w:t>להטיה</w:t>
      </w:r>
      <w:r w:rsidRPr="00A55680">
        <w:rPr>
          <w:rtl/>
        </w:rPr>
        <w:t xml:space="preserve"> </w:t>
      </w:r>
      <w:r>
        <w:rPr>
          <w:rFonts w:hint="cs"/>
          <w:rtl/>
        </w:rPr>
        <w:t xml:space="preserve">של </w:t>
      </w:r>
      <w:r w:rsidRPr="00A55680">
        <w:rPr>
          <w:rFonts w:hint="eastAsia"/>
          <w:rtl/>
        </w:rPr>
        <w:t>תוצאותי</w:t>
      </w:r>
      <w:r>
        <w:rPr>
          <w:rFonts w:hint="cs"/>
          <w:rtl/>
        </w:rPr>
        <w:t>ו</w:t>
      </w:r>
      <w:r w:rsidRPr="00A55680">
        <w:rPr>
          <w:rtl/>
        </w:rPr>
        <w:t xml:space="preserve">. </w:t>
      </w:r>
      <w:r w:rsidRPr="00A55680">
        <w:rPr>
          <w:rFonts w:hint="eastAsia"/>
          <w:rtl/>
        </w:rPr>
        <w:t>על</w:t>
      </w:r>
      <w:r w:rsidRPr="00A55680">
        <w:rPr>
          <w:rtl/>
        </w:rPr>
        <w:t xml:space="preserve"> </w:t>
      </w:r>
      <w:r>
        <w:rPr>
          <w:rFonts w:hint="cs"/>
          <w:rtl/>
        </w:rPr>
        <w:t>החשב הכללי</w:t>
      </w:r>
      <w:r w:rsidRPr="000513D2">
        <w:rPr>
          <w:rFonts w:hint="cs"/>
          <w:rtl/>
        </w:rPr>
        <w:t xml:space="preserve"> </w:t>
      </w:r>
      <w:r>
        <w:rPr>
          <w:rFonts w:hint="cs"/>
          <w:rtl/>
        </w:rPr>
        <w:t xml:space="preserve">כמרכז התהליך המתודי </w:t>
      </w:r>
      <w:r w:rsidRPr="000513D2">
        <w:rPr>
          <w:rFonts w:hint="cs"/>
          <w:rtl/>
        </w:rPr>
        <w:t>ל</w:t>
      </w:r>
      <w:r>
        <w:rPr>
          <w:rFonts w:hint="cs"/>
          <w:rtl/>
        </w:rPr>
        <w:t>פעול ל</w:t>
      </w:r>
      <w:r w:rsidRPr="000513D2">
        <w:rPr>
          <w:rFonts w:hint="cs"/>
          <w:rtl/>
        </w:rPr>
        <w:t>כינון מתודולוגיה אחידה</w:t>
      </w:r>
      <w:r>
        <w:rPr>
          <w:rFonts w:hint="cs"/>
          <w:rtl/>
        </w:rPr>
        <w:t xml:space="preserve"> </w:t>
      </w:r>
      <w:r w:rsidRPr="000513D2">
        <w:rPr>
          <w:rFonts w:hint="cs"/>
          <w:rtl/>
        </w:rPr>
        <w:t>לקביעת שיעור ההיוון עבור פרויקטים תקציביים ופרויקטים בשיתוף המגזר הפרטי</w:t>
      </w:r>
      <w:r>
        <w:rPr>
          <w:rFonts w:hint="cs"/>
          <w:rtl/>
        </w:rPr>
        <w:t xml:space="preserve"> עבור כלל משרדי הממשלה</w:t>
      </w:r>
      <w:r w:rsidRPr="000513D2">
        <w:rPr>
          <w:rFonts w:hint="cs"/>
          <w:rtl/>
        </w:rPr>
        <w:t>.</w:t>
      </w:r>
    </w:p>
    <w:p w14:paraId="38AF9D1B" w14:textId="77777777" w:rsidR="00823E3A" w:rsidRPr="00D675B4" w:rsidRDefault="00823E3A" w:rsidP="00D22316">
      <w:pPr>
        <w:pStyle w:val="100"/>
        <w:rPr>
          <w:rtl/>
        </w:rPr>
      </w:pPr>
      <w:r>
        <w:rPr>
          <w:rFonts w:hint="cs"/>
          <w:rtl/>
        </w:rPr>
        <w:t xml:space="preserve">נוסף על </w:t>
      </w:r>
      <w:r w:rsidRPr="000513D2">
        <w:rPr>
          <w:rFonts w:hint="cs"/>
          <w:rtl/>
        </w:rPr>
        <w:t>שיעור ההיוון</w:t>
      </w:r>
      <w:r>
        <w:rPr>
          <w:rFonts w:hint="cs"/>
          <w:rtl/>
        </w:rPr>
        <w:t>,</w:t>
      </w:r>
      <w:r w:rsidRPr="000513D2">
        <w:rPr>
          <w:rFonts w:hint="cs"/>
          <w:rtl/>
        </w:rPr>
        <w:t xml:space="preserve"> גם לתקופת ההיוון השפעה מהותית על </w:t>
      </w:r>
      <w:r>
        <w:rPr>
          <w:rFonts w:hint="cs"/>
          <w:rtl/>
        </w:rPr>
        <w:t>התוצאה של בחינת</w:t>
      </w:r>
      <w:r w:rsidRPr="000513D2">
        <w:rPr>
          <w:rFonts w:hint="cs"/>
          <w:rtl/>
        </w:rPr>
        <w:t xml:space="preserve"> הערך הנוכחי הנקי</w:t>
      </w:r>
      <w:r>
        <w:rPr>
          <w:rFonts w:hint="cs"/>
          <w:rtl/>
        </w:rPr>
        <w:t xml:space="preserve">: ככל שתקופת ההיוון של עלויות הפרויקט ארוכה יותר, כך עלותן פוחתת בהתאם לשיעור ההיוון. נמצא כי </w:t>
      </w:r>
      <w:r w:rsidRPr="000513D2">
        <w:rPr>
          <w:rFonts w:hint="cs"/>
          <w:rtl/>
        </w:rPr>
        <w:t xml:space="preserve">בחישוב תקופת היוון </w:t>
      </w:r>
      <w:r>
        <w:rPr>
          <w:rFonts w:hint="cs"/>
          <w:rtl/>
        </w:rPr>
        <w:t>של</w:t>
      </w:r>
      <w:r w:rsidRPr="000513D2">
        <w:rPr>
          <w:rFonts w:hint="cs"/>
          <w:rtl/>
        </w:rPr>
        <w:t xml:space="preserve"> </w:t>
      </w:r>
      <w:r>
        <w:rPr>
          <w:rFonts w:hint="cs"/>
          <w:rtl/>
        </w:rPr>
        <w:t>אחד</w:t>
      </w:r>
      <w:r>
        <w:rPr>
          <w:rStyle w:val="FootnoteReference"/>
          <w:rtl/>
        </w:rPr>
        <w:footnoteReference w:id="122"/>
      </w:r>
      <w:r>
        <w:rPr>
          <w:rFonts w:hint="cs"/>
          <w:rtl/>
        </w:rPr>
        <w:t xml:space="preserve"> </w:t>
      </w:r>
      <w:r w:rsidRPr="000513D2">
        <w:rPr>
          <w:rFonts w:hint="cs"/>
          <w:rtl/>
        </w:rPr>
        <w:t>הפרויקט</w:t>
      </w:r>
      <w:r>
        <w:rPr>
          <w:rFonts w:hint="cs"/>
          <w:rtl/>
        </w:rPr>
        <w:t xml:space="preserve">ים שבחנה </w:t>
      </w:r>
      <w:r w:rsidRPr="000513D2">
        <w:rPr>
          <w:rFonts w:hint="cs"/>
          <w:rtl/>
        </w:rPr>
        <w:t>חטיבת תשתיות ופרויקטים</w:t>
      </w:r>
      <w:r>
        <w:rPr>
          <w:rStyle w:val="FootnoteReference"/>
          <w:rtl/>
        </w:rPr>
        <w:footnoteReference w:id="123"/>
      </w:r>
      <w:r>
        <w:rPr>
          <w:rFonts w:hint="cs"/>
          <w:rtl/>
        </w:rPr>
        <w:t xml:space="preserve">, הוון </w:t>
      </w:r>
      <w:r w:rsidRPr="000513D2">
        <w:rPr>
          <w:rFonts w:hint="cs"/>
          <w:rtl/>
        </w:rPr>
        <w:t xml:space="preserve">תזרים החלופה התקציבית החל משנת ההקמה השנייה, </w:t>
      </w:r>
      <w:r>
        <w:rPr>
          <w:rFonts w:hint="cs"/>
          <w:rtl/>
        </w:rPr>
        <w:t xml:space="preserve">ואילו </w:t>
      </w:r>
      <w:r w:rsidRPr="000513D2">
        <w:rPr>
          <w:rFonts w:hint="cs"/>
          <w:rtl/>
        </w:rPr>
        <w:t xml:space="preserve">התזרים בחלופת ההקמה בשיתוף המגזר הפרטי </w:t>
      </w:r>
      <w:r>
        <w:rPr>
          <w:rFonts w:hint="cs"/>
          <w:rtl/>
        </w:rPr>
        <w:t xml:space="preserve">הוון </w:t>
      </w:r>
      <w:r w:rsidRPr="000513D2">
        <w:rPr>
          <w:rFonts w:hint="cs"/>
          <w:rtl/>
        </w:rPr>
        <w:t xml:space="preserve">משנת ההקמה הראשונה, </w:t>
      </w:r>
      <w:r>
        <w:rPr>
          <w:rFonts w:hint="cs"/>
          <w:rtl/>
        </w:rPr>
        <w:t>ו</w:t>
      </w:r>
      <w:r w:rsidRPr="000513D2">
        <w:rPr>
          <w:rFonts w:hint="cs"/>
          <w:rtl/>
        </w:rPr>
        <w:t>בכך ניתן יתרון ל</w:t>
      </w:r>
      <w:r>
        <w:rPr>
          <w:rFonts w:hint="cs"/>
          <w:rtl/>
        </w:rPr>
        <w:t>חלופה ה</w:t>
      </w:r>
      <w:r w:rsidRPr="000513D2">
        <w:rPr>
          <w:rFonts w:hint="cs"/>
          <w:rtl/>
        </w:rPr>
        <w:t xml:space="preserve">אחרונה. </w:t>
      </w:r>
      <w:r>
        <w:rPr>
          <w:rFonts w:hint="cs"/>
          <w:rtl/>
        </w:rPr>
        <w:t xml:space="preserve">בתשובת </w:t>
      </w:r>
      <w:r w:rsidRPr="00D675B4">
        <w:rPr>
          <w:rFonts w:hint="eastAsia"/>
          <w:rtl/>
        </w:rPr>
        <w:t>חטיב</w:t>
      </w:r>
      <w:r>
        <w:rPr>
          <w:rFonts w:hint="cs"/>
          <w:rtl/>
        </w:rPr>
        <w:t>ת</w:t>
      </w:r>
      <w:r w:rsidRPr="00D675B4">
        <w:rPr>
          <w:rtl/>
        </w:rPr>
        <w:t xml:space="preserve"> </w:t>
      </w:r>
      <w:r>
        <w:rPr>
          <w:rFonts w:hint="cs"/>
          <w:rtl/>
        </w:rPr>
        <w:t>תשתיות ופרויקטים נאמר: "</w:t>
      </w:r>
      <w:r w:rsidRPr="00844E39">
        <w:rPr>
          <w:rtl/>
        </w:rPr>
        <w:t>היות ובבדיקות מסוימות מניחים שעלות ההקמה אינה משולמת במועד אחד, אלא נפרסת על פני כל תקופת ההקמה, לעיתים בוחרים להוון את כלל עלות ההקמה למחצית התקופה חלף פריסה של התשלום באופן שווה על פני תקופת ההקמה</w:t>
      </w:r>
      <w:r w:rsidRPr="00844E39">
        <w:rPr>
          <w:rFonts w:hint="cs"/>
          <w:rtl/>
        </w:rPr>
        <w:t>"</w:t>
      </w:r>
      <w:r w:rsidRPr="00844E39">
        <w:rPr>
          <w:rtl/>
        </w:rPr>
        <w:t xml:space="preserve">. </w:t>
      </w:r>
    </w:p>
    <w:p w14:paraId="7B9D37CA" w14:textId="667ED1CE" w:rsidR="00823E3A" w:rsidRPr="00225D92" w:rsidRDefault="00823E3A" w:rsidP="00D22316">
      <w:pPr>
        <w:pStyle w:val="af5"/>
        <w:rPr>
          <w:rtl/>
        </w:rPr>
      </w:pPr>
      <w:r>
        <w:rPr>
          <w:rFonts w:hint="cs"/>
          <w:rtl/>
        </w:rPr>
        <w:t xml:space="preserve">משרד מבקר המדינה מציין כי </w:t>
      </w:r>
      <w:r w:rsidRPr="00D675B4">
        <w:rPr>
          <w:rFonts w:hint="eastAsia"/>
          <w:rtl/>
        </w:rPr>
        <w:t>לקביעת</w:t>
      </w:r>
      <w:r w:rsidRPr="00D675B4">
        <w:rPr>
          <w:rtl/>
        </w:rPr>
        <w:t xml:space="preserve"> </w:t>
      </w:r>
      <w:r w:rsidRPr="00D675B4">
        <w:rPr>
          <w:rFonts w:hint="eastAsia"/>
          <w:rtl/>
        </w:rPr>
        <w:t>עיתוי</w:t>
      </w:r>
      <w:r w:rsidRPr="00D675B4">
        <w:rPr>
          <w:rtl/>
        </w:rPr>
        <w:t xml:space="preserve"> </w:t>
      </w:r>
      <w:r w:rsidRPr="00D675B4">
        <w:rPr>
          <w:rFonts w:hint="eastAsia"/>
          <w:rtl/>
        </w:rPr>
        <w:t>התשלום</w:t>
      </w:r>
      <w:r w:rsidRPr="00D675B4">
        <w:rPr>
          <w:rtl/>
        </w:rPr>
        <w:t xml:space="preserve"> </w:t>
      </w:r>
      <w:r w:rsidRPr="00D675B4">
        <w:rPr>
          <w:rFonts w:hint="eastAsia"/>
          <w:rtl/>
        </w:rPr>
        <w:t>תתכן</w:t>
      </w:r>
      <w:r w:rsidRPr="00D675B4">
        <w:rPr>
          <w:rtl/>
        </w:rPr>
        <w:t xml:space="preserve"> </w:t>
      </w:r>
      <w:r w:rsidRPr="00D675B4">
        <w:rPr>
          <w:rFonts w:hint="eastAsia"/>
          <w:rtl/>
        </w:rPr>
        <w:t>השפעה</w:t>
      </w:r>
      <w:r w:rsidRPr="00D675B4">
        <w:rPr>
          <w:rtl/>
        </w:rPr>
        <w:t xml:space="preserve"> </w:t>
      </w:r>
      <w:r w:rsidRPr="00D675B4">
        <w:rPr>
          <w:rFonts w:hint="eastAsia"/>
          <w:rtl/>
        </w:rPr>
        <w:t>מהותית</w:t>
      </w:r>
      <w:r w:rsidRPr="00D675B4">
        <w:rPr>
          <w:rtl/>
        </w:rPr>
        <w:t xml:space="preserve"> </w:t>
      </w:r>
      <w:r w:rsidRPr="00D675B4">
        <w:rPr>
          <w:rFonts w:hint="eastAsia"/>
          <w:rtl/>
        </w:rPr>
        <w:t>על</w:t>
      </w:r>
      <w:r w:rsidRPr="00D675B4">
        <w:rPr>
          <w:rtl/>
        </w:rPr>
        <w:t xml:space="preserve"> </w:t>
      </w:r>
      <w:r w:rsidRPr="00D675B4">
        <w:rPr>
          <w:rFonts w:hint="eastAsia"/>
          <w:rtl/>
        </w:rPr>
        <w:t>תוצאת</w:t>
      </w:r>
      <w:r>
        <w:rPr>
          <w:rFonts w:hint="cs"/>
          <w:rtl/>
        </w:rPr>
        <w:t xml:space="preserve"> הבחינה על פי</w:t>
      </w:r>
      <w:r w:rsidRPr="00D675B4">
        <w:rPr>
          <w:rtl/>
        </w:rPr>
        <w:t xml:space="preserve"> </w:t>
      </w:r>
      <w:r w:rsidRPr="00D675B4">
        <w:rPr>
          <w:rFonts w:hint="eastAsia"/>
          <w:rtl/>
        </w:rPr>
        <w:t>המודל</w:t>
      </w:r>
      <w:r w:rsidRPr="00D675B4">
        <w:rPr>
          <w:rtl/>
        </w:rPr>
        <w:t xml:space="preserve"> </w:t>
      </w:r>
      <w:r w:rsidRPr="00D675B4">
        <w:rPr>
          <w:rFonts w:hint="eastAsia"/>
          <w:rtl/>
        </w:rPr>
        <w:t>הפיננסי</w:t>
      </w:r>
      <w:r w:rsidRPr="00D675B4">
        <w:rPr>
          <w:rtl/>
        </w:rPr>
        <w:t xml:space="preserve">. </w:t>
      </w:r>
      <w:r w:rsidRPr="00D675B4">
        <w:rPr>
          <w:rFonts w:hint="eastAsia"/>
          <w:rtl/>
        </w:rPr>
        <w:t>בהעדר</w:t>
      </w:r>
      <w:r w:rsidRPr="00D675B4">
        <w:rPr>
          <w:rtl/>
        </w:rPr>
        <w:t xml:space="preserve"> </w:t>
      </w:r>
      <w:r w:rsidRPr="00D675B4">
        <w:rPr>
          <w:rFonts w:hint="eastAsia"/>
          <w:rtl/>
        </w:rPr>
        <w:t>וודאות</w:t>
      </w:r>
      <w:r w:rsidRPr="00D675B4">
        <w:rPr>
          <w:rtl/>
        </w:rPr>
        <w:t xml:space="preserve"> </w:t>
      </w:r>
      <w:r w:rsidRPr="00D675B4">
        <w:rPr>
          <w:rFonts w:hint="eastAsia"/>
          <w:rtl/>
        </w:rPr>
        <w:t>על</w:t>
      </w:r>
      <w:r w:rsidRPr="00D675B4">
        <w:rPr>
          <w:rtl/>
        </w:rPr>
        <w:t xml:space="preserve"> </w:t>
      </w:r>
      <w:r w:rsidRPr="00D675B4">
        <w:rPr>
          <w:rFonts w:hint="eastAsia"/>
          <w:rtl/>
        </w:rPr>
        <w:t>מועד</w:t>
      </w:r>
      <w:r w:rsidRPr="00D675B4">
        <w:rPr>
          <w:rtl/>
        </w:rPr>
        <w:t xml:space="preserve"> </w:t>
      </w:r>
      <w:r w:rsidRPr="00D675B4">
        <w:rPr>
          <w:rFonts w:hint="eastAsia"/>
          <w:rtl/>
        </w:rPr>
        <w:t>התשלום</w:t>
      </w:r>
      <w:r w:rsidRPr="00D675B4">
        <w:rPr>
          <w:rtl/>
        </w:rPr>
        <w:t xml:space="preserve"> </w:t>
      </w:r>
      <w:r w:rsidRPr="00D675B4">
        <w:rPr>
          <w:rFonts w:hint="eastAsia"/>
          <w:rtl/>
        </w:rPr>
        <w:t>אין</w:t>
      </w:r>
      <w:r w:rsidRPr="00D675B4">
        <w:rPr>
          <w:rtl/>
        </w:rPr>
        <w:t xml:space="preserve"> </w:t>
      </w:r>
      <w:r w:rsidRPr="00D675B4">
        <w:rPr>
          <w:rFonts w:hint="cs"/>
          <w:rtl/>
        </w:rPr>
        <w:t xml:space="preserve">מקום להניח </w:t>
      </w:r>
      <w:r>
        <w:rPr>
          <w:rFonts w:hint="cs"/>
          <w:rtl/>
        </w:rPr>
        <w:t xml:space="preserve">שיש </w:t>
      </w:r>
      <w:r w:rsidRPr="00D675B4">
        <w:rPr>
          <w:rFonts w:hint="eastAsia"/>
          <w:rtl/>
        </w:rPr>
        <w:t>הבדל</w:t>
      </w:r>
      <w:r w:rsidRPr="00D675B4">
        <w:rPr>
          <w:rtl/>
        </w:rPr>
        <w:t xml:space="preserve"> </w:t>
      </w:r>
      <w:r w:rsidRPr="00D675B4">
        <w:rPr>
          <w:rFonts w:hint="eastAsia"/>
          <w:rtl/>
        </w:rPr>
        <w:t>בין</w:t>
      </w:r>
      <w:r w:rsidRPr="00D675B4">
        <w:rPr>
          <w:rtl/>
        </w:rPr>
        <w:t xml:space="preserve"> </w:t>
      </w:r>
      <w:r w:rsidRPr="00D675B4">
        <w:rPr>
          <w:rFonts w:hint="eastAsia"/>
          <w:rtl/>
        </w:rPr>
        <w:t>חלופות</w:t>
      </w:r>
      <w:r w:rsidRPr="00D675B4">
        <w:rPr>
          <w:rtl/>
        </w:rPr>
        <w:t xml:space="preserve"> </w:t>
      </w:r>
      <w:r w:rsidRPr="00D675B4">
        <w:rPr>
          <w:rFonts w:hint="eastAsia"/>
          <w:rtl/>
        </w:rPr>
        <w:t>הביצוע</w:t>
      </w:r>
      <w:r w:rsidRPr="00D675B4">
        <w:rPr>
          <w:rtl/>
        </w:rPr>
        <w:t xml:space="preserve"> </w:t>
      </w:r>
      <w:r w:rsidRPr="00D675B4">
        <w:rPr>
          <w:rFonts w:hint="cs"/>
          <w:rtl/>
        </w:rPr>
        <w:t xml:space="preserve">ובין תקופות ההיוון, </w:t>
      </w:r>
      <w:r>
        <w:rPr>
          <w:rFonts w:hint="cs"/>
          <w:rtl/>
        </w:rPr>
        <w:t>ב</w:t>
      </w:r>
      <w:r w:rsidRPr="00D675B4">
        <w:rPr>
          <w:rFonts w:hint="eastAsia"/>
          <w:rtl/>
        </w:rPr>
        <w:t>כדי</w:t>
      </w:r>
      <w:r w:rsidRPr="00D675B4">
        <w:rPr>
          <w:rtl/>
        </w:rPr>
        <w:t xml:space="preserve"> </w:t>
      </w:r>
      <w:r w:rsidRPr="00D675B4">
        <w:rPr>
          <w:rFonts w:hint="eastAsia"/>
          <w:rtl/>
        </w:rPr>
        <w:t>למנוע</w:t>
      </w:r>
      <w:r w:rsidRPr="00D675B4">
        <w:rPr>
          <w:rtl/>
        </w:rPr>
        <w:t xml:space="preserve"> </w:t>
      </w:r>
      <w:r w:rsidRPr="00D675B4">
        <w:rPr>
          <w:rFonts w:hint="eastAsia"/>
          <w:rtl/>
        </w:rPr>
        <w:t>את</w:t>
      </w:r>
      <w:r w:rsidRPr="00D675B4">
        <w:rPr>
          <w:rtl/>
        </w:rPr>
        <w:t xml:space="preserve"> </w:t>
      </w:r>
      <w:r w:rsidRPr="00D675B4">
        <w:rPr>
          <w:rFonts w:hint="cs"/>
          <w:rtl/>
        </w:rPr>
        <w:t xml:space="preserve">השפעותיו </w:t>
      </w:r>
      <w:r w:rsidRPr="00D675B4">
        <w:rPr>
          <w:rFonts w:hint="eastAsia"/>
          <w:rtl/>
        </w:rPr>
        <w:t>על</w:t>
      </w:r>
      <w:r w:rsidRPr="00D675B4">
        <w:rPr>
          <w:rtl/>
        </w:rPr>
        <w:t xml:space="preserve"> </w:t>
      </w:r>
      <w:r w:rsidRPr="00D675B4">
        <w:rPr>
          <w:rFonts w:hint="eastAsia"/>
          <w:rtl/>
        </w:rPr>
        <w:t>תוצאת</w:t>
      </w:r>
      <w:r w:rsidRPr="00D675B4">
        <w:rPr>
          <w:rtl/>
        </w:rPr>
        <w:t xml:space="preserve"> </w:t>
      </w:r>
      <w:r w:rsidRPr="00D675B4">
        <w:rPr>
          <w:rFonts w:hint="eastAsia"/>
          <w:rtl/>
        </w:rPr>
        <w:t>הניתוח</w:t>
      </w:r>
      <w:r w:rsidRPr="00D675B4">
        <w:rPr>
          <w:rtl/>
        </w:rPr>
        <w:t>.</w:t>
      </w:r>
    </w:p>
    <w:p w14:paraId="5972386B" w14:textId="77777777" w:rsidR="00823E3A" w:rsidRDefault="00823E3A" w:rsidP="00D22316">
      <w:pPr>
        <w:pStyle w:val="5115"/>
        <w:rPr>
          <w:rtl/>
        </w:rPr>
      </w:pPr>
      <w:r w:rsidRPr="000513D2">
        <w:rPr>
          <w:rFonts w:hint="cs"/>
          <w:rtl/>
        </w:rPr>
        <w:t>מבחני רגישות</w:t>
      </w:r>
    </w:p>
    <w:p w14:paraId="142CAA4F" w14:textId="77777777" w:rsidR="00823E3A" w:rsidRDefault="00823E3A" w:rsidP="00D22316">
      <w:pPr>
        <w:pStyle w:val="100"/>
        <w:rPr>
          <w:rtl/>
        </w:rPr>
      </w:pPr>
      <w:r>
        <w:rPr>
          <w:rFonts w:hint="cs"/>
          <w:rtl/>
        </w:rPr>
        <w:t xml:space="preserve">האתגר המעשי של בדיקות ההתאמה הוא לשקף בצורה הקרובה ביותר למציאות את התמורות והעלויות הנגזרות מביצוע הפרויקט בחלופות שונות כדי להוביל לבחירת החלופה המיטבית. נכונות התוצאות תלויה בהנחות ובאומדנים שיושמו בהתאם לחלופה הנבדקת, ולכן לניתוחי הרגישות נודע תפקיד חשוב בבחינתה של השפעת החריגות בעוצמות השונות על תוצאות הבדיקה. </w:t>
      </w:r>
      <w:r w:rsidRPr="00225D92">
        <w:rPr>
          <w:rFonts w:hint="cs"/>
          <w:rtl/>
        </w:rPr>
        <w:t xml:space="preserve">ככל שהכדאיות הכלכלית לביצוע </w:t>
      </w:r>
      <w:r>
        <w:rPr>
          <w:rFonts w:hint="cs"/>
          <w:rtl/>
        </w:rPr>
        <w:t>פרויקט במתווה</w:t>
      </w:r>
      <w:r w:rsidRPr="00225D92">
        <w:rPr>
          <w:rFonts w:hint="cs"/>
          <w:rtl/>
        </w:rPr>
        <w:t xml:space="preserve"> של שותפות ציבורית-פרטית </w:t>
      </w:r>
      <w:r>
        <w:rPr>
          <w:rFonts w:hint="cs"/>
          <w:rtl/>
        </w:rPr>
        <w:t>תישמר</w:t>
      </w:r>
      <w:r w:rsidRPr="00225D92">
        <w:rPr>
          <w:rFonts w:hint="cs"/>
          <w:rtl/>
        </w:rPr>
        <w:t xml:space="preserve"> </w:t>
      </w:r>
      <w:r>
        <w:rPr>
          <w:rFonts w:hint="cs"/>
          <w:rtl/>
        </w:rPr>
        <w:t xml:space="preserve">על פי התוצאות של </w:t>
      </w:r>
      <w:r w:rsidRPr="00225D92">
        <w:rPr>
          <w:rFonts w:hint="cs"/>
          <w:rtl/>
        </w:rPr>
        <w:t xml:space="preserve">מגוון רחב של בדיקות רגישות, כך </w:t>
      </w:r>
      <w:r>
        <w:rPr>
          <w:rFonts w:hint="cs"/>
          <w:rtl/>
        </w:rPr>
        <w:t>יהיה</w:t>
      </w:r>
      <w:r w:rsidRPr="00225D92">
        <w:rPr>
          <w:rFonts w:hint="cs"/>
          <w:rtl/>
        </w:rPr>
        <w:t xml:space="preserve"> תוקפה</w:t>
      </w:r>
      <w:r>
        <w:rPr>
          <w:rFonts w:hint="cs"/>
          <w:rtl/>
        </w:rPr>
        <w:t xml:space="preserve"> רב יותר</w:t>
      </w:r>
      <w:r w:rsidRPr="00225D92">
        <w:rPr>
          <w:rFonts w:hint="cs"/>
          <w:rtl/>
        </w:rPr>
        <w:t>.</w:t>
      </w:r>
      <w:r>
        <w:rPr>
          <w:rFonts w:hint="cs"/>
          <w:rtl/>
        </w:rPr>
        <w:t xml:space="preserve"> בכל פרויקט ניתן לערוך מגוון רחב של ניתוחי רגישות המבטאים את מורכבות השימוש בהנחות ובאומדנים רבים העומדים בבסיסם, לכן על עורך הניתוח להתמקד בבחינת הפרמטרים בעלי פוטנציאל ההשפעה הגבוה ביותר על תוצאות הניתוח. </w:t>
      </w:r>
    </w:p>
    <w:p w14:paraId="40745058" w14:textId="5C288D2A" w:rsidR="00823E3A" w:rsidRDefault="00823E3A" w:rsidP="00206C9D">
      <w:pPr>
        <w:pStyle w:val="a3"/>
        <w:numPr>
          <w:ilvl w:val="0"/>
          <w:numId w:val="40"/>
        </w:numPr>
        <w:contextualSpacing w:val="0"/>
      </w:pPr>
      <w:r w:rsidRPr="00EB3AA0">
        <w:rPr>
          <w:rStyle w:val="Heading5Char"/>
          <w:rFonts w:hint="eastAsia"/>
          <w:b/>
          <w:bCs w:val="0"/>
          <w:color w:val="387026"/>
          <w:spacing w:val="0"/>
          <w:rtl/>
        </w:rPr>
        <w:t>חטיבת</w:t>
      </w:r>
      <w:r w:rsidRPr="00EB3AA0">
        <w:rPr>
          <w:rStyle w:val="Heading5Char"/>
          <w:b/>
          <w:bCs w:val="0"/>
          <w:color w:val="387026"/>
          <w:spacing w:val="0"/>
          <w:rtl/>
        </w:rPr>
        <w:t xml:space="preserve"> </w:t>
      </w:r>
      <w:r w:rsidRPr="00EB3AA0">
        <w:rPr>
          <w:rStyle w:val="Heading5Char"/>
          <w:rFonts w:hint="eastAsia"/>
          <w:b/>
          <w:bCs w:val="0"/>
          <w:color w:val="387026"/>
          <w:spacing w:val="0"/>
          <w:rtl/>
        </w:rPr>
        <w:t>תשתיות</w:t>
      </w:r>
      <w:r w:rsidRPr="00EB3AA0">
        <w:rPr>
          <w:rStyle w:val="Heading5Char"/>
          <w:b/>
          <w:bCs w:val="0"/>
          <w:color w:val="387026"/>
          <w:spacing w:val="0"/>
          <w:rtl/>
        </w:rPr>
        <w:t xml:space="preserve"> </w:t>
      </w:r>
      <w:r w:rsidRPr="00EB3AA0">
        <w:rPr>
          <w:rStyle w:val="Heading5Char"/>
          <w:rFonts w:hint="eastAsia"/>
          <w:b/>
          <w:bCs w:val="0"/>
          <w:color w:val="387026"/>
          <w:spacing w:val="0"/>
          <w:rtl/>
        </w:rPr>
        <w:t>ופרויקטים</w:t>
      </w:r>
      <w:r w:rsidRPr="00EB3AA0">
        <w:rPr>
          <w:rStyle w:val="Heading5Char"/>
          <w:rFonts w:hint="cs"/>
          <w:b/>
          <w:bCs w:val="0"/>
          <w:color w:val="387026"/>
          <w:spacing w:val="0"/>
          <w:rtl/>
        </w:rPr>
        <w:t>:</w:t>
      </w:r>
      <w:r w:rsidRPr="00EB3AA0">
        <w:rPr>
          <w:rFonts w:hint="cs"/>
          <w:color w:val="387026"/>
          <w:rtl/>
        </w:rPr>
        <w:t xml:space="preserve"> </w:t>
      </w:r>
      <w:r>
        <w:rPr>
          <w:rFonts w:hint="cs"/>
          <w:rtl/>
        </w:rPr>
        <w:t xml:space="preserve">נוהלי חטיבת תשתיות ופרויקטים מציגים מגוון רחב של בדיקות רגישות </w:t>
      </w:r>
      <w:r w:rsidRPr="00EB3AA0">
        <w:rPr>
          <w:rFonts w:hint="cs"/>
          <w:rtl/>
        </w:rPr>
        <w:t>אפשריות</w:t>
      </w:r>
      <w:r>
        <w:rPr>
          <w:rFonts w:hint="cs"/>
          <w:rtl/>
        </w:rPr>
        <w:t xml:space="preserve"> כדי לתקף את התוצאה המתקבלת, ובהן שינויים באומדן העלויות </w:t>
      </w:r>
      <w:r w:rsidRPr="00EB3AA0">
        <w:rPr>
          <w:rFonts w:hint="cs"/>
          <w:rtl/>
        </w:rPr>
        <w:t>וההכנסות</w:t>
      </w:r>
      <w:r>
        <w:rPr>
          <w:rFonts w:hint="cs"/>
          <w:rtl/>
        </w:rPr>
        <w:t xml:space="preserve">, במקדמי ההתייעלות, בשיעורי הריבית, במשך תקופת ההקמה, בתקופת </w:t>
      </w:r>
      <w:r>
        <w:rPr>
          <w:rFonts w:hint="cs"/>
          <w:rtl/>
        </w:rPr>
        <w:lastRenderedPageBreak/>
        <w:t>התשלום ובעיתוי התשלומים המועברים למגזר הפרטי</w:t>
      </w:r>
      <w:r>
        <w:rPr>
          <w:rStyle w:val="FootnoteReference"/>
          <w:rtl/>
        </w:rPr>
        <w:footnoteReference w:id="124"/>
      </w:r>
      <w:r>
        <w:rPr>
          <w:rFonts w:hint="cs"/>
          <w:rtl/>
        </w:rPr>
        <w:t>. עם זאת, בדיקתו של משרד מבקר המדינה העלתה כי בפועל ניתוחי הרגישות של החטיבה נעשים עבור שינוי במקדם ההתייעלות בלבד ולא נעשו באחת מתוך שלוש בדיקות ההתאמה שבוצעו</w:t>
      </w:r>
      <w:r>
        <w:rPr>
          <w:rStyle w:val="FootnoteReference"/>
          <w:rtl/>
        </w:rPr>
        <w:footnoteReference w:id="125"/>
      </w:r>
      <w:r>
        <w:rPr>
          <w:rFonts w:hint="cs"/>
          <w:rtl/>
        </w:rPr>
        <w:t>.</w:t>
      </w:r>
    </w:p>
    <w:p w14:paraId="7B59EBDE" w14:textId="3ED210DA" w:rsidR="00823E3A" w:rsidRDefault="00823E3A" w:rsidP="006828F1">
      <w:pPr>
        <w:pStyle w:val="a3"/>
        <w:rPr>
          <w:rtl/>
        </w:rPr>
      </w:pPr>
      <w:r w:rsidRPr="006828F1">
        <w:rPr>
          <w:rStyle w:val="Heading5Char"/>
          <w:rFonts w:hint="eastAsia"/>
          <w:b/>
          <w:bCs w:val="0"/>
          <w:color w:val="387026"/>
          <w:spacing w:val="0"/>
          <w:rtl/>
        </w:rPr>
        <w:t>משרד</w:t>
      </w:r>
      <w:r w:rsidRPr="006828F1">
        <w:rPr>
          <w:rStyle w:val="Heading5Char"/>
          <w:b/>
          <w:bCs w:val="0"/>
          <w:color w:val="387026"/>
          <w:spacing w:val="0"/>
          <w:rtl/>
        </w:rPr>
        <w:t xml:space="preserve"> </w:t>
      </w:r>
      <w:r w:rsidRPr="006828F1">
        <w:rPr>
          <w:rStyle w:val="Heading5Char"/>
          <w:rFonts w:hint="eastAsia"/>
          <w:b/>
          <w:bCs w:val="0"/>
          <w:color w:val="387026"/>
          <w:spacing w:val="0"/>
          <w:rtl/>
        </w:rPr>
        <w:t>הביטחון</w:t>
      </w:r>
      <w:r w:rsidRPr="006828F1">
        <w:rPr>
          <w:rStyle w:val="Heading5Char"/>
          <w:rFonts w:hint="cs"/>
          <w:b/>
          <w:bCs w:val="0"/>
          <w:color w:val="387026"/>
          <w:spacing w:val="0"/>
          <w:rtl/>
        </w:rPr>
        <w:t>:</w:t>
      </w:r>
      <w:r w:rsidRPr="006828F1">
        <w:rPr>
          <w:rFonts w:hint="cs"/>
          <w:color w:val="387026"/>
          <w:rtl/>
        </w:rPr>
        <w:t xml:space="preserve"> </w:t>
      </w:r>
      <w:r>
        <w:rPr>
          <w:rFonts w:hint="cs"/>
          <w:rtl/>
        </w:rPr>
        <w:t>הוראות משרד הביטחון אינן מורות על ביצוע מבחני רגישות, וכפועל יוצא מכך היו הבדלים ביישום מבחני הרגישות בין הפרויקטים השונים שבחן המשרד, וזאת למרות הדמיון בין הפרויקטים. הבדיקה של משרד מבקר המדינה העלתה כי רק שתיים מתוך חמש בדיקות ההתאמה של המשרד כללו ניתוחי רגישות, והם התמקדו בעיקרם בשינוי עלויות הפרויקט ולכן נעדר ייצוג של שינויים אפשריים בפרמטרים אחרים וכבדי משקל אשר משפיעים על תוצאת הבדיקות</w:t>
      </w:r>
      <w:r>
        <w:rPr>
          <w:rStyle w:val="FootnoteReference"/>
          <w:rtl/>
        </w:rPr>
        <w:footnoteReference w:id="126"/>
      </w:r>
      <w:r>
        <w:rPr>
          <w:rFonts w:hint="cs"/>
          <w:rtl/>
        </w:rPr>
        <w:t>. בהתכתבותו עם צוות הביקורת</w:t>
      </w:r>
      <w:r w:rsidRPr="00394103">
        <w:rPr>
          <w:rFonts w:hint="cs"/>
          <w:rtl/>
        </w:rPr>
        <w:t xml:space="preserve"> </w:t>
      </w:r>
      <w:r>
        <w:rPr>
          <w:rFonts w:hint="cs"/>
          <w:rtl/>
        </w:rPr>
        <w:t>ציין משרד הביטחון כי הנחת היסוד שלו היא שבוצעו ניתוחי רגישות בכל הפרויקטים וניתוחים נוספים נעשים לאורך התהליך של אישור הפרויקט.</w:t>
      </w:r>
    </w:p>
    <w:p w14:paraId="6A1B74B7" w14:textId="77777777" w:rsidR="00823E3A" w:rsidRDefault="00823E3A" w:rsidP="00385E7C">
      <w:pPr>
        <w:pStyle w:val="ae"/>
        <w:ind w:left="624"/>
        <w:rPr>
          <w:rtl/>
        </w:rPr>
      </w:pPr>
      <w:r w:rsidRPr="00FF7444">
        <w:rPr>
          <w:rFonts w:hint="cs"/>
          <w:rtl/>
        </w:rPr>
        <w:t>לדעת</w:t>
      </w:r>
      <w:r>
        <w:rPr>
          <w:rFonts w:hint="cs"/>
          <w:rtl/>
        </w:rPr>
        <w:t>ו של</w:t>
      </w:r>
      <w:r w:rsidRPr="00FF7444">
        <w:rPr>
          <w:rFonts w:hint="cs"/>
          <w:rtl/>
        </w:rPr>
        <w:t xml:space="preserve"> משרד מבקר המדינה</w:t>
      </w:r>
      <w:r>
        <w:rPr>
          <w:rFonts w:hint="cs"/>
          <w:rtl/>
        </w:rPr>
        <w:t>,</w:t>
      </w:r>
      <w:r w:rsidRPr="00FF7444">
        <w:rPr>
          <w:rFonts w:hint="cs"/>
          <w:rtl/>
        </w:rPr>
        <w:t xml:space="preserve"> ראוי כי כל ניתוחי הרגישות המשמעותיים יופיעו בבדיקות </w:t>
      </w:r>
      <w:r w:rsidRPr="00FF1AFA">
        <w:rPr>
          <w:rFonts w:hint="cs"/>
          <w:rtl/>
        </w:rPr>
        <w:t xml:space="preserve">ההתאמה טרם קבלת ההחלטה </w:t>
      </w:r>
      <w:r>
        <w:rPr>
          <w:rFonts w:hint="cs"/>
          <w:rtl/>
        </w:rPr>
        <w:t>אם לבצע</w:t>
      </w:r>
      <w:r w:rsidRPr="00FF1AFA">
        <w:rPr>
          <w:rFonts w:hint="cs"/>
          <w:rtl/>
        </w:rPr>
        <w:t xml:space="preserve"> </w:t>
      </w:r>
      <w:r>
        <w:rPr>
          <w:rFonts w:hint="cs"/>
          <w:rtl/>
        </w:rPr>
        <w:t>את</w:t>
      </w:r>
      <w:r w:rsidRPr="00FF1AFA">
        <w:rPr>
          <w:rFonts w:hint="cs"/>
          <w:rtl/>
        </w:rPr>
        <w:t xml:space="preserve"> הפרויקט </w:t>
      </w:r>
      <w:r>
        <w:rPr>
          <w:rFonts w:hint="cs"/>
          <w:rtl/>
        </w:rPr>
        <w:t>במתווה</w:t>
      </w:r>
      <w:r w:rsidRPr="00FF1AFA">
        <w:rPr>
          <w:rFonts w:hint="cs"/>
          <w:rtl/>
        </w:rPr>
        <w:t xml:space="preserve"> של </w:t>
      </w:r>
      <w:r>
        <w:rPr>
          <w:rFonts w:hint="cs"/>
        </w:rPr>
        <w:t>PPP</w:t>
      </w:r>
      <w:r w:rsidRPr="00FF1AFA">
        <w:rPr>
          <w:rFonts w:hint="cs"/>
          <w:rtl/>
        </w:rPr>
        <w:t xml:space="preserve">. </w:t>
      </w:r>
      <w:r>
        <w:rPr>
          <w:rFonts w:hint="cs"/>
          <w:rtl/>
        </w:rPr>
        <w:t xml:space="preserve">אם </w:t>
      </w:r>
      <w:r w:rsidRPr="00FF1AFA">
        <w:rPr>
          <w:rFonts w:hint="cs"/>
          <w:rtl/>
        </w:rPr>
        <w:t xml:space="preserve">יידרשו ניתוחים נוספים </w:t>
      </w:r>
      <w:r>
        <w:rPr>
          <w:rFonts w:hint="cs"/>
          <w:rtl/>
        </w:rPr>
        <w:t xml:space="preserve">לאחר מכן, </w:t>
      </w:r>
      <w:r w:rsidRPr="00FF1AFA">
        <w:rPr>
          <w:rFonts w:hint="cs"/>
          <w:rtl/>
        </w:rPr>
        <w:t>עליהם לה</w:t>
      </w:r>
      <w:r>
        <w:rPr>
          <w:rFonts w:hint="cs"/>
          <w:rtl/>
        </w:rPr>
        <w:t>י</w:t>
      </w:r>
      <w:r w:rsidRPr="00FF1AFA">
        <w:rPr>
          <w:rFonts w:hint="cs"/>
          <w:rtl/>
        </w:rPr>
        <w:t xml:space="preserve">ות תולדה של </w:t>
      </w:r>
      <w:r>
        <w:rPr>
          <w:rFonts w:hint="cs"/>
          <w:rtl/>
        </w:rPr>
        <w:t>ה</w:t>
      </w:r>
      <w:r w:rsidRPr="00FF1AFA">
        <w:rPr>
          <w:rFonts w:hint="cs"/>
          <w:rtl/>
        </w:rPr>
        <w:t xml:space="preserve">שינויים </w:t>
      </w:r>
      <w:r>
        <w:rPr>
          <w:rFonts w:hint="cs"/>
          <w:rtl/>
        </w:rPr>
        <w:t xml:space="preserve">שנעשו בשלבים המתקדמים </w:t>
      </w:r>
      <w:r w:rsidRPr="00FF1AFA">
        <w:rPr>
          <w:rFonts w:hint="cs"/>
          <w:rtl/>
        </w:rPr>
        <w:t xml:space="preserve">או </w:t>
      </w:r>
      <w:r>
        <w:rPr>
          <w:rFonts w:hint="cs"/>
          <w:rtl/>
        </w:rPr>
        <w:t xml:space="preserve">של </w:t>
      </w:r>
      <w:r w:rsidRPr="00FF1AFA">
        <w:rPr>
          <w:rFonts w:hint="cs"/>
          <w:rtl/>
        </w:rPr>
        <w:t>בחינ</w:t>
      </w:r>
      <w:r>
        <w:rPr>
          <w:rFonts w:hint="cs"/>
          <w:rtl/>
        </w:rPr>
        <w:t>ת</w:t>
      </w:r>
      <w:r w:rsidRPr="00FF1AFA">
        <w:rPr>
          <w:rFonts w:hint="cs"/>
          <w:rtl/>
        </w:rPr>
        <w:t xml:space="preserve"> פרמטרים בעלי משקל נחות.</w:t>
      </w:r>
    </w:p>
    <w:p w14:paraId="17FF4789" w14:textId="77777777" w:rsidR="00823E3A" w:rsidRDefault="00823E3A" w:rsidP="006828F1">
      <w:pPr>
        <w:pStyle w:val="a3"/>
      </w:pPr>
      <w:r w:rsidRPr="006828F1">
        <w:rPr>
          <w:rStyle w:val="Heading5Char"/>
          <w:rFonts w:hint="eastAsia"/>
          <w:b/>
          <w:bCs w:val="0"/>
          <w:color w:val="387026"/>
          <w:spacing w:val="0"/>
          <w:rtl/>
        </w:rPr>
        <w:t>מנהלת</w:t>
      </w:r>
      <w:r w:rsidRPr="006828F1">
        <w:rPr>
          <w:rStyle w:val="Heading5Char"/>
          <w:b/>
          <w:bCs w:val="0"/>
          <w:color w:val="387026"/>
          <w:spacing w:val="0"/>
          <w:rtl/>
        </w:rPr>
        <w:t xml:space="preserve"> </w:t>
      </w:r>
      <w:r w:rsidRPr="006828F1">
        <w:rPr>
          <w:rStyle w:val="Heading5Char"/>
          <w:rFonts w:hint="eastAsia"/>
          <w:b/>
          <w:bCs w:val="0"/>
          <w:color w:val="387026"/>
          <w:spacing w:val="0"/>
          <w:rtl/>
        </w:rPr>
        <w:t>הבינוי</w:t>
      </w:r>
      <w:r w:rsidRPr="006828F1">
        <w:rPr>
          <w:rStyle w:val="Heading5Char"/>
          <w:rFonts w:hint="cs"/>
          <w:b/>
          <w:bCs w:val="0"/>
          <w:color w:val="387026"/>
          <w:spacing w:val="0"/>
          <w:rtl/>
        </w:rPr>
        <w:t>:</w:t>
      </w:r>
      <w:r w:rsidRPr="006828F1">
        <w:rPr>
          <w:rFonts w:hint="cs"/>
          <w:color w:val="387026"/>
          <w:rtl/>
        </w:rPr>
        <w:t xml:space="preserve"> </w:t>
      </w:r>
      <w:r>
        <w:rPr>
          <w:rFonts w:hint="cs"/>
          <w:rtl/>
        </w:rPr>
        <w:t xml:space="preserve">למנהלת הבינוי אין </w:t>
      </w:r>
      <w:r w:rsidRPr="00FF1AFA">
        <w:rPr>
          <w:rFonts w:hint="cs"/>
          <w:rtl/>
        </w:rPr>
        <w:t xml:space="preserve">נוהל סדור המורה על ביצוע מבחני רגישות. על פי המתכונת </w:t>
      </w:r>
      <w:r>
        <w:rPr>
          <w:rFonts w:hint="cs"/>
          <w:rtl/>
        </w:rPr>
        <w:t>שאימצה המנהלת בפועל,</w:t>
      </w:r>
      <w:r w:rsidRPr="004C5EA6">
        <w:rPr>
          <w:rFonts w:hint="cs"/>
          <w:rtl/>
        </w:rPr>
        <w:t xml:space="preserve"> הבדיקות כוללות</w:t>
      </w:r>
      <w:r>
        <w:rPr>
          <w:rFonts w:hint="cs"/>
          <w:rtl/>
        </w:rPr>
        <w:t xml:space="preserve"> </w:t>
      </w:r>
      <w:r w:rsidRPr="004C5EA6">
        <w:rPr>
          <w:rFonts w:hint="cs"/>
          <w:rtl/>
        </w:rPr>
        <w:t xml:space="preserve">מבחני רגישות </w:t>
      </w:r>
      <w:r>
        <w:rPr>
          <w:rFonts w:hint="cs"/>
          <w:rtl/>
        </w:rPr>
        <w:t>עבור היקפם של</w:t>
      </w:r>
      <w:r w:rsidRPr="004C5EA6">
        <w:rPr>
          <w:rFonts w:hint="cs"/>
          <w:rtl/>
        </w:rPr>
        <w:t xml:space="preserve"> מענק ההקמה ו</w:t>
      </w:r>
      <w:r>
        <w:rPr>
          <w:rFonts w:hint="cs"/>
          <w:rtl/>
        </w:rPr>
        <w:t xml:space="preserve">של </w:t>
      </w:r>
      <w:r w:rsidRPr="004C5EA6">
        <w:rPr>
          <w:rFonts w:hint="cs"/>
          <w:rtl/>
        </w:rPr>
        <w:t>עלויות הבנ</w:t>
      </w:r>
      <w:r>
        <w:rPr>
          <w:rFonts w:hint="cs"/>
          <w:rtl/>
        </w:rPr>
        <w:t>י</w:t>
      </w:r>
      <w:r w:rsidRPr="004C5EA6">
        <w:rPr>
          <w:rFonts w:hint="cs"/>
          <w:rtl/>
        </w:rPr>
        <w:t xml:space="preserve">יה. </w:t>
      </w:r>
      <w:r>
        <w:rPr>
          <w:rFonts w:hint="cs"/>
          <w:rtl/>
        </w:rPr>
        <w:t>עם זאת,</w:t>
      </w:r>
      <w:r w:rsidRPr="004C5EA6">
        <w:rPr>
          <w:rFonts w:hint="cs"/>
          <w:rtl/>
        </w:rPr>
        <w:t xml:space="preserve"> </w:t>
      </w:r>
      <w:r>
        <w:rPr>
          <w:rFonts w:hint="cs"/>
          <w:rtl/>
        </w:rPr>
        <w:t xml:space="preserve">יצוין כי בהיעדר נוהל המגדיר את דרך הפעולה, </w:t>
      </w:r>
      <w:r w:rsidRPr="004C5EA6">
        <w:rPr>
          <w:rFonts w:hint="cs"/>
          <w:rtl/>
        </w:rPr>
        <w:t xml:space="preserve">אין הכרח לשמר את המצב הקיים או לפעול </w:t>
      </w:r>
      <w:r>
        <w:rPr>
          <w:rFonts w:hint="cs"/>
          <w:rtl/>
        </w:rPr>
        <w:t>להתייעלותו.</w:t>
      </w:r>
    </w:p>
    <w:p w14:paraId="2C59EA84" w14:textId="2DEAD4D7" w:rsidR="00823E3A" w:rsidRDefault="00823E3A" w:rsidP="006828F1">
      <w:pPr>
        <w:pStyle w:val="af5"/>
        <w:rPr>
          <w:rtl/>
        </w:rPr>
      </w:pPr>
      <w:r>
        <w:rPr>
          <w:rFonts w:hint="cs"/>
          <w:rtl/>
        </w:rPr>
        <w:t xml:space="preserve">לניתוחי </w:t>
      </w:r>
      <w:r w:rsidRPr="00AA7C8B">
        <w:rPr>
          <w:rFonts w:hint="cs"/>
          <w:rtl/>
        </w:rPr>
        <w:t>רגישות</w:t>
      </w:r>
      <w:r>
        <w:rPr>
          <w:rFonts w:hint="cs"/>
          <w:rtl/>
        </w:rPr>
        <w:t xml:space="preserve"> חשיבות רבה הנגזרת מהתבססותו של המודל הפיננסי על הנחות </w:t>
      </w:r>
      <w:r w:rsidRPr="00E20A3D">
        <w:rPr>
          <w:rFonts w:hint="cs"/>
          <w:rtl/>
        </w:rPr>
        <w:t xml:space="preserve">ואומדנים. </w:t>
      </w:r>
      <w:r>
        <w:rPr>
          <w:rFonts w:hint="cs"/>
          <w:rtl/>
        </w:rPr>
        <w:t xml:space="preserve">מסיבה זו </w:t>
      </w:r>
      <w:r w:rsidRPr="00AC752D">
        <w:rPr>
          <w:rFonts w:hint="eastAsia"/>
          <w:rtl/>
        </w:rPr>
        <w:t>על</w:t>
      </w:r>
      <w:r w:rsidRPr="00AC752D">
        <w:rPr>
          <w:rtl/>
        </w:rPr>
        <w:t xml:space="preserve"> </w:t>
      </w:r>
      <w:r w:rsidRPr="00AC752D">
        <w:rPr>
          <w:rFonts w:hint="eastAsia"/>
          <w:rtl/>
        </w:rPr>
        <w:t>משרד</w:t>
      </w:r>
      <w:r w:rsidRPr="00AC752D">
        <w:rPr>
          <w:rtl/>
        </w:rPr>
        <w:t xml:space="preserve"> </w:t>
      </w:r>
      <w:r w:rsidRPr="00AC752D">
        <w:rPr>
          <w:rFonts w:hint="eastAsia"/>
          <w:rtl/>
        </w:rPr>
        <w:t>הביטחון</w:t>
      </w:r>
      <w:r w:rsidRPr="00AC752D">
        <w:rPr>
          <w:rtl/>
        </w:rPr>
        <w:t xml:space="preserve"> ועל מנהלת הבינוי </w:t>
      </w:r>
      <w:r w:rsidRPr="00AC752D">
        <w:rPr>
          <w:rFonts w:hint="eastAsia"/>
          <w:rtl/>
        </w:rPr>
        <w:t>לקדם</w:t>
      </w:r>
      <w:r w:rsidRPr="00AC752D">
        <w:rPr>
          <w:rtl/>
        </w:rPr>
        <w:t xml:space="preserve"> </w:t>
      </w:r>
      <w:r w:rsidRPr="00AC752D">
        <w:rPr>
          <w:rFonts w:hint="eastAsia"/>
          <w:rtl/>
        </w:rPr>
        <w:t>מתכונת</w:t>
      </w:r>
      <w:r w:rsidRPr="00AC752D">
        <w:rPr>
          <w:rtl/>
        </w:rPr>
        <w:t xml:space="preserve"> </w:t>
      </w:r>
      <w:r w:rsidRPr="00AC752D">
        <w:rPr>
          <w:rFonts w:hint="eastAsia"/>
          <w:rtl/>
        </w:rPr>
        <w:t>בדיקה</w:t>
      </w:r>
      <w:r w:rsidRPr="00AC752D">
        <w:rPr>
          <w:rtl/>
        </w:rPr>
        <w:t xml:space="preserve"> </w:t>
      </w:r>
      <w:r w:rsidRPr="00AC752D">
        <w:rPr>
          <w:rFonts w:hint="eastAsia"/>
          <w:rtl/>
        </w:rPr>
        <w:t>מחייבת</w:t>
      </w:r>
      <w:r w:rsidRPr="00AC752D">
        <w:rPr>
          <w:rtl/>
        </w:rPr>
        <w:t xml:space="preserve"> </w:t>
      </w:r>
      <w:r w:rsidRPr="00AC752D">
        <w:rPr>
          <w:rFonts w:hint="eastAsia"/>
          <w:rtl/>
        </w:rPr>
        <w:t>שתעגן</w:t>
      </w:r>
      <w:r w:rsidRPr="00AC752D">
        <w:rPr>
          <w:rtl/>
        </w:rPr>
        <w:t xml:space="preserve"> </w:t>
      </w:r>
      <w:r w:rsidRPr="00AC752D">
        <w:rPr>
          <w:rFonts w:hint="eastAsia"/>
          <w:rtl/>
        </w:rPr>
        <w:t>את</w:t>
      </w:r>
      <w:r w:rsidRPr="00AC752D">
        <w:rPr>
          <w:rtl/>
        </w:rPr>
        <w:t xml:space="preserve"> </w:t>
      </w:r>
      <w:r w:rsidRPr="00AC752D">
        <w:rPr>
          <w:rFonts w:hint="eastAsia"/>
          <w:rtl/>
        </w:rPr>
        <w:t>ביצוע</w:t>
      </w:r>
      <w:r w:rsidRPr="00AC752D">
        <w:rPr>
          <w:rtl/>
        </w:rPr>
        <w:t xml:space="preserve"> </w:t>
      </w:r>
      <w:r w:rsidRPr="00AC752D">
        <w:rPr>
          <w:rFonts w:hint="eastAsia"/>
          <w:rtl/>
        </w:rPr>
        <w:t>ניתוחי</w:t>
      </w:r>
      <w:r w:rsidRPr="00AC752D">
        <w:rPr>
          <w:rtl/>
        </w:rPr>
        <w:t xml:space="preserve"> </w:t>
      </w:r>
      <w:r w:rsidRPr="00AC752D">
        <w:rPr>
          <w:rFonts w:hint="eastAsia"/>
          <w:rtl/>
        </w:rPr>
        <w:t>הרגישות</w:t>
      </w:r>
      <w:r w:rsidRPr="00AC752D">
        <w:rPr>
          <w:rtl/>
        </w:rPr>
        <w:t xml:space="preserve"> </w:t>
      </w:r>
      <w:r w:rsidRPr="00AC752D">
        <w:rPr>
          <w:rFonts w:hint="eastAsia"/>
          <w:rtl/>
        </w:rPr>
        <w:t>בביצוע</w:t>
      </w:r>
      <w:r w:rsidRPr="00AC752D">
        <w:rPr>
          <w:rtl/>
        </w:rPr>
        <w:t xml:space="preserve"> </w:t>
      </w:r>
      <w:r w:rsidRPr="00AC752D">
        <w:rPr>
          <w:rFonts w:hint="eastAsia"/>
          <w:rtl/>
        </w:rPr>
        <w:t>בדיקות</w:t>
      </w:r>
      <w:r w:rsidRPr="00AC752D">
        <w:rPr>
          <w:rtl/>
        </w:rPr>
        <w:t xml:space="preserve"> </w:t>
      </w:r>
      <w:r w:rsidRPr="00AC752D">
        <w:rPr>
          <w:rFonts w:hint="eastAsia"/>
          <w:rtl/>
        </w:rPr>
        <w:t>ההתאמה</w:t>
      </w:r>
      <w:r w:rsidRPr="00AC752D">
        <w:rPr>
          <w:rtl/>
        </w:rPr>
        <w:t xml:space="preserve">. כמו כן </w:t>
      </w:r>
      <w:r w:rsidRPr="00E20A3D">
        <w:rPr>
          <w:rFonts w:hint="cs"/>
          <w:rtl/>
        </w:rPr>
        <w:t>על שלושת הגופים, אשר</w:t>
      </w:r>
      <w:r>
        <w:rPr>
          <w:rFonts w:hint="cs"/>
          <w:rtl/>
        </w:rPr>
        <w:t xml:space="preserve"> אמונים על ביצוע בחינות ההתאמה, להגדיר בבירור ומבעוד מועד מהם הפרמטרים בעלי פוטנציאל ההשפעה הגבוה ביותר בכל פרויקט, למקד את ניתוחי הרגישות בפרמטרים אלה ולהציגם בבחינות ההתאמה כדי לשקף למקבלי ההחלטות את מרווח הסטייה האפשרי. </w:t>
      </w:r>
    </w:p>
    <w:p w14:paraId="108696E8" w14:textId="77777777" w:rsidR="00823E3A" w:rsidRDefault="00823E3A" w:rsidP="006828F1">
      <w:pPr>
        <w:pStyle w:val="5115"/>
        <w:rPr>
          <w:rtl/>
        </w:rPr>
      </w:pPr>
      <w:r>
        <w:rPr>
          <w:rFonts w:hint="cs"/>
          <w:rtl/>
        </w:rPr>
        <w:t>השוואה בין-לאומית</w:t>
      </w:r>
    </w:p>
    <w:p w14:paraId="25D023B1" w14:textId="427C3C47" w:rsidR="00823E3A" w:rsidRDefault="00823E3A" w:rsidP="006828F1">
      <w:pPr>
        <w:pStyle w:val="100"/>
        <w:rPr>
          <w:rtl/>
        </w:rPr>
      </w:pPr>
      <w:r>
        <w:rPr>
          <w:rFonts w:hint="cs"/>
          <w:rtl/>
        </w:rPr>
        <w:t xml:space="preserve">הקמת תשתיות במתווה של שותפות ציבורית-פרטית נעשתה שגורה במדינות רבות בעלות רמות שונות של עושר. פרויקטים מסוג זה במגוון רחב של תחומים זכו להצלחה רבה ולעומתם פרויקטים אחרים נתקלו בבעיות שונות. מכאן עולה חשיבותה של השוואה בין-לאומית הן </w:t>
      </w:r>
      <w:r>
        <w:rPr>
          <w:rFonts w:hint="cs"/>
          <w:rtl/>
        </w:rPr>
        <w:lastRenderedPageBreak/>
        <w:t>באמידת התועלות מיישום המתווה לצורך ביצוע בחינת התאמה והן בניסוח</w:t>
      </w:r>
      <w:r>
        <w:rPr>
          <w:rtl/>
        </w:rPr>
        <w:t xml:space="preserve"> עקרונות </w:t>
      </w:r>
      <w:r>
        <w:rPr>
          <w:rFonts w:hint="cs"/>
          <w:rtl/>
        </w:rPr>
        <w:t>מועילים של מרכיבי השותפות עבור פרויקטים שנמצאו מתאימים.</w:t>
      </w:r>
    </w:p>
    <w:p w14:paraId="448FB808" w14:textId="1D6EF068" w:rsidR="00823E3A" w:rsidRPr="006828F1" w:rsidRDefault="00823E3A" w:rsidP="006828F1">
      <w:pPr>
        <w:pStyle w:val="100"/>
        <w:rPr>
          <w:sz w:val="24"/>
          <w:rtl/>
        </w:rPr>
      </w:pPr>
      <w:r>
        <w:rPr>
          <w:rFonts w:hint="cs"/>
          <w:rtl/>
        </w:rPr>
        <w:t xml:space="preserve">זיהוי </w:t>
      </w:r>
      <w:r w:rsidRPr="00633918">
        <w:rPr>
          <w:rFonts w:hint="cs"/>
          <w:sz w:val="24"/>
          <w:rtl/>
        </w:rPr>
        <w:t xml:space="preserve">איכותי </w:t>
      </w:r>
      <w:r>
        <w:rPr>
          <w:rFonts w:hint="cs"/>
          <w:sz w:val="24"/>
          <w:rtl/>
        </w:rPr>
        <w:t>מצריך להצליב מידע המתקבל מ</w:t>
      </w:r>
      <w:r w:rsidRPr="00633918">
        <w:rPr>
          <w:rFonts w:hint="cs"/>
          <w:sz w:val="24"/>
          <w:rtl/>
        </w:rPr>
        <w:t xml:space="preserve">פרויקטים </w:t>
      </w:r>
      <w:r>
        <w:rPr>
          <w:rFonts w:hint="cs"/>
          <w:sz w:val="24"/>
          <w:rtl/>
        </w:rPr>
        <w:t>שונים</w:t>
      </w:r>
      <w:r w:rsidRPr="00633918">
        <w:rPr>
          <w:sz w:val="24"/>
          <w:rtl/>
        </w:rPr>
        <w:t xml:space="preserve"> המשתמשים ב</w:t>
      </w:r>
      <w:r>
        <w:rPr>
          <w:rFonts w:hint="cs"/>
          <w:sz w:val="24"/>
          <w:rtl/>
        </w:rPr>
        <w:t xml:space="preserve">מינוח </w:t>
      </w:r>
      <w:r w:rsidRPr="00633918">
        <w:rPr>
          <w:sz w:val="24"/>
          <w:rtl/>
        </w:rPr>
        <w:t>שונה</w:t>
      </w:r>
      <w:r>
        <w:rPr>
          <w:rFonts w:hint="cs"/>
          <w:sz w:val="24"/>
          <w:rtl/>
        </w:rPr>
        <w:t>, ו</w:t>
      </w:r>
      <w:r>
        <w:rPr>
          <w:rFonts w:hint="cs"/>
          <w:rtl/>
        </w:rPr>
        <w:t xml:space="preserve">בהיעדר נורמה אוניברסלית אחידה </w:t>
      </w:r>
      <w:r w:rsidRPr="00633918">
        <w:rPr>
          <w:rFonts w:hint="cs"/>
          <w:sz w:val="24"/>
          <w:rtl/>
        </w:rPr>
        <w:t>ל</w:t>
      </w:r>
      <w:r>
        <w:rPr>
          <w:rFonts w:hint="cs"/>
          <w:sz w:val="24"/>
          <w:rtl/>
        </w:rPr>
        <w:t>גישה המתאימה ביותר ליישום המתווה, נדרש תחילה לערוך ניתוח פרטני ברמת המדינה, ברמת המגזר וברמת הפרויקט</w:t>
      </w:r>
      <w:r>
        <w:rPr>
          <w:rStyle w:val="FootnoteReference"/>
          <w:sz w:val="24"/>
          <w:rtl/>
        </w:rPr>
        <w:footnoteReference w:id="127"/>
      </w:r>
      <w:r>
        <w:rPr>
          <w:rFonts w:hint="cs"/>
          <w:sz w:val="24"/>
          <w:rtl/>
        </w:rPr>
        <w:t>. כך מתאפשר</w:t>
      </w:r>
      <w:r>
        <w:rPr>
          <w:rFonts w:hint="cs"/>
          <w:rtl/>
        </w:rPr>
        <w:t xml:space="preserve"> בין היתר לזהות נקודות חוזק וחולשה, לדלות מהמידע עקרונות וסטנדרטים בין-לאומיים במגוון תחומים, להטמיע כלים משפטיים ותקנים מתקדמים וכן לאתר את דרכי הפתרון המקובלות בניסוח הגדרתם של מרכיבי ההתקשרות בהקמת שותפות עם המגזר הפרטי.</w:t>
      </w:r>
    </w:p>
    <w:p w14:paraId="2E687507" w14:textId="3E5A7E29" w:rsidR="00823E3A" w:rsidRDefault="00823E3A" w:rsidP="006828F1">
      <w:pPr>
        <w:pStyle w:val="100"/>
        <w:rPr>
          <w:rtl/>
        </w:rPr>
      </w:pPr>
      <w:r>
        <w:rPr>
          <w:rFonts w:hint="cs"/>
          <w:rtl/>
        </w:rPr>
        <w:t>נוהל העבודה שיושם בחטיבת תשתיות ופרויקטים מורה על ביצוע סקירה בין-לאומית לאיתור פרויקטים דומים שבהם יושם המתווה, לרבות זיהוי המאפיינים העיקריים ושיטת הביצוע העדיפה</w:t>
      </w:r>
      <w:r>
        <w:rPr>
          <w:rStyle w:val="FootnoteReference"/>
          <w:rtl/>
        </w:rPr>
        <w:footnoteReference w:id="128"/>
      </w:r>
      <w:r>
        <w:rPr>
          <w:rFonts w:hint="cs"/>
          <w:rtl/>
        </w:rPr>
        <w:t>. הב</w:t>
      </w:r>
      <w:r w:rsidRPr="00F27A3E">
        <w:rPr>
          <w:rFonts w:hint="cs"/>
          <w:rtl/>
        </w:rPr>
        <w:t>דיק</w:t>
      </w:r>
      <w:r>
        <w:rPr>
          <w:rFonts w:hint="cs"/>
          <w:rtl/>
        </w:rPr>
        <w:t>ה של</w:t>
      </w:r>
      <w:r w:rsidRPr="00F27A3E">
        <w:rPr>
          <w:rFonts w:hint="cs"/>
          <w:rtl/>
        </w:rPr>
        <w:t xml:space="preserve"> משרד מבקר המדינה </w:t>
      </w:r>
      <w:r>
        <w:rPr>
          <w:rFonts w:hint="cs"/>
          <w:rtl/>
        </w:rPr>
        <w:t>העלתה</w:t>
      </w:r>
      <w:r w:rsidRPr="00F27A3E">
        <w:rPr>
          <w:rFonts w:hint="cs"/>
          <w:rtl/>
        </w:rPr>
        <w:t xml:space="preserve"> כי ב</w:t>
      </w:r>
      <w:r>
        <w:rPr>
          <w:rFonts w:hint="cs"/>
          <w:rtl/>
        </w:rPr>
        <w:t xml:space="preserve">כל שלוש </w:t>
      </w:r>
      <w:r w:rsidRPr="00F27A3E">
        <w:rPr>
          <w:rFonts w:hint="cs"/>
          <w:rtl/>
        </w:rPr>
        <w:t xml:space="preserve">בדיקות ההתאמה </w:t>
      </w:r>
      <w:r>
        <w:rPr>
          <w:rFonts w:hint="cs"/>
          <w:rtl/>
        </w:rPr>
        <w:t>שערכה ה</w:t>
      </w:r>
      <w:r w:rsidRPr="00F27A3E">
        <w:rPr>
          <w:rFonts w:hint="cs"/>
          <w:rtl/>
        </w:rPr>
        <w:t>חטיבה</w:t>
      </w:r>
      <w:r>
        <w:rPr>
          <w:rFonts w:hint="cs"/>
          <w:rtl/>
        </w:rPr>
        <w:t xml:space="preserve"> לא בוצעה סקירה בין-</w:t>
      </w:r>
      <w:r w:rsidRPr="00F27A3E">
        <w:rPr>
          <w:rFonts w:hint="cs"/>
          <w:rtl/>
        </w:rPr>
        <w:t>לאומית</w:t>
      </w:r>
      <w:r>
        <w:rPr>
          <w:rFonts w:hint="cs"/>
          <w:rtl/>
        </w:rPr>
        <w:t>, זאת אף שרוב הבדיקות הללו בוחנות פרויקטים ראשונים בתחומם בארץ</w:t>
      </w:r>
      <w:r>
        <w:rPr>
          <w:rStyle w:val="FootnoteReference"/>
          <w:rtl/>
        </w:rPr>
        <w:footnoteReference w:id="129"/>
      </w:r>
      <w:r>
        <w:rPr>
          <w:rFonts w:hint="cs"/>
          <w:rtl/>
        </w:rPr>
        <w:t>, וכך לא נצבר בישראל ניסיון קודם על הדרך המיטבית לביצועם.</w:t>
      </w:r>
    </w:p>
    <w:p w14:paraId="785E5D0A" w14:textId="77777777" w:rsidR="00823E3A" w:rsidRDefault="00823E3A" w:rsidP="006828F1">
      <w:pPr>
        <w:pStyle w:val="100"/>
        <w:rPr>
          <w:rtl/>
        </w:rPr>
      </w:pPr>
      <w:r>
        <w:rPr>
          <w:rFonts w:hint="cs"/>
          <w:rtl/>
        </w:rPr>
        <w:t>עוד נמצא כי גם ב</w:t>
      </w:r>
      <w:r w:rsidRPr="00387CF8">
        <w:rPr>
          <w:rFonts w:hint="cs"/>
          <w:rtl/>
        </w:rPr>
        <w:t>מנהלת הבינוי לא מתבצעות סקירות בי</w:t>
      </w:r>
      <w:r>
        <w:rPr>
          <w:rFonts w:hint="cs"/>
          <w:rtl/>
        </w:rPr>
        <w:t>ן-</w:t>
      </w:r>
      <w:r w:rsidRPr="00387CF8">
        <w:rPr>
          <w:rFonts w:hint="cs"/>
          <w:rtl/>
        </w:rPr>
        <w:t>לאומית</w:t>
      </w:r>
      <w:r>
        <w:rPr>
          <w:rFonts w:hint="cs"/>
          <w:rtl/>
        </w:rPr>
        <w:t xml:space="preserve"> </w:t>
      </w:r>
      <w:r w:rsidRPr="00387CF8">
        <w:rPr>
          <w:rFonts w:hint="cs"/>
          <w:rtl/>
        </w:rPr>
        <w:t>כחלק</w:t>
      </w:r>
      <w:r>
        <w:rPr>
          <w:rFonts w:hint="cs"/>
          <w:rtl/>
        </w:rPr>
        <w:t xml:space="preserve"> בלתי נפרד </w:t>
      </w:r>
      <w:r w:rsidRPr="00387CF8">
        <w:rPr>
          <w:rFonts w:hint="cs"/>
          <w:rtl/>
        </w:rPr>
        <w:t>מ</w:t>
      </w:r>
      <w:r>
        <w:rPr>
          <w:rFonts w:hint="cs"/>
          <w:rtl/>
        </w:rPr>
        <w:t>הליך בדיק</w:t>
      </w:r>
      <w:r w:rsidRPr="00387CF8">
        <w:rPr>
          <w:rFonts w:hint="cs"/>
          <w:rtl/>
        </w:rPr>
        <w:t xml:space="preserve">ת ההתאמה ליישום </w:t>
      </w:r>
      <w:r>
        <w:rPr>
          <w:rFonts w:hint="cs"/>
          <w:rtl/>
        </w:rPr>
        <w:t>המתווה. אמנם המנהלת מקימה פרויקטים רק בתחום הבינוי וביצעה בעבר סקירות בין-לאומיות, אך בהיעדר נוהל מוסדר הכולל בין היתר אזכור של ביצוע סקירה בין-לאומית מקיפה ועיתית בפרקי זמן מוגדרים או טרם תחילתו של ביצוע פרויקט ראשון מסוגו, הרי שאפשרות זו אינה נבחנת כלל. כך נמנעת האפשרות לפעול לניסוח מיטבי של מרכיבי השותפות ולהוביל להתייעלות בהסתמך על ניסיונם של אחרים.</w:t>
      </w:r>
    </w:p>
    <w:p w14:paraId="246FFDE9" w14:textId="77777777" w:rsidR="00823E3A" w:rsidRDefault="00823E3A" w:rsidP="006828F1">
      <w:pPr>
        <w:pStyle w:val="af5"/>
        <w:rPr>
          <w:rtl/>
        </w:rPr>
      </w:pPr>
      <w:r>
        <w:rPr>
          <w:rFonts w:hint="cs"/>
          <w:rtl/>
        </w:rPr>
        <w:t xml:space="preserve">לדעתו של </w:t>
      </w:r>
      <w:r w:rsidRPr="00972A3A">
        <w:rPr>
          <w:rFonts w:hint="cs"/>
          <w:rtl/>
        </w:rPr>
        <w:t>משרד מבקר המדינה</w:t>
      </w:r>
      <w:r>
        <w:rPr>
          <w:rFonts w:hint="cs"/>
          <w:rtl/>
        </w:rPr>
        <w:t>,</w:t>
      </w:r>
      <w:r w:rsidRPr="00972A3A">
        <w:rPr>
          <w:rFonts w:hint="cs"/>
          <w:rtl/>
        </w:rPr>
        <w:t xml:space="preserve"> </w:t>
      </w:r>
      <w:r>
        <w:rPr>
          <w:rFonts w:hint="cs"/>
          <w:rtl/>
        </w:rPr>
        <w:t xml:space="preserve">על מנהלת הבינוי וחטיבת תשתיות ופרויקטים </w:t>
      </w:r>
      <w:r w:rsidRPr="00972A3A">
        <w:rPr>
          <w:rFonts w:hint="cs"/>
          <w:rtl/>
        </w:rPr>
        <w:t>להקפיד</w:t>
      </w:r>
      <w:r>
        <w:rPr>
          <w:rFonts w:hint="cs"/>
          <w:rtl/>
        </w:rPr>
        <w:t xml:space="preserve"> </w:t>
      </w:r>
      <w:r w:rsidRPr="00972A3A">
        <w:rPr>
          <w:rFonts w:hint="cs"/>
          <w:rtl/>
        </w:rPr>
        <w:t xml:space="preserve">על </w:t>
      </w:r>
      <w:r>
        <w:rPr>
          <w:rFonts w:hint="cs"/>
          <w:rtl/>
        </w:rPr>
        <w:t>ביצוע השוואות בין-לאומיות</w:t>
      </w:r>
      <w:r w:rsidRPr="004C121D">
        <w:rPr>
          <w:rFonts w:hint="cs"/>
          <w:rtl/>
        </w:rPr>
        <w:t xml:space="preserve"> </w:t>
      </w:r>
      <w:r>
        <w:rPr>
          <w:rFonts w:hint="cs"/>
          <w:rtl/>
        </w:rPr>
        <w:t>עיתיות, שאף באו לידי ביטוי בנהלי החטיבה והן מרכיב חשוב בגיבוש העקרונות הראויים להקמת שותפות עם המגזר הפרטי.</w:t>
      </w:r>
    </w:p>
    <w:p w14:paraId="402991B8" w14:textId="7E71B4D2" w:rsidR="00823E3A" w:rsidRDefault="00823E3A" w:rsidP="006828F1">
      <w:pPr>
        <w:pStyle w:val="100"/>
        <w:rPr>
          <w:rtl/>
        </w:rPr>
      </w:pPr>
      <w:r>
        <w:rPr>
          <w:rFonts w:hint="cs"/>
          <w:rtl/>
        </w:rPr>
        <w:t>עמדתה של חטיבת תשתיות ופרויקטים היא, כי בדיקות ההתאמה הן כלי ראשוני לבחינת יישומו של מתווה ה-</w:t>
      </w:r>
      <w:r>
        <w:rPr>
          <w:rFonts w:hint="cs"/>
        </w:rPr>
        <w:t>PPP</w:t>
      </w:r>
      <w:r>
        <w:rPr>
          <w:rFonts w:hint="cs"/>
          <w:rtl/>
        </w:rPr>
        <w:t xml:space="preserve">, וכי בחינה פרטנית נרחבת הכוללת בין היתר השוואה בין-לאומית לחלופות ביצוע טכנולוגיות נעשית עבור כל פרויקט בשלבים המתקדמים של המכרז מתוך שיקולי עלות מול תועלת. </w:t>
      </w:r>
    </w:p>
    <w:p w14:paraId="366918F3" w14:textId="5D3B4284" w:rsidR="00823E3A" w:rsidRDefault="00823E3A" w:rsidP="006828F1">
      <w:pPr>
        <w:pStyle w:val="af5"/>
        <w:rPr>
          <w:rtl/>
        </w:rPr>
      </w:pPr>
      <w:r w:rsidRPr="008765EE">
        <w:rPr>
          <w:rFonts w:hint="cs"/>
          <w:rtl/>
        </w:rPr>
        <w:t xml:space="preserve">לפרויקטים עלויות </w:t>
      </w:r>
      <w:r>
        <w:rPr>
          <w:rFonts w:hint="cs"/>
          <w:rtl/>
        </w:rPr>
        <w:t>הנובעות</w:t>
      </w:r>
      <w:r w:rsidRPr="008765EE">
        <w:rPr>
          <w:rFonts w:hint="cs"/>
          <w:rtl/>
        </w:rPr>
        <w:t xml:space="preserve"> הן </w:t>
      </w:r>
      <w:r>
        <w:rPr>
          <w:rFonts w:hint="cs"/>
          <w:rtl/>
        </w:rPr>
        <w:t>מה</w:t>
      </w:r>
      <w:r w:rsidRPr="008765EE">
        <w:rPr>
          <w:rFonts w:hint="cs"/>
          <w:rtl/>
        </w:rPr>
        <w:t xml:space="preserve">החלטה על יישום המתווה לרבות העסקת יועצים, והן </w:t>
      </w:r>
      <w:r>
        <w:rPr>
          <w:rFonts w:hint="cs"/>
          <w:rtl/>
        </w:rPr>
        <w:t>מ</w:t>
      </w:r>
      <w:r w:rsidRPr="008765EE">
        <w:rPr>
          <w:rFonts w:hint="cs"/>
          <w:rtl/>
        </w:rPr>
        <w:t xml:space="preserve">בחירת הטכנולוגיה המיטבית. לכן ראוי לבחון </w:t>
      </w:r>
      <w:r>
        <w:rPr>
          <w:rFonts w:hint="cs"/>
          <w:rtl/>
        </w:rPr>
        <w:t xml:space="preserve">תוכנית </w:t>
      </w:r>
      <w:r w:rsidRPr="008765EE">
        <w:rPr>
          <w:rFonts w:hint="cs"/>
          <w:rtl/>
        </w:rPr>
        <w:t>מפורט</w:t>
      </w:r>
      <w:r>
        <w:rPr>
          <w:rFonts w:hint="cs"/>
          <w:rtl/>
        </w:rPr>
        <w:t>ת יותר</w:t>
      </w:r>
      <w:r w:rsidRPr="008765EE">
        <w:rPr>
          <w:rFonts w:hint="cs"/>
          <w:rtl/>
        </w:rPr>
        <w:t xml:space="preserve"> של</w:t>
      </w:r>
      <w:r>
        <w:rPr>
          <w:rFonts w:hint="cs"/>
          <w:rtl/>
        </w:rPr>
        <w:t xml:space="preserve"> שיטת הביצוע הראויה</w:t>
      </w:r>
      <w:r w:rsidRPr="008765EE">
        <w:rPr>
          <w:rFonts w:hint="cs"/>
          <w:rtl/>
        </w:rPr>
        <w:t xml:space="preserve"> </w:t>
      </w:r>
      <w:r>
        <w:rPr>
          <w:rFonts w:hint="cs"/>
          <w:rtl/>
        </w:rPr>
        <w:t>ב</w:t>
      </w:r>
      <w:r w:rsidRPr="008765EE">
        <w:rPr>
          <w:rFonts w:hint="cs"/>
          <w:rtl/>
        </w:rPr>
        <w:t xml:space="preserve">בדיקות ההתאמה </w:t>
      </w:r>
      <w:r>
        <w:rPr>
          <w:rFonts w:hint="cs"/>
          <w:rtl/>
        </w:rPr>
        <w:t>ה</w:t>
      </w:r>
      <w:r w:rsidRPr="008765EE">
        <w:rPr>
          <w:rFonts w:hint="cs"/>
          <w:rtl/>
        </w:rPr>
        <w:t>עשוי</w:t>
      </w:r>
      <w:r>
        <w:rPr>
          <w:rFonts w:hint="cs"/>
          <w:rtl/>
        </w:rPr>
        <w:t>ה</w:t>
      </w:r>
      <w:r w:rsidRPr="008765EE">
        <w:rPr>
          <w:rFonts w:hint="cs"/>
          <w:rtl/>
        </w:rPr>
        <w:t xml:space="preserve"> לחסוך משאבים יקרי ערך</w:t>
      </w:r>
      <w:r>
        <w:rPr>
          <w:rFonts w:hint="cs"/>
          <w:rtl/>
        </w:rPr>
        <w:t xml:space="preserve"> בהמשך הדרך</w:t>
      </w:r>
      <w:r w:rsidRPr="008765EE">
        <w:rPr>
          <w:rFonts w:hint="cs"/>
          <w:rtl/>
        </w:rPr>
        <w:t>.</w:t>
      </w:r>
    </w:p>
    <w:p w14:paraId="78EEE928" w14:textId="77777777" w:rsidR="00823E3A" w:rsidRDefault="00823E3A" w:rsidP="006828F1">
      <w:pPr>
        <w:pStyle w:val="100"/>
        <w:rPr>
          <w:rtl/>
        </w:rPr>
      </w:pPr>
      <w:r>
        <w:rPr>
          <w:rFonts w:hint="cs"/>
          <w:rtl/>
        </w:rPr>
        <w:lastRenderedPageBreak/>
        <w:t xml:space="preserve">במשרד הביטחון הונהגה שיטת עבודה הכוללת הליך של הפקת לקחים מהקמת פרויקט בשיתוף המגזר הפרטי, לרבות גיבוש תובנות על מבנה המתווה המיטבי באמצעות בחינת פרויקטים בין-לאומיים ומקומיים, אולם אין נוהל המחייב לבצע סקירה או השוואה בין-לאומית. בפועל, שלוש מתוך חמש בדיקות ההתאמה אינן כוללות השוואה כאמור הן לצורך גיבוש </w:t>
      </w:r>
      <w:r w:rsidRPr="00F27A3E">
        <w:rPr>
          <w:rFonts w:hint="cs"/>
          <w:rtl/>
        </w:rPr>
        <w:t>מאפייני</w:t>
      </w:r>
      <w:r>
        <w:rPr>
          <w:rFonts w:hint="cs"/>
          <w:rtl/>
        </w:rPr>
        <w:t xml:space="preserve"> ה</w:t>
      </w:r>
      <w:r w:rsidRPr="00F27A3E">
        <w:rPr>
          <w:rFonts w:hint="cs"/>
          <w:rtl/>
        </w:rPr>
        <w:t xml:space="preserve">עסקה </w:t>
      </w:r>
      <w:r>
        <w:rPr>
          <w:rFonts w:hint="cs"/>
          <w:rtl/>
        </w:rPr>
        <w:t>הראויים והן לצורך בחינתה של שיטת הביצוע המיטבית</w:t>
      </w:r>
      <w:r>
        <w:rPr>
          <w:rStyle w:val="FootnoteReference"/>
          <w:rtl/>
        </w:rPr>
        <w:footnoteReference w:id="130"/>
      </w:r>
      <w:r>
        <w:rPr>
          <w:rFonts w:hint="cs"/>
          <w:rtl/>
        </w:rPr>
        <w:t xml:space="preserve">. משרד הביטחון ציין בהתכתבותו עם צוות הביקורת כי מתנהל הליך למידה מפרויקטים בין-לאומיים ומקומיים, והמסקנות מכל פרויקט מגובשות במסמכי תחקיר הנעשה באופן עיתי בהוראות המשרד ובבדיקות ההתאמה. </w:t>
      </w:r>
    </w:p>
    <w:p w14:paraId="6E66002A" w14:textId="77777777" w:rsidR="00823E3A" w:rsidRDefault="00823E3A" w:rsidP="006828F1">
      <w:pPr>
        <w:pStyle w:val="af5"/>
        <w:rPr>
          <w:rtl/>
        </w:rPr>
      </w:pPr>
      <w:r>
        <w:rPr>
          <w:rFonts w:hint="cs"/>
          <w:rtl/>
        </w:rPr>
        <w:t>על משרד הביטחון לקבוע בנהליו כללים מנחים לביצוע השוואה בין-לאומית ולאופן הצגתם בבדיקות ההתאמה, מתוך ההכרה בחשיבות של הידע והניסיון להקמת פרויקטים מורכבים בשיתוף המגזר הפרטי.</w:t>
      </w:r>
      <w:r w:rsidRPr="00455D49">
        <w:rPr>
          <w:rFonts w:hint="cs"/>
          <w:rtl/>
        </w:rPr>
        <w:t xml:space="preserve"> </w:t>
      </w:r>
    </w:p>
    <w:p w14:paraId="461C41BC" w14:textId="6B32DB5D" w:rsidR="00823E3A" w:rsidRPr="00455D49" w:rsidRDefault="00823E3A" w:rsidP="006828F1">
      <w:pPr>
        <w:pStyle w:val="af5"/>
        <w:rPr>
          <w:rtl/>
        </w:rPr>
      </w:pPr>
      <w:r>
        <w:rPr>
          <w:rFonts w:hint="cs"/>
          <w:rtl/>
        </w:rPr>
        <w:t>לדעתו של משרד מבקר המדינה, ראוי לבחון כינון נוהל אחיד שבו יעוגנו כלל המרכיבים שיש לבחון בביצוע בדיקות ההתאמה לשם קביעת השיטה המיטבית להקמת פרויקט ולתפעולו, לרבות אופן הכללתם בהתאם לפרויקט הנבחן.</w:t>
      </w:r>
    </w:p>
    <w:p w14:paraId="7828BA73" w14:textId="0F6E7D86" w:rsidR="00823E3A" w:rsidRPr="00387FAF" w:rsidRDefault="00823E3A" w:rsidP="006828F1">
      <w:pPr>
        <w:pStyle w:val="5115"/>
        <w:rPr>
          <w:rtl/>
        </w:rPr>
      </w:pPr>
      <w:r w:rsidRPr="00455D49">
        <w:rPr>
          <w:rFonts w:hint="eastAsia"/>
          <w:rtl/>
        </w:rPr>
        <w:t>שמירת</w:t>
      </w:r>
      <w:r w:rsidRPr="00455D49">
        <w:rPr>
          <w:rtl/>
        </w:rPr>
        <w:t xml:space="preserve"> בסיס </w:t>
      </w:r>
      <w:r w:rsidRPr="00455D49">
        <w:rPr>
          <w:rFonts w:hint="eastAsia"/>
          <w:rtl/>
        </w:rPr>
        <w:t>נתונים</w:t>
      </w:r>
      <w:r w:rsidRPr="00455D49">
        <w:rPr>
          <w:rFonts w:hint="cs"/>
          <w:rtl/>
        </w:rPr>
        <w:t xml:space="preserve"> לשם ביסוס ההנחות</w:t>
      </w:r>
    </w:p>
    <w:p w14:paraId="22A617A3" w14:textId="26A246CE" w:rsidR="00823E3A" w:rsidRDefault="00823E3A" w:rsidP="006828F1">
      <w:pPr>
        <w:pStyle w:val="100"/>
        <w:rPr>
          <w:rtl/>
        </w:rPr>
      </w:pPr>
      <w:r w:rsidRPr="00455D49">
        <w:rPr>
          <w:rFonts w:hint="eastAsia"/>
          <w:rtl/>
        </w:rPr>
        <w:t>הערכה</w:t>
      </w:r>
      <w:r w:rsidRPr="00455D49">
        <w:rPr>
          <w:rtl/>
        </w:rPr>
        <w:t xml:space="preserve"> כמותית מבוססת על תוצאות</w:t>
      </w:r>
      <w:r>
        <w:rPr>
          <w:rFonts w:hint="cs"/>
          <w:rtl/>
        </w:rPr>
        <w:t>יו של</w:t>
      </w:r>
      <w:r w:rsidRPr="00455D49">
        <w:rPr>
          <w:rtl/>
        </w:rPr>
        <w:t xml:space="preserve"> המודל הפיננסי המורכב</w:t>
      </w:r>
      <w:r w:rsidRPr="00F22C24">
        <w:rPr>
          <w:rtl/>
        </w:rPr>
        <w:t xml:space="preserve"> מהנחות ואומדנים המשקפים את מכלול היבטי הפרויקט בחלופות השונות. </w:t>
      </w:r>
      <w:r>
        <w:rPr>
          <w:rFonts w:hint="cs"/>
          <w:rtl/>
        </w:rPr>
        <w:t>ה</w:t>
      </w:r>
      <w:r w:rsidRPr="00F22C24">
        <w:rPr>
          <w:rFonts w:hint="eastAsia"/>
          <w:rtl/>
        </w:rPr>
        <w:t>בדיק</w:t>
      </w:r>
      <w:r>
        <w:rPr>
          <w:rFonts w:hint="cs"/>
          <w:rtl/>
        </w:rPr>
        <w:t>ה של</w:t>
      </w:r>
      <w:r w:rsidRPr="00F22C24">
        <w:rPr>
          <w:rtl/>
        </w:rPr>
        <w:t xml:space="preserve"> משרד מבקר המדינה העלתה כי כל הגופים </w:t>
      </w:r>
      <w:r>
        <w:rPr>
          <w:rFonts w:hint="cs"/>
          <w:rtl/>
        </w:rPr>
        <w:t>ה</w:t>
      </w:r>
      <w:r w:rsidRPr="00F22C24">
        <w:rPr>
          <w:rFonts w:hint="eastAsia"/>
          <w:rtl/>
        </w:rPr>
        <w:t>אמונים</w:t>
      </w:r>
      <w:r w:rsidRPr="00F22C24">
        <w:rPr>
          <w:rtl/>
        </w:rPr>
        <w:t xml:space="preserve"> על ביצוע בדיקות </w:t>
      </w:r>
      <w:r w:rsidRPr="00F22C24">
        <w:rPr>
          <w:rFonts w:hint="eastAsia"/>
          <w:rtl/>
        </w:rPr>
        <w:t>ההתאמה</w:t>
      </w:r>
      <w:r w:rsidRPr="00F22C24">
        <w:rPr>
          <w:rtl/>
        </w:rPr>
        <w:t xml:space="preserve"> </w:t>
      </w:r>
      <w:r w:rsidRPr="00F22C24">
        <w:rPr>
          <w:rFonts w:hint="eastAsia"/>
          <w:rtl/>
        </w:rPr>
        <w:t>אינם</w:t>
      </w:r>
      <w:r w:rsidRPr="00F22C24">
        <w:rPr>
          <w:rtl/>
        </w:rPr>
        <w:t xml:space="preserve"> </w:t>
      </w:r>
      <w:r w:rsidRPr="00F22C24">
        <w:rPr>
          <w:rFonts w:hint="eastAsia"/>
          <w:rtl/>
        </w:rPr>
        <w:t>נוהגים</w:t>
      </w:r>
      <w:r w:rsidRPr="00F22C24">
        <w:rPr>
          <w:rtl/>
        </w:rPr>
        <w:t xml:space="preserve"> </w:t>
      </w:r>
      <w:r w:rsidRPr="00F22C24">
        <w:rPr>
          <w:rFonts w:hint="eastAsia"/>
          <w:rtl/>
        </w:rPr>
        <w:t>לשמור</w:t>
      </w:r>
      <w:r w:rsidRPr="00F22C24">
        <w:rPr>
          <w:rtl/>
        </w:rPr>
        <w:t xml:space="preserve"> את בס</w:t>
      </w:r>
      <w:r w:rsidRPr="00F22C24">
        <w:rPr>
          <w:rFonts w:hint="eastAsia"/>
          <w:rtl/>
        </w:rPr>
        <w:t>יס</w:t>
      </w:r>
      <w:r w:rsidRPr="00F22C24">
        <w:rPr>
          <w:rtl/>
        </w:rPr>
        <w:t xml:space="preserve"> </w:t>
      </w:r>
      <w:r w:rsidRPr="00F22C24">
        <w:rPr>
          <w:rFonts w:hint="eastAsia"/>
          <w:rtl/>
        </w:rPr>
        <w:t>הנתונים</w:t>
      </w:r>
      <w:r w:rsidRPr="00F22C24">
        <w:rPr>
          <w:rtl/>
        </w:rPr>
        <w:t xml:space="preserve"> ו</w:t>
      </w:r>
      <w:r>
        <w:rPr>
          <w:rFonts w:hint="cs"/>
          <w:rtl/>
        </w:rPr>
        <w:t xml:space="preserve">את </w:t>
      </w:r>
      <w:r w:rsidRPr="00F22C24">
        <w:rPr>
          <w:rtl/>
        </w:rPr>
        <w:t xml:space="preserve">ההנחות </w:t>
      </w:r>
      <w:r>
        <w:rPr>
          <w:rFonts w:hint="cs"/>
          <w:rtl/>
        </w:rPr>
        <w:t>ש</w:t>
      </w:r>
      <w:r w:rsidRPr="00F22C24">
        <w:rPr>
          <w:rtl/>
        </w:rPr>
        <w:t xml:space="preserve">עליהם הסתמכו בעבודתם. בפרט </w:t>
      </w:r>
      <w:r w:rsidRPr="00F22C24">
        <w:rPr>
          <w:rFonts w:hint="eastAsia"/>
          <w:rtl/>
        </w:rPr>
        <w:t>אין</w:t>
      </w:r>
      <w:r w:rsidRPr="00F22C24">
        <w:rPr>
          <w:rtl/>
        </w:rPr>
        <w:t xml:space="preserve"> </w:t>
      </w:r>
      <w:r w:rsidRPr="00F22C24">
        <w:rPr>
          <w:rFonts w:hint="eastAsia"/>
          <w:rtl/>
        </w:rPr>
        <w:t>ביסוס</w:t>
      </w:r>
      <w:r w:rsidRPr="00F22C24">
        <w:rPr>
          <w:rtl/>
        </w:rPr>
        <w:t xml:space="preserve"> </w:t>
      </w:r>
      <w:r w:rsidRPr="00F22C24">
        <w:rPr>
          <w:rFonts w:hint="eastAsia"/>
          <w:rtl/>
        </w:rPr>
        <w:t>לנתוני</w:t>
      </w:r>
      <w:r>
        <w:rPr>
          <w:rFonts w:hint="cs"/>
          <w:rtl/>
        </w:rPr>
        <w:t>ם שבהם משתמשים ב</w:t>
      </w:r>
      <w:r w:rsidRPr="00F22C24">
        <w:rPr>
          <w:rFonts w:hint="eastAsia"/>
          <w:rtl/>
        </w:rPr>
        <w:t>מודל</w:t>
      </w:r>
      <w:r w:rsidRPr="00F22C24">
        <w:rPr>
          <w:rtl/>
        </w:rPr>
        <w:t xml:space="preserve"> </w:t>
      </w:r>
      <w:r w:rsidRPr="00F22C24">
        <w:rPr>
          <w:rFonts w:hint="eastAsia"/>
          <w:rtl/>
        </w:rPr>
        <w:t>הפיננסי</w:t>
      </w:r>
      <w:r w:rsidRPr="00F22C24">
        <w:rPr>
          <w:rtl/>
        </w:rPr>
        <w:t xml:space="preserve"> עבור כל בדי</w:t>
      </w:r>
      <w:r w:rsidRPr="00F22C24">
        <w:rPr>
          <w:rFonts w:hint="eastAsia"/>
          <w:rtl/>
        </w:rPr>
        <w:t>קות</w:t>
      </w:r>
      <w:r w:rsidRPr="00F22C24">
        <w:rPr>
          <w:rtl/>
        </w:rPr>
        <w:t xml:space="preserve"> ההתאמה שבוצעו </w:t>
      </w:r>
      <w:r w:rsidRPr="00F22C24">
        <w:rPr>
          <w:rFonts w:hint="eastAsia"/>
          <w:rtl/>
        </w:rPr>
        <w:t>במשרד</w:t>
      </w:r>
      <w:r w:rsidRPr="00F22C24">
        <w:rPr>
          <w:rtl/>
        </w:rPr>
        <w:t xml:space="preserve"> </w:t>
      </w:r>
      <w:r w:rsidRPr="00F22C24">
        <w:rPr>
          <w:rFonts w:hint="eastAsia"/>
          <w:rtl/>
        </w:rPr>
        <w:t>הביטחון</w:t>
      </w:r>
      <w:r>
        <w:rPr>
          <w:rFonts w:hint="cs"/>
          <w:rtl/>
        </w:rPr>
        <w:t xml:space="preserve"> </w:t>
      </w:r>
      <w:r w:rsidRPr="00B94AE0">
        <w:rPr>
          <w:rFonts w:hint="eastAsia"/>
          <w:rtl/>
        </w:rPr>
        <w:t>ובמנהלת</w:t>
      </w:r>
      <w:r w:rsidRPr="00B94AE0">
        <w:rPr>
          <w:rtl/>
        </w:rPr>
        <w:t xml:space="preserve"> </w:t>
      </w:r>
      <w:r w:rsidRPr="00B94AE0">
        <w:rPr>
          <w:rFonts w:hint="eastAsia"/>
          <w:rtl/>
        </w:rPr>
        <w:t>הבינוי</w:t>
      </w:r>
      <w:r>
        <w:rPr>
          <w:rFonts w:hint="cs"/>
          <w:rtl/>
        </w:rPr>
        <w:t>.</w:t>
      </w:r>
    </w:p>
    <w:p w14:paraId="7A6D3CF0" w14:textId="452ACEEC" w:rsidR="00823E3A" w:rsidRDefault="00823E3A" w:rsidP="006828F1">
      <w:pPr>
        <w:pStyle w:val="100"/>
        <w:rPr>
          <w:rtl/>
        </w:rPr>
      </w:pPr>
      <w:r>
        <w:rPr>
          <w:rFonts w:hint="cs"/>
          <w:rtl/>
        </w:rPr>
        <w:t xml:space="preserve">בתשובתו של משרד הביטחון נאמר כי מדובר בפרויקטים שההחלטות לביצועם התקבלו לפני זמן רב, אולם הממצאים שהתבססו על הנחות העבודה ועל ניתוחי המשרד מפורטים בבדיקות ההתאמה שהועברו. ממנהלת הבינוי נמסר כי </w:t>
      </w:r>
      <w:r w:rsidRPr="009945F6">
        <w:rPr>
          <w:rFonts w:hint="cs"/>
          <w:rtl/>
        </w:rPr>
        <w:t>כל עלויות הפרויקט</w:t>
      </w:r>
      <w:r w:rsidRPr="009945F6">
        <w:rPr>
          <w:rtl/>
        </w:rPr>
        <w:t xml:space="preserve"> כלולות במחיר ההון המופיע בהנחות </w:t>
      </w:r>
      <w:r>
        <w:rPr>
          <w:rFonts w:hint="cs"/>
          <w:rtl/>
        </w:rPr>
        <w:t>של בדיקות ההתאמה, כפי שהוגדרו במתכונת המוסכמת עם אגף תקציבים</w:t>
      </w:r>
      <w:r w:rsidRPr="009945F6">
        <w:rPr>
          <w:rtl/>
        </w:rPr>
        <w:t xml:space="preserve">. </w:t>
      </w:r>
      <w:r>
        <w:rPr>
          <w:rFonts w:hint="cs"/>
          <w:rtl/>
        </w:rPr>
        <w:t>לכן</w:t>
      </w:r>
      <w:r w:rsidRPr="009945F6">
        <w:rPr>
          <w:rtl/>
        </w:rPr>
        <w:t xml:space="preserve"> אין </w:t>
      </w:r>
      <w:r w:rsidRPr="009945F6">
        <w:rPr>
          <w:rFonts w:hint="cs"/>
          <w:rtl/>
        </w:rPr>
        <w:t>בסיס נתונים</w:t>
      </w:r>
      <w:r>
        <w:rPr>
          <w:rtl/>
        </w:rPr>
        <w:t xml:space="preserve"> נפרד לעלויות אלו</w:t>
      </w:r>
      <w:r>
        <w:rPr>
          <w:rFonts w:hint="cs"/>
          <w:rtl/>
        </w:rPr>
        <w:t>, והן</w:t>
      </w:r>
      <w:r>
        <w:rPr>
          <w:rtl/>
        </w:rPr>
        <w:t xml:space="preserve"> </w:t>
      </w:r>
      <w:r w:rsidRPr="009945F6">
        <w:rPr>
          <w:rtl/>
        </w:rPr>
        <w:t xml:space="preserve">מופיעות </w:t>
      </w:r>
      <w:r>
        <w:rPr>
          <w:rFonts w:hint="cs"/>
          <w:rtl/>
        </w:rPr>
        <w:t xml:space="preserve">במסגרת </w:t>
      </w:r>
      <w:r w:rsidRPr="009945F6">
        <w:rPr>
          <w:rtl/>
        </w:rPr>
        <w:t xml:space="preserve">העלויות בבדיקות </w:t>
      </w:r>
      <w:r>
        <w:rPr>
          <w:rtl/>
        </w:rPr>
        <w:t>ש</w:t>
      </w:r>
      <w:r>
        <w:rPr>
          <w:rFonts w:hint="cs"/>
          <w:rtl/>
        </w:rPr>
        <w:t>נמסרו</w:t>
      </w:r>
      <w:r w:rsidRPr="009945F6">
        <w:rPr>
          <w:rFonts w:hint="cs"/>
          <w:rtl/>
        </w:rPr>
        <w:t>.</w:t>
      </w:r>
    </w:p>
    <w:p w14:paraId="4A0FC01B" w14:textId="4FF77FFE" w:rsidR="00823E3A" w:rsidRDefault="00823E3A" w:rsidP="006828F1">
      <w:pPr>
        <w:pStyle w:val="100"/>
        <w:rPr>
          <w:rtl/>
        </w:rPr>
      </w:pPr>
      <w:r>
        <w:rPr>
          <w:rFonts w:hint="cs"/>
          <w:rtl/>
        </w:rPr>
        <w:t>בדומה, נמצא כי ב</w:t>
      </w:r>
      <w:r w:rsidRPr="00B94AE0">
        <w:rPr>
          <w:rFonts w:hint="eastAsia"/>
          <w:rtl/>
        </w:rPr>
        <w:t>חטיבת</w:t>
      </w:r>
      <w:r w:rsidRPr="00B94AE0">
        <w:rPr>
          <w:rtl/>
        </w:rPr>
        <w:t xml:space="preserve"> תשתיות </w:t>
      </w:r>
      <w:r w:rsidRPr="00B94AE0">
        <w:rPr>
          <w:rFonts w:hint="eastAsia"/>
          <w:rtl/>
        </w:rPr>
        <w:t>ופרויקטים</w:t>
      </w:r>
      <w:r w:rsidRPr="00B94AE0">
        <w:rPr>
          <w:rtl/>
        </w:rPr>
        <w:t xml:space="preserve"> </w:t>
      </w:r>
      <w:r>
        <w:rPr>
          <w:rFonts w:hint="cs"/>
          <w:rtl/>
        </w:rPr>
        <w:t>יש</w:t>
      </w:r>
      <w:r w:rsidRPr="00B94AE0">
        <w:rPr>
          <w:rtl/>
        </w:rPr>
        <w:t xml:space="preserve"> </w:t>
      </w:r>
      <w:r w:rsidRPr="00B94AE0">
        <w:rPr>
          <w:rFonts w:hint="eastAsia"/>
          <w:rtl/>
        </w:rPr>
        <w:t>ביסוס</w:t>
      </w:r>
      <w:r w:rsidRPr="00B94AE0">
        <w:rPr>
          <w:rtl/>
        </w:rPr>
        <w:t xml:space="preserve"> </w:t>
      </w:r>
      <w:r w:rsidRPr="00B94AE0">
        <w:rPr>
          <w:rFonts w:hint="eastAsia"/>
          <w:rtl/>
        </w:rPr>
        <w:t>למודל</w:t>
      </w:r>
      <w:r w:rsidRPr="00B94AE0">
        <w:rPr>
          <w:rtl/>
        </w:rPr>
        <w:t xml:space="preserve"> </w:t>
      </w:r>
      <w:r w:rsidRPr="00B94AE0">
        <w:rPr>
          <w:rFonts w:hint="eastAsia"/>
          <w:rtl/>
        </w:rPr>
        <w:t>הפיננסי</w:t>
      </w:r>
      <w:r w:rsidRPr="00B94AE0">
        <w:rPr>
          <w:rtl/>
        </w:rPr>
        <w:t xml:space="preserve"> רק לבדיקת התאמה אחת</w:t>
      </w:r>
      <w:r>
        <w:rPr>
          <w:rFonts w:hint="cs"/>
          <w:rtl/>
        </w:rPr>
        <w:t xml:space="preserve"> מתוך שלוש בדיקות ההתאמה</w:t>
      </w:r>
      <w:r w:rsidRPr="00B94AE0">
        <w:rPr>
          <w:rtl/>
        </w:rPr>
        <w:t xml:space="preserve"> שבוצע</w:t>
      </w:r>
      <w:r>
        <w:rPr>
          <w:rFonts w:hint="cs"/>
          <w:rtl/>
        </w:rPr>
        <w:t>ו</w:t>
      </w:r>
      <w:r w:rsidRPr="00B94AE0">
        <w:rPr>
          <w:rtl/>
        </w:rPr>
        <w:t xml:space="preserve"> </w:t>
      </w:r>
      <w:r>
        <w:rPr>
          <w:rFonts w:hint="cs"/>
          <w:rtl/>
        </w:rPr>
        <w:t>ב</w:t>
      </w:r>
      <w:r w:rsidRPr="00B94AE0">
        <w:rPr>
          <w:rtl/>
        </w:rPr>
        <w:t>ידי החטיבה</w:t>
      </w:r>
      <w:r>
        <w:rPr>
          <w:rFonts w:hint="cs"/>
          <w:rtl/>
        </w:rPr>
        <w:t xml:space="preserve">. לא זו בלבד, אלא שלא נמצא ביסוס לבדיקות ההתאמה שביצעה החטיבה עבור פרויקטים שהוחלט עליהם בהחלטת </w:t>
      </w:r>
      <w:r w:rsidRPr="008939DC">
        <w:rPr>
          <w:rFonts w:hint="cs"/>
          <w:rtl/>
        </w:rPr>
        <w:lastRenderedPageBreak/>
        <w:t>הממשלה</w:t>
      </w:r>
      <w:r>
        <w:rPr>
          <w:rStyle w:val="FootnoteReference"/>
          <w:rtl/>
        </w:rPr>
        <w:footnoteReference w:id="131"/>
      </w:r>
      <w:r w:rsidRPr="008939DC">
        <w:rPr>
          <w:rFonts w:hint="cs"/>
          <w:rtl/>
        </w:rPr>
        <w:t xml:space="preserve"> משנת</w:t>
      </w:r>
      <w:r>
        <w:rPr>
          <w:rFonts w:hint="cs"/>
          <w:rtl/>
        </w:rPr>
        <w:t xml:space="preserve"> 2017 - עבודות שלב ב' בפיתוח מערך הסעת המונים במטרופולינים ירושלים, תל-אביב וחיפה, אשר מנוהלות בחלקן בידי חברות ממשלתיות</w:t>
      </w:r>
      <w:r>
        <w:rPr>
          <w:rStyle w:val="FootnoteReference"/>
          <w:rtl/>
        </w:rPr>
        <w:footnoteReference w:id="132"/>
      </w:r>
      <w:r>
        <w:rPr>
          <w:rFonts w:hint="cs"/>
          <w:rtl/>
        </w:rPr>
        <w:t>.</w:t>
      </w:r>
    </w:p>
    <w:p w14:paraId="7A53383D" w14:textId="64F60338" w:rsidR="00823E3A" w:rsidRPr="006828F1" w:rsidRDefault="00823E3A" w:rsidP="006828F1">
      <w:pPr>
        <w:pStyle w:val="af5"/>
        <w:rPr>
          <w:rtl/>
        </w:rPr>
      </w:pPr>
      <w:r>
        <w:rPr>
          <w:rFonts w:hint="cs"/>
          <w:rtl/>
        </w:rPr>
        <w:t>מומלץ כי חטיבת תשתיות ופרויקטים, מנהלת הבינוי ומשרד הביטחון יקפידו לתעד את</w:t>
      </w:r>
      <w:r w:rsidRPr="0090244E">
        <w:rPr>
          <w:rFonts w:hint="cs"/>
          <w:rtl/>
        </w:rPr>
        <w:t xml:space="preserve"> בסיס הנתונים</w:t>
      </w:r>
      <w:r>
        <w:rPr>
          <w:rFonts w:hint="cs"/>
          <w:rtl/>
        </w:rPr>
        <w:t>, את ההנחות</w:t>
      </w:r>
      <w:r w:rsidRPr="0090244E">
        <w:rPr>
          <w:rFonts w:hint="cs"/>
          <w:rtl/>
        </w:rPr>
        <w:t xml:space="preserve"> ו</w:t>
      </w:r>
      <w:r>
        <w:rPr>
          <w:rFonts w:hint="cs"/>
          <w:rtl/>
        </w:rPr>
        <w:t>את אופן ניתוחם. זאת כדי שיתמכו</w:t>
      </w:r>
      <w:r w:rsidRPr="0090244E">
        <w:rPr>
          <w:rFonts w:hint="cs"/>
          <w:rtl/>
        </w:rPr>
        <w:t xml:space="preserve"> </w:t>
      </w:r>
      <w:r>
        <w:rPr>
          <w:rFonts w:hint="cs"/>
          <w:rtl/>
        </w:rPr>
        <w:t>ב</w:t>
      </w:r>
      <w:r w:rsidRPr="0090244E">
        <w:rPr>
          <w:rFonts w:hint="cs"/>
          <w:rtl/>
        </w:rPr>
        <w:t>העברת</w:t>
      </w:r>
      <w:r>
        <w:rPr>
          <w:rFonts w:hint="cs"/>
          <w:rtl/>
        </w:rPr>
        <w:t xml:space="preserve"> </w:t>
      </w:r>
      <w:r w:rsidRPr="0090244E">
        <w:rPr>
          <w:rFonts w:hint="cs"/>
          <w:rtl/>
        </w:rPr>
        <w:t>הידע</w:t>
      </w:r>
      <w:r>
        <w:rPr>
          <w:rFonts w:hint="cs"/>
          <w:rtl/>
        </w:rPr>
        <w:t xml:space="preserve"> הנצבר, בבחינת נכונותו והאפשרות ליישמו בפרויקטים הבאים.</w:t>
      </w:r>
    </w:p>
    <w:p w14:paraId="65A17F22" w14:textId="77777777" w:rsidR="00823E3A" w:rsidRDefault="00823E3A" w:rsidP="006828F1">
      <w:pPr>
        <w:pStyle w:val="316"/>
        <w:rPr>
          <w:rtl/>
        </w:rPr>
      </w:pPr>
      <w:r w:rsidRPr="00805C0A">
        <w:rPr>
          <w:rFonts w:hint="cs"/>
          <w:rtl/>
        </w:rPr>
        <w:t>הליך הסגירה הפיננסית</w:t>
      </w:r>
    </w:p>
    <w:p w14:paraId="522BE911" w14:textId="4007A813" w:rsidR="00823E3A" w:rsidRDefault="00823E3A" w:rsidP="006828F1">
      <w:pPr>
        <w:pStyle w:val="100"/>
        <w:rPr>
          <w:rtl/>
        </w:rPr>
      </w:pPr>
      <w:r>
        <w:rPr>
          <w:rFonts w:hint="cs"/>
          <w:rtl/>
        </w:rPr>
        <w:t xml:space="preserve">שלב הסגירה הפיננסית הוא שלב מרכזי בפרויקט בשיטת </w:t>
      </w:r>
      <w:r>
        <w:t>PPP</w:t>
      </w:r>
      <w:r>
        <w:rPr>
          <w:rFonts w:hint="cs"/>
          <w:rtl/>
        </w:rPr>
        <w:t>, שבו הזכיין אשר זכה במכרז מגייס מגופים מממנים את המימון הנדרש להקמת הפרויקט ומגבש הסכמי מימון בין בעלי המניות, הגופים המממנים והמדינה, אשר מאשרת את ההסכמים. בשלב זה חותם הזכיין על הסכמים עם קבלני הקמה והפעלה של הפרויקט בהתאם להצעתו במכרז.</w:t>
      </w:r>
    </w:p>
    <w:p w14:paraId="02BAE26D" w14:textId="0BACA1AB" w:rsidR="00823E3A" w:rsidRDefault="00823E3A" w:rsidP="006828F1">
      <w:pPr>
        <w:pStyle w:val="100"/>
        <w:rPr>
          <w:rtl/>
        </w:rPr>
      </w:pPr>
      <w:r>
        <w:rPr>
          <w:rFonts w:hint="cs"/>
          <w:rtl/>
        </w:rPr>
        <w:t>קשיים בשלב הסגירה הפיננסית עלולים להביא לידי הלאמה של הפרויקט, להגדלת העלויות ולעיכובים נוספים בסיום הפרויקט, כפי שאירע בפרויקט כביש 531 ובפרויקט הקו האדום של הרכבת הקלה בתל אביב</w:t>
      </w:r>
      <w:r>
        <w:rPr>
          <w:rStyle w:val="FootnoteReference"/>
          <w:rtl/>
        </w:rPr>
        <w:footnoteReference w:id="133"/>
      </w:r>
      <w:r>
        <w:rPr>
          <w:rFonts w:hint="cs"/>
          <w:rtl/>
        </w:rPr>
        <w:t>.</w:t>
      </w:r>
    </w:p>
    <w:p w14:paraId="568D2386" w14:textId="62E12D7E" w:rsidR="00823E3A" w:rsidRDefault="00823E3A" w:rsidP="006828F1">
      <w:pPr>
        <w:pStyle w:val="100"/>
        <w:rPr>
          <w:rtl/>
        </w:rPr>
      </w:pPr>
      <w:r>
        <w:rPr>
          <w:rFonts w:hint="cs"/>
          <w:rtl/>
        </w:rPr>
        <w:t>אפשר לממן פרויקטים באמצעות הון עצמי של הזכיין או באמצעות גיוס חוב מגורם מממן</w:t>
      </w:r>
      <w:r>
        <w:rPr>
          <w:rStyle w:val="FootnoteReference"/>
          <w:rtl/>
        </w:rPr>
        <w:footnoteReference w:id="134"/>
      </w:r>
      <w:r>
        <w:rPr>
          <w:rFonts w:hint="cs"/>
          <w:rtl/>
        </w:rPr>
        <w:t>. את ההון העצמי הנדרש לפרויקטים מעמידות בראש ובראשונה החברות הפועלות בייזום</w:t>
      </w:r>
      <w:r w:rsidR="000E1E90">
        <w:rPr>
          <w:rFonts w:hint="cs"/>
          <w:rtl/>
        </w:rPr>
        <w:t xml:space="preserve"> </w:t>
      </w:r>
      <w:r>
        <w:rPr>
          <w:rFonts w:hint="cs"/>
          <w:rtl/>
        </w:rPr>
        <w:t>פרויקטים בתחום התשתיות ואליהן מצטרפות קרנות פרטיות הפועלות בתחום זה</w:t>
      </w:r>
      <w:r>
        <w:rPr>
          <w:rStyle w:val="FootnoteReference"/>
          <w:rtl/>
        </w:rPr>
        <w:footnoteReference w:id="135"/>
      </w:r>
      <w:r>
        <w:rPr>
          <w:rFonts w:hint="cs"/>
          <w:rtl/>
        </w:rPr>
        <w:t>.</w:t>
      </w:r>
      <w:r w:rsidRPr="00252FF6">
        <w:rPr>
          <w:rFonts w:hint="cs"/>
          <w:rtl/>
        </w:rPr>
        <w:t xml:space="preserve"> </w:t>
      </w:r>
      <w:r>
        <w:rPr>
          <w:rFonts w:hint="cs"/>
          <w:rtl/>
        </w:rPr>
        <w:t>הגופים המרכזיים אשר מעמידים חוב בכיר לפרויקטים מסוג זה הם הבנקים המסחריים וכן הגופים המוסדיים הגדולים</w:t>
      </w:r>
      <w:r>
        <w:rPr>
          <w:rStyle w:val="FootnoteReference"/>
          <w:rtl/>
        </w:rPr>
        <w:footnoteReference w:id="136"/>
      </w:r>
      <w:r>
        <w:rPr>
          <w:rFonts w:hint="cs"/>
          <w:rtl/>
        </w:rPr>
        <w:t xml:space="preserve">. </w:t>
      </w:r>
    </w:p>
    <w:p w14:paraId="1D5DB024" w14:textId="77777777" w:rsidR="00823E3A" w:rsidRDefault="00823E3A" w:rsidP="006828F1">
      <w:pPr>
        <w:pStyle w:val="100"/>
        <w:rPr>
          <w:rtl/>
        </w:rPr>
      </w:pPr>
      <w:r>
        <w:rPr>
          <w:rFonts w:hint="cs"/>
          <w:rtl/>
        </w:rPr>
        <w:t>תרשים 13 להלן מציג את היקף האשראי המצטבר לענף התשתיות של הבנקים הישראליים ושל הגופים המוסדיים, נכון לשנת 2018.</w:t>
      </w:r>
    </w:p>
    <w:p w14:paraId="7D01878B" w14:textId="67DFD730" w:rsidR="00823E3A" w:rsidRPr="006828F1" w:rsidRDefault="00823E3A" w:rsidP="006828F1">
      <w:pPr>
        <w:pStyle w:val="aa"/>
        <w:rPr>
          <w:b/>
          <w:bCs/>
          <w:rtl/>
        </w:rPr>
      </w:pPr>
      <w:r w:rsidRPr="003859F6">
        <w:rPr>
          <w:rFonts w:hint="cs"/>
          <w:rtl/>
        </w:rPr>
        <w:lastRenderedPageBreak/>
        <w:t xml:space="preserve">תרשים </w:t>
      </w:r>
      <w:r>
        <w:rPr>
          <w:rFonts w:hint="cs"/>
          <w:rtl/>
        </w:rPr>
        <w:t xml:space="preserve">13: </w:t>
      </w:r>
      <w:r w:rsidRPr="006828F1">
        <w:rPr>
          <w:rFonts w:hint="cs"/>
          <w:b/>
          <w:bCs/>
          <w:rtl/>
        </w:rPr>
        <w:t xml:space="preserve">היקף ההשקעה של בנקים ישראליים ושל גופים מוסדיים בתשתיות בארץ עד 31.12.18, במיליוני ש"ח </w:t>
      </w:r>
      <w:r w:rsidRPr="00B4214B">
        <w:rPr>
          <w:noProof/>
        </w:rPr>
        <w:t xml:space="preserve"> </w:t>
      </w:r>
      <w:r>
        <w:rPr>
          <w:noProof/>
        </w:rPr>
        <w:drawing>
          <wp:inline distT="0" distB="0" distL="0" distR="0" wp14:anchorId="1162E918" wp14:editId="1A94FB50">
            <wp:extent cx="5346700" cy="3127375"/>
            <wp:effectExtent l="19050" t="19050" r="25400" b="15875"/>
            <wp:docPr id="23"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01032" name="Picture 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346700" cy="3127375"/>
                    </a:xfrm>
                    <a:prstGeom prst="rect">
                      <a:avLst/>
                    </a:prstGeom>
                    <a:noFill/>
                    <a:ln>
                      <a:solidFill>
                        <a:schemeClr val="tx1"/>
                      </a:solidFill>
                    </a:ln>
                  </pic:spPr>
                </pic:pic>
              </a:graphicData>
            </a:graphic>
          </wp:inline>
        </w:drawing>
      </w:r>
    </w:p>
    <w:p w14:paraId="3EB9E17F" w14:textId="77777777" w:rsidR="00823E3A" w:rsidRPr="00DD4339" w:rsidRDefault="00823E3A" w:rsidP="007F385C">
      <w:pPr>
        <w:pStyle w:val="aff3"/>
        <w:rPr>
          <w:rtl/>
        </w:rPr>
      </w:pPr>
      <w:r w:rsidRPr="002C7111">
        <w:rPr>
          <w:rFonts w:hint="cs"/>
          <w:rtl/>
        </w:rPr>
        <w:t>ה</w:t>
      </w:r>
      <w:r w:rsidRPr="008A2B93">
        <w:rPr>
          <w:rFonts w:hint="cs"/>
          <w:rtl/>
        </w:rPr>
        <w:t>מקור</w:t>
      </w:r>
      <w:r w:rsidRPr="00641005">
        <w:rPr>
          <w:rFonts w:hint="cs"/>
          <w:rtl/>
        </w:rPr>
        <w:t>: נתוני הפיקוח על הבנקים ורשות שוק ההון, ב</w:t>
      </w:r>
      <w:r w:rsidRPr="00F17159">
        <w:rPr>
          <w:rFonts w:hint="cs"/>
          <w:rtl/>
        </w:rPr>
        <w:t>עיבוד משרד מבקר המדינה</w:t>
      </w:r>
    </w:p>
    <w:p w14:paraId="7C0CA4AB" w14:textId="2B0DC2B9" w:rsidR="00823E3A" w:rsidRDefault="00823E3A" w:rsidP="007F385C">
      <w:pPr>
        <w:pStyle w:val="aff3"/>
        <w:rPr>
          <w:rtl/>
        </w:rPr>
      </w:pPr>
      <w:r w:rsidRPr="00117328">
        <w:rPr>
          <w:rFonts w:hint="cs"/>
          <w:rtl/>
        </w:rPr>
        <w:t>(</w:t>
      </w:r>
      <w:r>
        <w:rPr>
          <w:rFonts w:hint="cs"/>
          <w:rtl/>
        </w:rPr>
        <w:t>*</w:t>
      </w:r>
      <w:r w:rsidRPr="00117328">
        <w:rPr>
          <w:rFonts w:hint="cs"/>
          <w:rtl/>
        </w:rPr>
        <w:t>)</w:t>
      </w:r>
      <w:r>
        <w:rPr>
          <w:rFonts w:hint="cs"/>
          <w:rtl/>
        </w:rPr>
        <w:t xml:space="preserve"> </w:t>
      </w:r>
      <w:r w:rsidR="00C55BD4">
        <w:rPr>
          <w:rtl/>
        </w:rPr>
        <w:tab/>
      </w:r>
      <w:r>
        <w:rPr>
          <w:rFonts w:hint="cs"/>
          <w:rtl/>
        </w:rPr>
        <w:t>היקף ההשקעה אינו כולל את היקף השקעתן של קרנות פרטיות להשקעה ואינו כולל השקעה במניות.</w:t>
      </w:r>
    </w:p>
    <w:p w14:paraId="13B8EF75" w14:textId="49F40A80" w:rsidR="006828F1" w:rsidRDefault="00823E3A" w:rsidP="007F385C">
      <w:pPr>
        <w:pStyle w:val="aff3"/>
      </w:pPr>
      <w:r>
        <w:rPr>
          <w:rFonts w:hint="cs"/>
          <w:rtl/>
        </w:rPr>
        <w:t xml:space="preserve">(**) </w:t>
      </w:r>
      <w:r w:rsidR="00C55BD4">
        <w:rPr>
          <w:rtl/>
        </w:rPr>
        <w:tab/>
      </w:r>
      <w:r>
        <w:rPr>
          <w:rFonts w:hint="cs"/>
          <w:rtl/>
        </w:rPr>
        <w:t>היקף ההשקעה של הבנקים הישראליים כולל התחייבויות חוץ-מאזניות (לדוגמה ערבויות, מסגרת אשראי שטרם נוצלה) על פי מקדמי המרה שנקבעו בהוראות המפקח. היקף ההשקעה אינו כולל חלק מהאשראי לתשתיות הכלול בענפים אחרים (לדוגמה מימון פרויקטי תשתית בשלב התפעול או אשראי שהועמד מראש ללווים שמקור ההחזר העיקרי נובע מפעילות בענף אחר).</w:t>
      </w:r>
    </w:p>
    <w:p w14:paraId="5444BDC3" w14:textId="77777777" w:rsidR="00CE0F5D" w:rsidRPr="00CE0F5D" w:rsidRDefault="00CE0F5D" w:rsidP="00CE0F5D">
      <w:pPr>
        <w:pStyle w:val="ac"/>
      </w:pPr>
    </w:p>
    <w:p w14:paraId="1B2572A0" w14:textId="015C9CEC" w:rsidR="00823E3A" w:rsidRDefault="00823E3A" w:rsidP="006828F1">
      <w:pPr>
        <w:pStyle w:val="100"/>
        <w:rPr>
          <w:rtl/>
        </w:rPr>
      </w:pPr>
      <w:r>
        <w:rPr>
          <w:rFonts w:hint="cs"/>
          <w:rtl/>
        </w:rPr>
        <w:t xml:space="preserve">בישראל יש כיום מעט גורמים מרכזיים המעורבים במימון בהשקעות בפרויקטים בשיטת </w:t>
      </w:r>
      <w:r>
        <w:t>PPP</w:t>
      </w:r>
      <w:r>
        <w:rPr>
          <w:rFonts w:hint="cs"/>
          <w:rtl/>
        </w:rPr>
        <w:t>.</w:t>
      </w:r>
      <w:r w:rsidRPr="00252FF6">
        <w:rPr>
          <w:rFonts w:hint="cs"/>
          <w:rtl/>
        </w:rPr>
        <w:t xml:space="preserve"> </w:t>
      </w:r>
      <w:r>
        <w:rPr>
          <w:rFonts w:hint="cs"/>
          <w:rtl/>
        </w:rPr>
        <w:t>על פי רוב, את ארגון החוב הבכיר מבצע אחד משני הבנקים המסחריים הגדולים</w:t>
      </w:r>
      <w:r>
        <w:rPr>
          <w:rStyle w:val="FootnoteReference"/>
          <w:rtl/>
        </w:rPr>
        <w:footnoteReference w:id="137"/>
      </w:r>
      <w:r>
        <w:rPr>
          <w:rFonts w:hint="cs"/>
          <w:rtl/>
        </w:rPr>
        <w:t xml:space="preserve">, ולכן רמת התחרות בתחום זה נמוכה </w:t>
      </w:r>
      <w:r w:rsidRPr="00A60512">
        <w:rPr>
          <w:rFonts w:hint="cs"/>
          <w:rtl/>
        </w:rPr>
        <w:t xml:space="preserve">במיוחד. </w:t>
      </w:r>
      <w:r w:rsidRPr="00E57E12">
        <w:rPr>
          <w:rFonts w:hint="eastAsia"/>
          <w:rtl/>
        </w:rPr>
        <w:t>השתתפות</w:t>
      </w:r>
      <w:r w:rsidRPr="00E57E12">
        <w:rPr>
          <w:rtl/>
        </w:rPr>
        <w:t xml:space="preserve"> </w:t>
      </w:r>
      <w:r w:rsidRPr="00E57E12">
        <w:rPr>
          <w:rFonts w:hint="eastAsia"/>
          <w:rtl/>
        </w:rPr>
        <w:t>הגופים</w:t>
      </w:r>
      <w:r w:rsidRPr="00E57E12">
        <w:rPr>
          <w:rtl/>
        </w:rPr>
        <w:t xml:space="preserve"> </w:t>
      </w:r>
      <w:r w:rsidRPr="00E57E12">
        <w:rPr>
          <w:rFonts w:hint="eastAsia"/>
          <w:rtl/>
        </w:rPr>
        <w:t>המוסדיים</w:t>
      </w:r>
      <w:r w:rsidRPr="00E57E12">
        <w:rPr>
          <w:rtl/>
        </w:rPr>
        <w:t xml:space="preserve"> </w:t>
      </w:r>
      <w:r>
        <w:rPr>
          <w:rFonts w:hint="cs"/>
          <w:rtl/>
        </w:rPr>
        <w:t>נעשית</w:t>
      </w:r>
      <w:r w:rsidRPr="00E57E12">
        <w:rPr>
          <w:rtl/>
        </w:rPr>
        <w:t xml:space="preserve"> </w:t>
      </w:r>
      <w:r w:rsidRPr="00E57E12">
        <w:rPr>
          <w:rFonts w:hint="eastAsia"/>
          <w:rtl/>
        </w:rPr>
        <w:t>בדרך</w:t>
      </w:r>
      <w:r w:rsidRPr="00E57E12">
        <w:rPr>
          <w:rtl/>
        </w:rPr>
        <w:t xml:space="preserve"> </w:t>
      </w:r>
      <w:r w:rsidRPr="00E57E12">
        <w:rPr>
          <w:rFonts w:hint="eastAsia"/>
          <w:rtl/>
        </w:rPr>
        <w:t>כלל</w:t>
      </w:r>
      <w:r w:rsidRPr="00E57E12">
        <w:rPr>
          <w:rtl/>
        </w:rPr>
        <w:t xml:space="preserve"> </w:t>
      </w:r>
      <w:r w:rsidRPr="00E57E12">
        <w:rPr>
          <w:rFonts w:hint="eastAsia"/>
          <w:rtl/>
        </w:rPr>
        <w:t>באמצעות</w:t>
      </w:r>
      <w:r w:rsidRPr="00E57E12">
        <w:rPr>
          <w:rtl/>
        </w:rPr>
        <w:t xml:space="preserve"> </w:t>
      </w:r>
      <w:r w:rsidRPr="00E57E12">
        <w:rPr>
          <w:rFonts w:hint="eastAsia"/>
          <w:rtl/>
        </w:rPr>
        <w:t>עסקאות</w:t>
      </w:r>
      <w:r w:rsidRPr="00E57E12">
        <w:rPr>
          <w:rtl/>
        </w:rPr>
        <w:t xml:space="preserve"> </w:t>
      </w:r>
      <w:r w:rsidRPr="00E57E12">
        <w:rPr>
          <w:rFonts w:hint="eastAsia"/>
          <w:rtl/>
        </w:rPr>
        <w:t>סינדיקציה</w:t>
      </w:r>
      <w:r w:rsidRPr="00E57E12">
        <w:rPr>
          <w:rtl/>
        </w:rPr>
        <w:t xml:space="preserve"> </w:t>
      </w:r>
      <w:r w:rsidRPr="00E57E12">
        <w:rPr>
          <w:rFonts w:hint="eastAsia"/>
          <w:rtl/>
        </w:rPr>
        <w:t>או</w:t>
      </w:r>
      <w:r w:rsidRPr="00E57E12">
        <w:rPr>
          <w:rtl/>
        </w:rPr>
        <w:t xml:space="preserve"> </w:t>
      </w:r>
      <w:r w:rsidRPr="00E57E12">
        <w:rPr>
          <w:rFonts w:hint="eastAsia"/>
          <w:rtl/>
        </w:rPr>
        <w:t>קונסורציום</w:t>
      </w:r>
      <w:r w:rsidRPr="00E57E12">
        <w:rPr>
          <w:rtl/>
        </w:rPr>
        <w:t xml:space="preserve"> (עסקאות </w:t>
      </w:r>
      <w:r w:rsidRPr="00E57E12">
        <w:rPr>
          <w:rFonts w:hint="eastAsia"/>
          <w:rtl/>
        </w:rPr>
        <w:t>למתן</w:t>
      </w:r>
      <w:r w:rsidRPr="00E57E12">
        <w:rPr>
          <w:rtl/>
        </w:rPr>
        <w:t xml:space="preserve"> </w:t>
      </w:r>
      <w:r w:rsidRPr="00E57E12">
        <w:rPr>
          <w:rFonts w:hint="eastAsia"/>
          <w:rtl/>
        </w:rPr>
        <w:t>אשראי</w:t>
      </w:r>
      <w:r w:rsidRPr="00E57E12">
        <w:rPr>
          <w:rtl/>
        </w:rPr>
        <w:t xml:space="preserve"> </w:t>
      </w:r>
      <w:r w:rsidRPr="00E57E12">
        <w:rPr>
          <w:rFonts w:hint="eastAsia"/>
          <w:rtl/>
        </w:rPr>
        <w:t>במשותף</w:t>
      </w:r>
      <w:r w:rsidRPr="00E57E12">
        <w:rPr>
          <w:rtl/>
        </w:rPr>
        <w:t xml:space="preserve"> </w:t>
      </w:r>
      <w:r w:rsidRPr="00E57E12">
        <w:rPr>
          <w:rFonts w:hint="eastAsia"/>
          <w:rtl/>
        </w:rPr>
        <w:t>על</w:t>
      </w:r>
      <w:r w:rsidRPr="00E57E12">
        <w:rPr>
          <w:rtl/>
        </w:rPr>
        <w:t xml:space="preserve"> </w:t>
      </w:r>
      <w:r w:rsidRPr="00E57E12">
        <w:rPr>
          <w:rFonts w:hint="eastAsia"/>
          <w:rtl/>
        </w:rPr>
        <w:t>ידי</w:t>
      </w:r>
      <w:r w:rsidRPr="00E57E12">
        <w:rPr>
          <w:rtl/>
        </w:rPr>
        <w:t xml:space="preserve"> </w:t>
      </w:r>
      <w:r>
        <w:rPr>
          <w:rFonts w:hint="cs"/>
          <w:rtl/>
        </w:rPr>
        <w:t xml:space="preserve">כמה </w:t>
      </w:r>
      <w:r w:rsidRPr="00E57E12">
        <w:rPr>
          <w:rFonts w:hint="eastAsia"/>
          <w:rtl/>
        </w:rPr>
        <w:t>גופים</w:t>
      </w:r>
      <w:r w:rsidRPr="00E57E12">
        <w:rPr>
          <w:rtl/>
        </w:rPr>
        <w:t xml:space="preserve"> </w:t>
      </w:r>
      <w:r w:rsidRPr="00E57E12">
        <w:rPr>
          <w:rFonts w:hint="eastAsia"/>
          <w:rtl/>
        </w:rPr>
        <w:t>פיננסיים</w:t>
      </w:r>
      <w:r w:rsidRPr="00E57E12">
        <w:rPr>
          <w:rtl/>
        </w:rPr>
        <w:t xml:space="preserve"> </w:t>
      </w:r>
      <w:r w:rsidRPr="00E57E12">
        <w:rPr>
          <w:rFonts w:hint="eastAsia"/>
          <w:rtl/>
        </w:rPr>
        <w:t>כגון</w:t>
      </w:r>
      <w:r w:rsidRPr="00E57E12">
        <w:rPr>
          <w:rtl/>
        </w:rPr>
        <w:t xml:space="preserve"> </w:t>
      </w:r>
      <w:r w:rsidRPr="00E57E12">
        <w:rPr>
          <w:rFonts w:hint="eastAsia"/>
          <w:rtl/>
        </w:rPr>
        <w:t>בנקים</w:t>
      </w:r>
      <w:r w:rsidRPr="00E57E12">
        <w:rPr>
          <w:rtl/>
        </w:rPr>
        <w:t xml:space="preserve"> </w:t>
      </w:r>
      <w:r w:rsidRPr="00E57E12">
        <w:rPr>
          <w:rFonts w:hint="eastAsia"/>
          <w:rtl/>
        </w:rPr>
        <w:t>ישראל</w:t>
      </w:r>
      <w:r>
        <w:rPr>
          <w:rFonts w:hint="cs"/>
          <w:rtl/>
        </w:rPr>
        <w:t>י</w:t>
      </w:r>
      <w:r w:rsidRPr="00E57E12">
        <w:rPr>
          <w:rFonts w:hint="eastAsia"/>
          <w:rtl/>
        </w:rPr>
        <w:t>ים</w:t>
      </w:r>
      <w:r w:rsidRPr="00E57E12">
        <w:rPr>
          <w:rtl/>
        </w:rPr>
        <w:t xml:space="preserve">, </w:t>
      </w:r>
      <w:r w:rsidRPr="00E57E12">
        <w:rPr>
          <w:rFonts w:hint="eastAsia"/>
          <w:rtl/>
        </w:rPr>
        <w:t>בנקים</w:t>
      </w:r>
      <w:r w:rsidRPr="00E57E12">
        <w:rPr>
          <w:rtl/>
        </w:rPr>
        <w:t xml:space="preserve"> </w:t>
      </w:r>
      <w:r>
        <w:rPr>
          <w:rFonts w:hint="cs"/>
          <w:rtl/>
        </w:rPr>
        <w:t>ממדינות אחרות</w:t>
      </w:r>
      <w:r w:rsidRPr="00E57E12">
        <w:rPr>
          <w:rtl/>
        </w:rPr>
        <w:t xml:space="preserve"> </w:t>
      </w:r>
      <w:r w:rsidRPr="00E57E12">
        <w:rPr>
          <w:rFonts w:hint="eastAsia"/>
          <w:rtl/>
        </w:rPr>
        <w:t>וגופים</w:t>
      </w:r>
      <w:r w:rsidRPr="00E57E12">
        <w:rPr>
          <w:rtl/>
        </w:rPr>
        <w:t xml:space="preserve"> </w:t>
      </w:r>
      <w:r w:rsidRPr="00E57E12">
        <w:rPr>
          <w:rFonts w:hint="eastAsia"/>
          <w:rtl/>
        </w:rPr>
        <w:t>מוסדיים</w:t>
      </w:r>
      <w:r w:rsidRPr="00E57E12">
        <w:rPr>
          <w:rtl/>
        </w:rPr>
        <w:t xml:space="preserve">). </w:t>
      </w:r>
      <w:r w:rsidRPr="00E57E12">
        <w:rPr>
          <w:rFonts w:hint="eastAsia"/>
          <w:rtl/>
        </w:rPr>
        <w:t>עסקאות</w:t>
      </w:r>
      <w:r w:rsidRPr="00E57E12">
        <w:rPr>
          <w:rtl/>
        </w:rPr>
        <w:t xml:space="preserve"> אלו נועדו לאפשר מימון בהיקפים גדולים ולמגוון מטרות, בהן מימון לחברות ומימון פרויקטים מורכבים בנדל"ן או </w:t>
      </w:r>
      <w:r w:rsidRPr="00E57E12">
        <w:rPr>
          <w:rFonts w:hint="eastAsia"/>
          <w:rtl/>
        </w:rPr>
        <w:t>בתשתיות</w:t>
      </w:r>
      <w:r>
        <w:rPr>
          <w:rStyle w:val="FootnoteReference"/>
          <w:rtl/>
        </w:rPr>
        <w:footnoteReference w:id="138"/>
      </w:r>
      <w:r w:rsidRPr="00A60512">
        <w:rPr>
          <w:rFonts w:hint="cs"/>
          <w:rtl/>
        </w:rPr>
        <w:t>.</w:t>
      </w:r>
    </w:p>
    <w:p w14:paraId="71866922" w14:textId="4945B175" w:rsidR="00823E3A" w:rsidRDefault="00823E3A" w:rsidP="006828F1">
      <w:pPr>
        <w:pStyle w:val="100"/>
        <w:rPr>
          <w:rtl/>
        </w:rPr>
      </w:pPr>
      <w:r w:rsidRPr="00C105A5">
        <w:rPr>
          <w:rFonts w:hint="cs"/>
          <w:rtl/>
        </w:rPr>
        <w:t xml:space="preserve">הגופים המוסדיים נוטים להשתתף במימון </w:t>
      </w:r>
      <w:r>
        <w:rPr>
          <w:rFonts w:hint="cs"/>
          <w:rtl/>
        </w:rPr>
        <w:t xml:space="preserve">של פרויקטים בשיטת </w:t>
      </w:r>
      <w:r>
        <w:t>PPP</w:t>
      </w:r>
      <w:r w:rsidRPr="00C105A5">
        <w:rPr>
          <w:rFonts w:hint="cs"/>
          <w:rtl/>
        </w:rPr>
        <w:t xml:space="preserve"> באמצעות </w:t>
      </w:r>
      <w:r w:rsidRPr="00E57E12">
        <w:rPr>
          <w:rFonts w:hint="eastAsia"/>
          <w:rtl/>
        </w:rPr>
        <w:t>עסקאות</w:t>
      </w:r>
      <w:r w:rsidRPr="00E57E12">
        <w:rPr>
          <w:rtl/>
        </w:rPr>
        <w:t xml:space="preserve"> </w:t>
      </w:r>
      <w:r w:rsidRPr="00E57E12">
        <w:rPr>
          <w:rFonts w:hint="eastAsia"/>
          <w:rtl/>
        </w:rPr>
        <w:t>סינדיקציה</w:t>
      </w:r>
      <w:r w:rsidRPr="00E57E12">
        <w:rPr>
          <w:rtl/>
        </w:rPr>
        <w:t xml:space="preserve"> </w:t>
      </w:r>
      <w:r w:rsidRPr="00E57E12">
        <w:rPr>
          <w:rFonts w:hint="eastAsia"/>
          <w:rtl/>
        </w:rPr>
        <w:t>או</w:t>
      </w:r>
      <w:r w:rsidRPr="00E57E12">
        <w:rPr>
          <w:rtl/>
        </w:rPr>
        <w:t xml:space="preserve"> </w:t>
      </w:r>
      <w:r w:rsidRPr="00E57E12">
        <w:rPr>
          <w:rFonts w:hint="eastAsia"/>
          <w:rtl/>
        </w:rPr>
        <w:t>קונסורציום</w:t>
      </w:r>
      <w:r>
        <w:rPr>
          <w:rFonts w:hint="cs"/>
          <w:rtl/>
        </w:rPr>
        <w:t>,</w:t>
      </w:r>
      <w:r w:rsidRPr="00C105A5">
        <w:rPr>
          <w:rFonts w:hint="cs"/>
          <w:rtl/>
        </w:rPr>
        <w:t xml:space="preserve"> </w:t>
      </w:r>
      <w:r>
        <w:rPr>
          <w:rFonts w:hint="cs"/>
          <w:rtl/>
        </w:rPr>
        <w:t xml:space="preserve">מכיוון שהרווח שלהם בעסקאות מסוג זה </w:t>
      </w:r>
      <w:r w:rsidRPr="00C105A5">
        <w:rPr>
          <w:rFonts w:hint="cs"/>
          <w:rtl/>
        </w:rPr>
        <w:t xml:space="preserve">נובע בעיקר </w:t>
      </w:r>
      <w:r>
        <w:rPr>
          <w:rFonts w:hint="cs"/>
          <w:rtl/>
        </w:rPr>
        <w:t>מהריבית</w:t>
      </w:r>
      <w:r w:rsidRPr="00C105A5">
        <w:rPr>
          <w:rFonts w:hint="cs"/>
          <w:rtl/>
        </w:rPr>
        <w:t xml:space="preserve"> בגין </w:t>
      </w:r>
      <w:r w:rsidRPr="00C105A5">
        <w:rPr>
          <w:rFonts w:hint="cs"/>
          <w:rtl/>
        </w:rPr>
        <w:lastRenderedPageBreak/>
        <w:t xml:space="preserve">הקצאת אשראי </w:t>
      </w:r>
      <w:r>
        <w:rPr>
          <w:rFonts w:hint="cs"/>
          <w:rtl/>
        </w:rPr>
        <w:t>לטווח ארוך. לכן פעילותם שאינה כמארגני החוב מאפשרת להם לשמור על מבנה הוצאות נמוך.</w:t>
      </w:r>
    </w:p>
    <w:p w14:paraId="34503277" w14:textId="722A5B57" w:rsidR="00823E3A" w:rsidRPr="00133651" w:rsidRDefault="00823E3A" w:rsidP="006828F1">
      <w:pPr>
        <w:pStyle w:val="100"/>
        <w:rPr>
          <w:rtl/>
        </w:rPr>
      </w:pPr>
      <w:r>
        <w:rPr>
          <w:rFonts w:hint="cs"/>
          <w:rtl/>
        </w:rPr>
        <w:t xml:space="preserve">פרויקטי </w:t>
      </w:r>
      <w:r>
        <w:rPr>
          <w:rFonts w:hint="cs"/>
        </w:rPr>
        <w:t>PPP</w:t>
      </w:r>
      <w:r>
        <w:rPr>
          <w:rFonts w:hint="cs"/>
          <w:rtl/>
        </w:rPr>
        <w:t xml:space="preserve"> </w:t>
      </w:r>
      <w:r w:rsidRPr="0035637F">
        <w:rPr>
          <w:rFonts w:hint="eastAsia"/>
          <w:rtl/>
        </w:rPr>
        <w:t>מאפשר</w:t>
      </w:r>
      <w:r>
        <w:rPr>
          <w:rFonts w:hint="cs"/>
          <w:rtl/>
        </w:rPr>
        <w:t>ים</w:t>
      </w:r>
      <w:r w:rsidRPr="00C01316">
        <w:rPr>
          <w:rFonts w:hint="eastAsia"/>
          <w:rtl/>
        </w:rPr>
        <w:t xml:space="preserve"> </w:t>
      </w:r>
      <w:r w:rsidRPr="00345332">
        <w:rPr>
          <w:rFonts w:hint="eastAsia"/>
          <w:rtl/>
        </w:rPr>
        <w:t>לגופים</w:t>
      </w:r>
      <w:r w:rsidRPr="00345332">
        <w:rPr>
          <w:rtl/>
        </w:rPr>
        <w:t xml:space="preserve"> </w:t>
      </w:r>
      <w:r w:rsidRPr="00345332">
        <w:rPr>
          <w:rFonts w:hint="eastAsia"/>
          <w:rtl/>
        </w:rPr>
        <w:t>פיננסיים</w:t>
      </w:r>
      <w:r w:rsidRPr="00345332">
        <w:rPr>
          <w:rtl/>
        </w:rPr>
        <w:t xml:space="preserve"> </w:t>
      </w:r>
      <w:r w:rsidRPr="00345332">
        <w:rPr>
          <w:rFonts w:hint="eastAsia"/>
          <w:rtl/>
        </w:rPr>
        <w:t>מקומיים</w:t>
      </w:r>
      <w:r w:rsidRPr="00345332">
        <w:rPr>
          <w:rtl/>
        </w:rPr>
        <w:t xml:space="preserve">, </w:t>
      </w:r>
      <w:r w:rsidRPr="00345332">
        <w:rPr>
          <w:rFonts w:hint="eastAsia"/>
          <w:rtl/>
        </w:rPr>
        <w:t>כדוגמת</w:t>
      </w:r>
      <w:r w:rsidRPr="00345332">
        <w:rPr>
          <w:rtl/>
        </w:rPr>
        <w:t xml:space="preserve"> </w:t>
      </w:r>
      <w:r w:rsidRPr="00345332">
        <w:rPr>
          <w:rFonts w:hint="eastAsia"/>
          <w:rtl/>
        </w:rPr>
        <w:t>קרנות</w:t>
      </w:r>
      <w:r w:rsidRPr="00345332">
        <w:rPr>
          <w:rtl/>
        </w:rPr>
        <w:t xml:space="preserve"> </w:t>
      </w:r>
      <w:r w:rsidRPr="00345332">
        <w:rPr>
          <w:rFonts w:hint="eastAsia"/>
          <w:rtl/>
        </w:rPr>
        <w:t>הפנסיה</w:t>
      </w:r>
      <w:r w:rsidRPr="00345332">
        <w:rPr>
          <w:rtl/>
        </w:rPr>
        <w:t xml:space="preserve"> </w:t>
      </w:r>
      <w:r w:rsidRPr="00345332">
        <w:rPr>
          <w:rFonts w:hint="eastAsia"/>
          <w:rtl/>
        </w:rPr>
        <w:t>וקופות</w:t>
      </w:r>
      <w:r w:rsidRPr="00345332">
        <w:rPr>
          <w:rtl/>
        </w:rPr>
        <w:t xml:space="preserve"> </w:t>
      </w:r>
      <w:r w:rsidRPr="00345332">
        <w:rPr>
          <w:rFonts w:hint="eastAsia"/>
          <w:rtl/>
        </w:rPr>
        <w:t>הגמל</w:t>
      </w:r>
      <w:r>
        <w:rPr>
          <w:rFonts w:hint="cs"/>
          <w:rtl/>
        </w:rPr>
        <w:t>,</w:t>
      </w:r>
      <w:r w:rsidRPr="0035637F">
        <w:rPr>
          <w:rtl/>
        </w:rPr>
        <w:t xml:space="preserve"> </w:t>
      </w:r>
      <w:r w:rsidRPr="0035637F">
        <w:rPr>
          <w:rFonts w:hint="eastAsia"/>
          <w:rtl/>
        </w:rPr>
        <w:t>אפיק</w:t>
      </w:r>
      <w:r w:rsidRPr="00345332">
        <w:rPr>
          <w:rtl/>
        </w:rPr>
        <w:t xml:space="preserve"> </w:t>
      </w:r>
      <w:r w:rsidRPr="00345332">
        <w:rPr>
          <w:rFonts w:hint="eastAsia"/>
          <w:rtl/>
        </w:rPr>
        <w:t>השקעה</w:t>
      </w:r>
      <w:r w:rsidRPr="00345332">
        <w:rPr>
          <w:rtl/>
        </w:rPr>
        <w:t xml:space="preserve"> </w:t>
      </w:r>
      <w:r w:rsidRPr="00345332">
        <w:rPr>
          <w:rFonts w:hint="eastAsia"/>
          <w:rtl/>
        </w:rPr>
        <w:t>נוסף</w:t>
      </w:r>
      <w:r w:rsidRPr="00345332">
        <w:rPr>
          <w:rtl/>
        </w:rPr>
        <w:t xml:space="preserve"> </w:t>
      </w:r>
      <w:r w:rsidRPr="00345332">
        <w:rPr>
          <w:rFonts w:hint="eastAsia"/>
          <w:rtl/>
        </w:rPr>
        <w:t>לקבלת</w:t>
      </w:r>
      <w:r w:rsidRPr="00345332">
        <w:rPr>
          <w:rtl/>
        </w:rPr>
        <w:t xml:space="preserve"> </w:t>
      </w:r>
      <w:r w:rsidRPr="00345332">
        <w:rPr>
          <w:rFonts w:hint="eastAsia"/>
          <w:rtl/>
        </w:rPr>
        <w:t>תשואה</w:t>
      </w:r>
      <w:r w:rsidRPr="00345332">
        <w:rPr>
          <w:rtl/>
        </w:rPr>
        <w:t xml:space="preserve"> </w:t>
      </w:r>
      <w:r w:rsidRPr="00345332">
        <w:rPr>
          <w:rFonts w:hint="eastAsia"/>
          <w:rtl/>
        </w:rPr>
        <w:t>על</w:t>
      </w:r>
      <w:r w:rsidRPr="00345332">
        <w:rPr>
          <w:rtl/>
        </w:rPr>
        <w:t xml:space="preserve"> </w:t>
      </w:r>
      <w:r w:rsidRPr="00345332">
        <w:rPr>
          <w:rFonts w:hint="eastAsia"/>
          <w:rtl/>
        </w:rPr>
        <w:t>ההון</w:t>
      </w:r>
      <w:r>
        <w:rPr>
          <w:rFonts w:hint="cs"/>
          <w:rtl/>
        </w:rPr>
        <w:t>,</w:t>
      </w:r>
      <w:r w:rsidRPr="00345332">
        <w:rPr>
          <w:rtl/>
        </w:rPr>
        <w:t xml:space="preserve"> </w:t>
      </w:r>
      <w:r w:rsidRPr="00345332">
        <w:rPr>
          <w:rFonts w:hint="eastAsia"/>
          <w:rtl/>
        </w:rPr>
        <w:t>ב</w:t>
      </w:r>
      <w:r>
        <w:rPr>
          <w:rFonts w:hint="cs"/>
          <w:rtl/>
        </w:rPr>
        <w:t xml:space="preserve">ייחוד </w:t>
      </w:r>
      <w:r w:rsidRPr="00345332">
        <w:rPr>
          <w:rFonts w:hint="eastAsia"/>
          <w:rtl/>
        </w:rPr>
        <w:t>בסביבת</w:t>
      </w:r>
      <w:r w:rsidRPr="00345332">
        <w:rPr>
          <w:rtl/>
        </w:rPr>
        <w:t xml:space="preserve"> </w:t>
      </w:r>
      <w:r w:rsidRPr="00345332">
        <w:rPr>
          <w:rFonts w:hint="eastAsia"/>
          <w:rtl/>
        </w:rPr>
        <w:t>ריבית</w:t>
      </w:r>
      <w:r w:rsidRPr="00345332">
        <w:rPr>
          <w:rtl/>
        </w:rPr>
        <w:t xml:space="preserve"> </w:t>
      </w:r>
      <w:r w:rsidRPr="00345332">
        <w:rPr>
          <w:rFonts w:hint="eastAsia"/>
          <w:rtl/>
        </w:rPr>
        <w:t>נמוכה</w:t>
      </w:r>
      <w:r w:rsidRPr="00345332">
        <w:rPr>
          <w:rtl/>
        </w:rPr>
        <w:t>.</w:t>
      </w:r>
      <w:r>
        <w:rPr>
          <w:rFonts w:hint="cs"/>
          <w:rtl/>
        </w:rPr>
        <w:t xml:space="preserve"> אף על פי כן, היקף ההשקעה בפרויקטי תשתית מקומיים נמוך ביחס לסכום של תיק ההשקעות</w:t>
      </w:r>
      <w:r>
        <w:rPr>
          <w:rFonts w:hint="cs"/>
        </w:rPr>
        <w:t xml:space="preserve"> </w:t>
      </w:r>
      <w:r>
        <w:rPr>
          <w:rFonts w:hint="cs"/>
          <w:rtl/>
        </w:rPr>
        <w:t xml:space="preserve">הכולל שמנהלים הגופים המוסדיים. </w:t>
      </w:r>
    </w:p>
    <w:p w14:paraId="191618F4" w14:textId="5DFF1163" w:rsidR="00823E3A" w:rsidRDefault="00823E3A" w:rsidP="006828F1">
      <w:pPr>
        <w:pStyle w:val="af5"/>
        <w:rPr>
          <w:rtl/>
        </w:rPr>
      </w:pPr>
      <w:r w:rsidRPr="00133651">
        <w:rPr>
          <w:rFonts w:hint="eastAsia"/>
          <w:rtl/>
        </w:rPr>
        <w:t>נוכח</w:t>
      </w:r>
      <w:r w:rsidRPr="00B933AF">
        <w:rPr>
          <w:rtl/>
        </w:rPr>
        <w:t xml:space="preserve"> </w:t>
      </w:r>
      <w:r w:rsidRPr="00B933AF">
        <w:rPr>
          <w:rFonts w:hint="eastAsia"/>
          <w:rtl/>
        </w:rPr>
        <w:t>היקף</w:t>
      </w:r>
      <w:r w:rsidRPr="00B933AF">
        <w:rPr>
          <w:rtl/>
        </w:rPr>
        <w:t xml:space="preserve"> הכספים הגדול </w:t>
      </w:r>
      <w:r w:rsidRPr="00B933AF">
        <w:rPr>
          <w:rFonts w:hint="eastAsia"/>
          <w:rtl/>
        </w:rPr>
        <w:t>המנוהל</w:t>
      </w:r>
      <w:r w:rsidRPr="00B933AF">
        <w:rPr>
          <w:rtl/>
        </w:rPr>
        <w:t xml:space="preserve"> </w:t>
      </w:r>
      <w:r w:rsidRPr="00B933AF">
        <w:rPr>
          <w:rFonts w:hint="eastAsia"/>
          <w:rtl/>
        </w:rPr>
        <w:t>בגופים</w:t>
      </w:r>
      <w:r w:rsidRPr="00B933AF">
        <w:rPr>
          <w:rtl/>
        </w:rPr>
        <w:t xml:space="preserve"> </w:t>
      </w:r>
      <w:r w:rsidRPr="00B933AF">
        <w:rPr>
          <w:rFonts w:hint="eastAsia"/>
          <w:rtl/>
        </w:rPr>
        <w:t>המוסדיים</w:t>
      </w:r>
      <w:r w:rsidRPr="00B933AF">
        <w:rPr>
          <w:rtl/>
        </w:rPr>
        <w:t xml:space="preserve">, מומלץ כי </w:t>
      </w:r>
      <w:r w:rsidRPr="00B933AF">
        <w:rPr>
          <w:rFonts w:hint="eastAsia"/>
          <w:rtl/>
        </w:rPr>
        <w:t>משרד</w:t>
      </w:r>
      <w:r w:rsidRPr="00B933AF">
        <w:rPr>
          <w:rtl/>
        </w:rPr>
        <w:t xml:space="preserve"> האוצר </w:t>
      </w:r>
      <w:r w:rsidRPr="00B933AF">
        <w:rPr>
          <w:rFonts w:hint="eastAsia"/>
          <w:rtl/>
        </w:rPr>
        <w:t>יבחן</w:t>
      </w:r>
      <w:r w:rsidRPr="00B933AF">
        <w:rPr>
          <w:rtl/>
        </w:rPr>
        <w:t xml:space="preserve"> </w:t>
      </w:r>
      <w:r w:rsidRPr="00B933AF">
        <w:rPr>
          <w:rFonts w:hint="eastAsia"/>
          <w:rtl/>
        </w:rPr>
        <w:t>יצירת</w:t>
      </w:r>
      <w:r w:rsidRPr="00B933AF">
        <w:rPr>
          <w:rtl/>
        </w:rPr>
        <w:t xml:space="preserve"> כלים לעידוד </w:t>
      </w:r>
      <w:r w:rsidRPr="00B933AF">
        <w:rPr>
          <w:rFonts w:hint="eastAsia"/>
          <w:rtl/>
        </w:rPr>
        <w:t>השקעה</w:t>
      </w:r>
      <w:r w:rsidRPr="00B933AF">
        <w:rPr>
          <w:rtl/>
        </w:rPr>
        <w:t xml:space="preserve"> </w:t>
      </w:r>
      <w:r w:rsidRPr="00B933AF">
        <w:rPr>
          <w:rFonts w:hint="eastAsia"/>
          <w:rtl/>
        </w:rPr>
        <w:t>בפרויקטי</w:t>
      </w:r>
      <w:r w:rsidRPr="00B933AF">
        <w:rPr>
          <w:rtl/>
        </w:rPr>
        <w:t xml:space="preserve"> </w:t>
      </w:r>
      <w:r w:rsidRPr="00B933AF">
        <w:rPr>
          <w:rFonts w:hint="eastAsia"/>
          <w:rtl/>
        </w:rPr>
        <w:t>תשתית</w:t>
      </w:r>
      <w:r w:rsidRPr="00B933AF">
        <w:rPr>
          <w:rtl/>
        </w:rPr>
        <w:t xml:space="preserve"> מקומיים,</w:t>
      </w:r>
      <w:r>
        <w:rPr>
          <w:rFonts w:hint="cs"/>
          <w:rtl/>
        </w:rPr>
        <w:t xml:space="preserve"> על מנת לאפשר </w:t>
      </w:r>
      <w:r w:rsidRPr="00B933AF">
        <w:rPr>
          <w:rFonts w:hint="eastAsia"/>
          <w:rtl/>
        </w:rPr>
        <w:t>השאת</w:t>
      </w:r>
      <w:r w:rsidRPr="00B933AF">
        <w:rPr>
          <w:rtl/>
        </w:rPr>
        <w:t xml:space="preserve"> </w:t>
      </w:r>
      <w:r w:rsidRPr="00B933AF">
        <w:rPr>
          <w:rFonts w:hint="eastAsia"/>
          <w:rtl/>
        </w:rPr>
        <w:t>התועלות</w:t>
      </w:r>
      <w:r w:rsidRPr="00B933AF">
        <w:rPr>
          <w:rtl/>
        </w:rPr>
        <w:t xml:space="preserve"> למשקיעים </w:t>
      </w:r>
      <w:r>
        <w:rPr>
          <w:rFonts w:hint="cs"/>
          <w:rtl/>
        </w:rPr>
        <w:t>לצד תרומה לפיתוח ה</w:t>
      </w:r>
      <w:r w:rsidRPr="00B933AF">
        <w:rPr>
          <w:rFonts w:hint="eastAsia"/>
          <w:rtl/>
        </w:rPr>
        <w:t>משק</w:t>
      </w:r>
      <w:r w:rsidRPr="00B933AF">
        <w:rPr>
          <w:rtl/>
        </w:rPr>
        <w:t>.</w:t>
      </w:r>
    </w:p>
    <w:p w14:paraId="3A92295C" w14:textId="60A5E739" w:rsidR="00823E3A" w:rsidRDefault="00823E3A" w:rsidP="006828F1">
      <w:pPr>
        <w:pStyle w:val="414"/>
        <w:rPr>
          <w:rtl/>
        </w:rPr>
      </w:pPr>
      <w:r>
        <w:rPr>
          <w:rFonts w:hint="cs"/>
          <w:rtl/>
        </w:rPr>
        <w:t>המערכת הבנקאית בארץ</w:t>
      </w:r>
    </w:p>
    <w:p w14:paraId="60D86839" w14:textId="59BF8F29" w:rsidR="00823E3A" w:rsidRDefault="00823E3A" w:rsidP="006828F1">
      <w:pPr>
        <w:pStyle w:val="100"/>
        <w:rPr>
          <w:rtl/>
        </w:rPr>
      </w:pPr>
      <w:r>
        <w:rPr>
          <w:rFonts w:hint="cs"/>
          <w:rtl/>
        </w:rPr>
        <w:t>ריכוזיות תיק האשראי, ובכלל זה ריכוזיות האשראי לפי ענפי המשק, היא אחד ממקורות סיכון האשראי בתאגידים בנקאיים. בשל ההכרה בהשפעה השלילית של הענף על איכותו של תיק האשראי בתאגידים הבנקאיים, נקבעו מגבלות על סך החבות של ענף מסוים.</w:t>
      </w:r>
    </w:p>
    <w:p w14:paraId="05D28423" w14:textId="369C97B6" w:rsidR="00823E3A" w:rsidRDefault="00823E3A" w:rsidP="009438FA">
      <w:pPr>
        <w:pStyle w:val="100"/>
        <w:rPr>
          <w:rtl/>
        </w:rPr>
      </w:pPr>
      <w:r>
        <w:rPr>
          <w:rFonts w:hint="cs"/>
          <w:rtl/>
        </w:rPr>
        <w:t>על פי סעיף 5 להוראת ניהול בנקאי תקין מספר 315</w:t>
      </w:r>
      <w:r>
        <w:rPr>
          <w:rStyle w:val="FootnoteReference"/>
          <w:rtl/>
        </w:rPr>
        <w:footnoteReference w:id="139"/>
      </w:r>
      <w:r>
        <w:rPr>
          <w:rFonts w:hint="cs"/>
          <w:rtl/>
        </w:rPr>
        <w:t xml:space="preserve"> של הפיקוח על הבנקים בנושא מגבלת חבות ענפית, השיעור של כל החבויות של ענף</w:t>
      </w:r>
      <w:r w:rsidRPr="003F05FD">
        <w:rPr>
          <w:rFonts w:hint="cs"/>
          <w:rtl/>
        </w:rPr>
        <w:t xml:space="preserve"> </w:t>
      </w:r>
      <w:r>
        <w:rPr>
          <w:rFonts w:hint="cs"/>
          <w:rtl/>
        </w:rPr>
        <w:t>"בינוי, נדל"ן ותעשייה ומסחר של מוצרים אל-מתכתיים בבנייה" (להלן - ענף הבינוי)</w:t>
      </w:r>
      <w:r w:rsidRPr="00263A5C">
        <w:rPr>
          <w:rFonts w:hint="cs"/>
          <w:rtl/>
        </w:rPr>
        <w:t xml:space="preserve"> </w:t>
      </w:r>
      <w:r>
        <w:rPr>
          <w:rFonts w:hint="cs"/>
          <w:rtl/>
        </w:rPr>
        <w:t>לתאגיד הבנקאי, לרבות הקמת תשתיות, לא יעלה על 20% מסך כל חבויות הציבור לתאגיד הבנקאי (להלן - חלופה א'). עם זאת, אם שיעורו של סך החבות בגין ענף הבינוי בניכוי "עבודות הנדסה אזרחיות" לא עלה על 18%, רשאי התאגיד</w:t>
      </w:r>
      <w:r w:rsidR="000E1E90">
        <w:rPr>
          <w:rFonts w:hint="cs"/>
          <w:rtl/>
        </w:rPr>
        <w:t xml:space="preserve"> </w:t>
      </w:r>
      <w:r>
        <w:rPr>
          <w:rFonts w:hint="cs"/>
          <w:rtl/>
        </w:rPr>
        <w:t>הבנקאי להשקיע 4% נוספים ב"עבודות הנדסה אזרחיות"</w:t>
      </w:r>
      <w:r>
        <w:rPr>
          <w:rStyle w:val="FootnoteReference"/>
          <w:rtl/>
        </w:rPr>
        <w:footnoteReference w:id="140"/>
      </w:r>
      <w:r w:rsidR="003933A5">
        <w:rPr>
          <w:rFonts w:hint="cs"/>
          <w:rtl/>
        </w:rPr>
        <w:t xml:space="preserve"> </w:t>
      </w:r>
      <w:r>
        <w:rPr>
          <w:rFonts w:hint="cs"/>
          <w:rtl/>
        </w:rPr>
        <w:t>(דהיינו הקמת תשתיות), כך שהשיעור של סך החבויות של ענף הבינוי לא יחרוג מ-22% מסך כל חבויות הציבור לתאגיד הבנקאי (להלן - חלופה ב').</w:t>
      </w:r>
    </w:p>
    <w:p w14:paraId="1631213B" w14:textId="5B43E59F" w:rsidR="00823E3A" w:rsidRPr="009438FA" w:rsidRDefault="00823E3A" w:rsidP="009438FA">
      <w:pPr>
        <w:pStyle w:val="100"/>
        <w:rPr>
          <w:sz w:val="24"/>
          <w:rtl/>
        </w:rPr>
      </w:pPr>
      <w:r w:rsidRPr="00850922">
        <w:rPr>
          <w:rFonts w:hint="cs"/>
          <w:rtl/>
        </w:rPr>
        <w:t xml:space="preserve">מנתונים שמסר הפיקוח על הבנקים למשרד מבקר המדינה עולה כי </w:t>
      </w:r>
      <w:r>
        <w:rPr>
          <w:rFonts w:hint="cs"/>
          <w:rtl/>
        </w:rPr>
        <w:t>ביום 31.12.18</w:t>
      </w:r>
      <w:r w:rsidRPr="00850922">
        <w:rPr>
          <w:rFonts w:hint="cs"/>
          <w:rtl/>
        </w:rPr>
        <w:t xml:space="preserve"> </w:t>
      </w:r>
      <w:r>
        <w:rPr>
          <w:rFonts w:hint="cs"/>
          <w:sz w:val="24"/>
          <w:rtl/>
        </w:rPr>
        <w:t xml:space="preserve">סך </w:t>
      </w:r>
      <w:r w:rsidRPr="00850922">
        <w:rPr>
          <w:rFonts w:hint="cs"/>
          <w:sz w:val="24"/>
          <w:rtl/>
        </w:rPr>
        <w:t xml:space="preserve">האשראי </w:t>
      </w:r>
      <w:r>
        <w:rPr>
          <w:rFonts w:hint="cs"/>
          <w:sz w:val="24"/>
          <w:rtl/>
        </w:rPr>
        <w:t xml:space="preserve">לציבור </w:t>
      </w:r>
      <w:r w:rsidRPr="00850922">
        <w:rPr>
          <w:rFonts w:hint="cs"/>
          <w:sz w:val="24"/>
          <w:rtl/>
        </w:rPr>
        <w:t>במערכת הבנקאית</w:t>
      </w:r>
      <w:r>
        <w:rPr>
          <w:rFonts w:hint="cs"/>
          <w:sz w:val="24"/>
          <w:rtl/>
        </w:rPr>
        <w:t xml:space="preserve"> </w:t>
      </w:r>
      <w:r w:rsidRPr="00850922">
        <w:rPr>
          <w:rFonts w:hint="cs"/>
          <w:sz w:val="24"/>
          <w:rtl/>
        </w:rPr>
        <w:t>מסתכם בכ-</w:t>
      </w:r>
      <w:r>
        <w:rPr>
          <w:rFonts w:hint="cs"/>
          <w:sz w:val="24"/>
          <w:rtl/>
        </w:rPr>
        <w:t xml:space="preserve">1,398 </w:t>
      </w:r>
      <w:r w:rsidRPr="00850922">
        <w:rPr>
          <w:rFonts w:hint="cs"/>
          <w:sz w:val="24"/>
          <w:rtl/>
        </w:rPr>
        <w:t xml:space="preserve">מיליארד ש"ח, </w:t>
      </w:r>
      <w:r>
        <w:rPr>
          <w:rFonts w:hint="cs"/>
          <w:sz w:val="24"/>
          <w:rtl/>
        </w:rPr>
        <w:t xml:space="preserve">וכ-256.6 מיליארד ש"ח ממנו מיוחסים לענף הבינוי (כ-18.4%). בתוך ענף הבינוי, </w:t>
      </w:r>
      <w:r w:rsidRPr="00850922">
        <w:rPr>
          <w:rFonts w:hint="cs"/>
          <w:sz w:val="24"/>
          <w:rtl/>
        </w:rPr>
        <w:t>כ-</w:t>
      </w:r>
      <w:r>
        <w:rPr>
          <w:rFonts w:hint="cs"/>
          <w:sz w:val="24"/>
          <w:rtl/>
        </w:rPr>
        <w:t>16</w:t>
      </w:r>
      <w:r w:rsidRPr="00850922">
        <w:rPr>
          <w:rFonts w:hint="cs"/>
          <w:sz w:val="24"/>
          <w:rtl/>
        </w:rPr>
        <w:t>.</w:t>
      </w:r>
      <w:r>
        <w:rPr>
          <w:rFonts w:hint="cs"/>
          <w:sz w:val="24"/>
          <w:rtl/>
        </w:rPr>
        <w:t>2</w:t>
      </w:r>
      <w:r w:rsidRPr="00850922">
        <w:rPr>
          <w:rFonts w:hint="cs"/>
          <w:sz w:val="24"/>
          <w:rtl/>
        </w:rPr>
        <w:t xml:space="preserve"> מיליארד ש"ח </w:t>
      </w:r>
      <w:r>
        <w:rPr>
          <w:rFonts w:hint="cs"/>
          <w:sz w:val="24"/>
          <w:rtl/>
        </w:rPr>
        <w:t xml:space="preserve">מיוחסים </w:t>
      </w:r>
      <w:r w:rsidRPr="00850922">
        <w:rPr>
          <w:rFonts w:hint="cs"/>
          <w:sz w:val="24"/>
          <w:rtl/>
        </w:rPr>
        <w:t>להקמת תשתית.</w:t>
      </w:r>
    </w:p>
    <w:p w14:paraId="6E7E7B19" w14:textId="5F5A85D7" w:rsidR="00823E3A" w:rsidRPr="00C4532A" w:rsidRDefault="00823E3A" w:rsidP="009438FA">
      <w:pPr>
        <w:pStyle w:val="100"/>
        <w:rPr>
          <w:rtl/>
        </w:rPr>
      </w:pPr>
      <w:r>
        <w:rPr>
          <w:rFonts w:hint="cs"/>
          <w:rtl/>
        </w:rPr>
        <w:t>תרשים 14 להלן מציג את היקף החשיפה של המערכת הבנקאית לנדל"ן ולתשתיות מתוך סך חבויות הציבור, נכון ליום 31.12.18.</w:t>
      </w:r>
    </w:p>
    <w:p w14:paraId="05456080" w14:textId="77777777" w:rsidR="00823E3A" w:rsidRPr="009438FA" w:rsidRDefault="00823E3A" w:rsidP="009438FA">
      <w:pPr>
        <w:pStyle w:val="aa"/>
        <w:rPr>
          <w:b/>
          <w:bCs/>
          <w:sz w:val="24"/>
          <w:highlight w:val="yellow"/>
          <w:rtl/>
        </w:rPr>
      </w:pPr>
      <w:r w:rsidRPr="003859F6">
        <w:rPr>
          <w:rFonts w:hint="cs"/>
          <w:rtl/>
        </w:rPr>
        <w:lastRenderedPageBreak/>
        <w:t xml:space="preserve">תרשים </w:t>
      </w:r>
      <w:r>
        <w:rPr>
          <w:rFonts w:hint="cs"/>
          <w:rtl/>
        </w:rPr>
        <w:t xml:space="preserve">14: </w:t>
      </w:r>
      <w:r w:rsidRPr="009438FA">
        <w:rPr>
          <w:rFonts w:hint="cs"/>
          <w:b/>
          <w:bCs/>
          <w:rtl/>
        </w:rPr>
        <w:t>החשיפה לנדל"ן ולתשתיות מתוך סך חבויות הציבור, 31.12.18</w:t>
      </w:r>
    </w:p>
    <w:p w14:paraId="5193D010" w14:textId="77777777" w:rsidR="00823E3A" w:rsidRDefault="00823E3A" w:rsidP="00823E3A">
      <w:pPr>
        <w:spacing w:line="269" w:lineRule="auto"/>
        <w:rPr>
          <w:sz w:val="24"/>
          <w:highlight w:val="yellow"/>
          <w:rtl/>
        </w:rPr>
      </w:pPr>
      <w:r w:rsidRPr="00FC4054">
        <w:rPr>
          <w:noProof/>
        </w:rPr>
        <w:t xml:space="preserve"> </w:t>
      </w:r>
      <w:r>
        <w:rPr>
          <w:noProof/>
        </w:rPr>
        <w:drawing>
          <wp:inline distT="0" distB="0" distL="0" distR="0" wp14:anchorId="6079EB60" wp14:editId="4047AE5F">
            <wp:extent cx="5181600" cy="2867025"/>
            <wp:effectExtent l="0" t="0" r="0" b="9525"/>
            <wp:docPr id="21" name="תרשים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0492F9C" w14:textId="1D22387F" w:rsidR="00823E3A" w:rsidRPr="00D32E41" w:rsidRDefault="00823E3A" w:rsidP="009438FA">
      <w:pPr>
        <w:pStyle w:val="ac"/>
        <w:rPr>
          <w:rtl/>
        </w:rPr>
      </w:pPr>
      <w:r w:rsidRPr="002B3789">
        <w:rPr>
          <w:rFonts w:hint="cs"/>
          <w:rtl/>
        </w:rPr>
        <w:t>המקור: נתוני הפיקוח על הבנקים, בעיבוד משרד מבקר המדינה</w:t>
      </w:r>
    </w:p>
    <w:p w14:paraId="44DE1C4E" w14:textId="77777777" w:rsidR="009438FA" w:rsidRDefault="009438FA" w:rsidP="009438FA">
      <w:pPr>
        <w:pStyle w:val="100"/>
        <w:rPr>
          <w:rtl/>
        </w:rPr>
      </w:pPr>
    </w:p>
    <w:p w14:paraId="375F6B2C" w14:textId="2E8813AE" w:rsidR="00823E3A" w:rsidRDefault="00823E3A" w:rsidP="009438FA">
      <w:pPr>
        <w:pStyle w:val="100"/>
        <w:rPr>
          <w:rtl/>
        </w:rPr>
      </w:pPr>
      <w:r>
        <w:rPr>
          <w:rFonts w:hint="cs"/>
          <w:rtl/>
        </w:rPr>
        <w:t xml:space="preserve">מתרשים 14 עולה כי שיעורו של </w:t>
      </w:r>
      <w:r w:rsidRPr="00D32E41">
        <w:rPr>
          <w:rFonts w:hint="cs"/>
          <w:rtl/>
        </w:rPr>
        <w:t xml:space="preserve">היקף ההשקעה בענף </w:t>
      </w:r>
      <w:r>
        <w:rPr>
          <w:rFonts w:hint="cs"/>
          <w:rtl/>
        </w:rPr>
        <w:t>הבינוי</w:t>
      </w:r>
      <w:r w:rsidRPr="00D32E41">
        <w:rPr>
          <w:rFonts w:hint="cs"/>
          <w:rtl/>
        </w:rPr>
        <w:t xml:space="preserve"> המיוחס לכלל המערכת הבנקאית ה</w:t>
      </w:r>
      <w:r>
        <w:rPr>
          <w:rFonts w:hint="cs"/>
          <w:rtl/>
        </w:rPr>
        <w:t>ו</w:t>
      </w:r>
      <w:r w:rsidRPr="00D32E41">
        <w:rPr>
          <w:rFonts w:hint="cs"/>
          <w:rtl/>
        </w:rPr>
        <w:t>א כ-</w:t>
      </w:r>
      <w:r>
        <w:rPr>
          <w:rFonts w:hint="cs"/>
          <w:rtl/>
        </w:rPr>
        <w:t>18.4%</w:t>
      </w:r>
      <w:r w:rsidRPr="00D32E41">
        <w:rPr>
          <w:rFonts w:hint="cs"/>
          <w:rtl/>
        </w:rPr>
        <w:t xml:space="preserve"> בלבד</w:t>
      </w:r>
      <w:r>
        <w:rPr>
          <w:rFonts w:hint="cs"/>
        </w:rPr>
        <w:t xml:space="preserve"> </w:t>
      </w:r>
      <w:r>
        <w:rPr>
          <w:rFonts w:hint="cs"/>
          <w:rtl/>
        </w:rPr>
        <w:t>מסך חבויות הציבור</w:t>
      </w:r>
      <w:r w:rsidRPr="00D32E41">
        <w:rPr>
          <w:rFonts w:hint="cs"/>
          <w:rtl/>
        </w:rPr>
        <w:t xml:space="preserve"> - מתחת למגבלה הענפית שנקבעה לפי החלופות השונות</w:t>
      </w:r>
      <w:r>
        <w:rPr>
          <w:rStyle w:val="FootnoteReference"/>
          <w:rtl/>
        </w:rPr>
        <w:footnoteReference w:id="141"/>
      </w:r>
      <w:r w:rsidRPr="00D32E41">
        <w:rPr>
          <w:rFonts w:hint="cs"/>
          <w:rtl/>
        </w:rPr>
        <w:t>.</w:t>
      </w:r>
      <w:r>
        <w:rPr>
          <w:rFonts w:hint="cs"/>
          <w:rtl/>
        </w:rPr>
        <w:t xml:space="preserve"> עוד עולה מהנתונים שמסר הפיקוח על הבנקים למשרד מבקר המדינה כי יתרת האשראי בכלל המערכת הבנקאית, הפנויה להשקעה בתשתיות בסוף שנת 2018 בחלופה א' היא כ-36.7 מיליארד ש"ח וכ-58 מיליארד ש"ח בחלופה ב'</w:t>
      </w:r>
      <w:r>
        <w:rPr>
          <w:rStyle w:val="FootnoteReference"/>
          <w:rtl/>
        </w:rPr>
        <w:footnoteReference w:id="142"/>
      </w:r>
      <w:r>
        <w:rPr>
          <w:rFonts w:hint="cs"/>
          <w:rtl/>
        </w:rPr>
        <w:t>.</w:t>
      </w:r>
    </w:p>
    <w:p w14:paraId="12FB36B3" w14:textId="07B7D777" w:rsidR="00823E3A" w:rsidRDefault="00823E3A" w:rsidP="009438FA">
      <w:pPr>
        <w:pStyle w:val="100"/>
        <w:rPr>
          <w:rtl/>
        </w:rPr>
      </w:pPr>
      <w:r>
        <w:rPr>
          <w:rFonts w:hint="cs"/>
          <w:rtl/>
        </w:rPr>
        <w:t xml:space="preserve">ממכתב ששלח החשב הכללי למפקחת על הבנקים בדצמבר 2018 (להלן - מכתבו של החשב הכללי) עולה, כי חלק ניכר מהגידול הצפוי בעתיד בהשקעה בתשתיות במדינה מתוכנן לביצוע באמצעות פרויקטים בשיטת </w:t>
      </w:r>
      <w:r>
        <w:rPr>
          <w:rFonts w:hint="cs"/>
        </w:rPr>
        <w:t>PPP</w:t>
      </w:r>
      <w:r>
        <w:rPr>
          <w:rFonts w:hint="cs"/>
          <w:rtl/>
        </w:rPr>
        <w:t>, והיזמים הפרטיים יזדקקו לגיוס נרחב של חוב מהבנקים ומהגופים המוסדיים. כמו כן צוין כי על פי אומדן ראשוני, ההשקעה בתשתיות באמצעות שיטה זו המתוכננת לשנים הקרובות עומדת על 60 מיליארד ש"ח לפחות, ומזה שיעור של 80% לפחות צפוי להיות ממומן באמצעות חוב מהבנקים ומהגופים המוסדיים</w:t>
      </w:r>
      <w:r>
        <w:rPr>
          <w:rStyle w:val="FootnoteReference"/>
          <w:rtl/>
        </w:rPr>
        <w:footnoteReference w:id="143"/>
      </w:r>
      <w:r>
        <w:rPr>
          <w:rFonts w:hint="cs"/>
          <w:rtl/>
        </w:rPr>
        <w:t xml:space="preserve">. בנוסף, המדינה צפויה לקדם פרויקטים נוספים, בהם פרויקט המטרו בגוש דן, אשר אומדן ראשוני של ההשקעה בו עומד על למעלה מ-150 מיליארד ש"ח. ייתכן כי חלק מההשקעה יבוצע בשיטת </w:t>
      </w:r>
      <w:r>
        <w:t>PPP</w:t>
      </w:r>
      <w:r>
        <w:rPr>
          <w:rFonts w:hint="cs"/>
          <w:rtl/>
        </w:rPr>
        <w:t>. בעקבות זאת צפויה הגדלה ניכרת של ההשקעה בתשתיות במודל זה בשנים הבאות.</w:t>
      </w:r>
    </w:p>
    <w:p w14:paraId="0F18A520" w14:textId="7CEEB2B5" w:rsidR="00823E3A" w:rsidRDefault="00823E3A" w:rsidP="009438FA">
      <w:pPr>
        <w:pStyle w:val="100"/>
        <w:rPr>
          <w:rtl/>
        </w:rPr>
      </w:pPr>
      <w:r>
        <w:rPr>
          <w:rFonts w:hint="cs"/>
          <w:rtl/>
        </w:rPr>
        <w:lastRenderedPageBreak/>
        <w:t>עוד נאמר במכתבו של החשב הכללי: "בפועל, משיחות עם נציגי הפיקוח על הבנקים עולה כי הבנקים לא מנצלים את האפשרות האמורה [חלופה ב'] והם משקיעים עד 20% בתחום הנדל"ן והתשתיות יחדיו"</w:t>
      </w:r>
      <w:r>
        <w:rPr>
          <w:rStyle w:val="FootnoteReference"/>
          <w:rtl/>
        </w:rPr>
        <w:footnoteReference w:id="144"/>
      </w:r>
      <w:r>
        <w:rPr>
          <w:rFonts w:hint="cs"/>
          <w:rtl/>
        </w:rPr>
        <w:t xml:space="preserve">, וכי בשל הצורך לאפשר גידול של היקף ההשקעה בתשתיות, מתבקש הפיקוח על הבנקים "לבחון את שינוי המגבלה האמורה, באופן בו לדוגמא, הבנק יוכל להשקיע עד 20% מכלל חבויות הציבור כלפיו בנדל"ן לרבות הקמת תשתיות ועוד 5% נוספים בהקמת תשתיות בלבד, או לחילופין, באופן בו יופרדו הסיווגים </w:t>
      </w:r>
      <w:r w:rsidR="009438FA">
        <w:rPr>
          <w:rFonts w:hint="cs"/>
          <w:rtl/>
        </w:rPr>
        <w:t>הענפיים של נדל"ן והקמת תשתיות".</w:t>
      </w:r>
    </w:p>
    <w:p w14:paraId="33A69922" w14:textId="0BD691E5" w:rsidR="00823E3A" w:rsidRPr="00133651" w:rsidRDefault="00823E3A" w:rsidP="009438FA">
      <w:pPr>
        <w:pStyle w:val="100"/>
        <w:rPr>
          <w:rtl/>
        </w:rPr>
      </w:pPr>
      <w:r>
        <w:rPr>
          <w:rFonts w:hint="cs"/>
          <w:rtl/>
        </w:rPr>
        <w:t xml:space="preserve">בתשובתו של הפיקוח על הבנקים למשרד מבקר המדינה בדצמבר 2019 נאמר כי במהלך תקופת הביקורת בחן בנק ישראל את עדכון גובהה של מגבלת החבות הענפית של ענף הבנוי על רקע הצורך הגובר למימון תשתיות לאומיות, ותוך התחשבות במאפייני הסיכון הכרוכים בהקמתם. במסגרת זו פרסם בנק ישראל במהלך נובמבר 2019 את החלטתו לעדכן את מדיניות הפיקוח בעניין חבות זו. הפיקוח על הבנקים הפיץ טיוטת הוראה בנידון שתתגבש לכדי הוראה בהליך מהיר ותחול מיד עם הפצתה. עדכון ההוראה יאפשר לממן תשתיות מעל למגבלה הענפית של 20%, בשיעור של 4% נוספים מתיק האשראי. עוד צוין בתשובה כי "בהתבסס על הנתונים הנוכחיים, בבנקים בהם המגבלה הענפית אפקטיבית, תתאפשר תוספת אשראי בנקאי לתשתיות בהיקף של כ-25 מיליארד </w:t>
      </w:r>
      <w:r w:rsidRPr="00133651">
        <w:rPr>
          <w:rFonts w:hint="cs"/>
          <w:rtl/>
        </w:rPr>
        <w:t xml:space="preserve">ש"ח". </w:t>
      </w:r>
    </w:p>
    <w:p w14:paraId="4E735288" w14:textId="41A7A2AF" w:rsidR="00823E3A" w:rsidRPr="009438FA" w:rsidRDefault="00823E3A" w:rsidP="009438FA">
      <w:pPr>
        <w:pStyle w:val="af5"/>
        <w:rPr>
          <w:sz w:val="24"/>
          <w:rtl/>
        </w:rPr>
      </w:pPr>
      <w:r w:rsidRPr="00133651">
        <w:rPr>
          <w:rFonts w:hint="cs"/>
          <w:rtl/>
        </w:rPr>
        <w:t xml:space="preserve">משרד מבקר המדינה מציין את תגובת הפיקוח על הבנקים וממליץ כי לנוכח הגידול הניכר הצפוי בהיקף ההשקעה בתשתיות והעדפת המערכת הבנקאית את ההשקעה בנדל"ן, הפיקוח על </w:t>
      </w:r>
      <w:r w:rsidRPr="00133651">
        <w:rPr>
          <w:rFonts w:hint="eastAsia"/>
          <w:rtl/>
        </w:rPr>
        <w:t>הבנקים</w:t>
      </w:r>
      <w:r w:rsidRPr="00133651">
        <w:rPr>
          <w:rtl/>
        </w:rPr>
        <w:t xml:space="preserve"> </w:t>
      </w:r>
      <w:r w:rsidRPr="00AE43E8">
        <w:rPr>
          <w:rFonts w:hint="eastAsia"/>
          <w:rtl/>
        </w:rPr>
        <w:t>ישלים</w:t>
      </w:r>
      <w:r w:rsidRPr="00AE43E8">
        <w:rPr>
          <w:rtl/>
        </w:rPr>
        <w:t xml:space="preserve"> </w:t>
      </w:r>
      <w:r w:rsidRPr="0037705F">
        <w:rPr>
          <w:rFonts w:hint="eastAsia"/>
          <w:rtl/>
        </w:rPr>
        <w:t>את</w:t>
      </w:r>
      <w:r w:rsidRPr="0037705F">
        <w:rPr>
          <w:rtl/>
        </w:rPr>
        <w:t xml:space="preserve"> </w:t>
      </w:r>
      <w:r w:rsidRPr="0037705F">
        <w:rPr>
          <w:rFonts w:hint="eastAsia"/>
          <w:rtl/>
        </w:rPr>
        <w:t>גיבוש</w:t>
      </w:r>
      <w:r w:rsidRPr="0037705F">
        <w:rPr>
          <w:rtl/>
        </w:rPr>
        <w:t xml:space="preserve"> </w:t>
      </w:r>
      <w:r w:rsidRPr="0037705F">
        <w:rPr>
          <w:rFonts w:hint="eastAsia"/>
          <w:rtl/>
        </w:rPr>
        <w:t>מדיניותו</w:t>
      </w:r>
      <w:r w:rsidRPr="0037705F">
        <w:rPr>
          <w:rtl/>
        </w:rPr>
        <w:t xml:space="preserve"> </w:t>
      </w:r>
      <w:r w:rsidRPr="0037705F">
        <w:rPr>
          <w:rFonts w:hint="eastAsia"/>
          <w:rtl/>
        </w:rPr>
        <w:t>בנושא</w:t>
      </w:r>
      <w:r w:rsidRPr="0037705F">
        <w:rPr>
          <w:rtl/>
        </w:rPr>
        <w:t xml:space="preserve">. בד ובד מוצע כי משרד האוצר </w:t>
      </w:r>
      <w:r w:rsidRPr="0037705F">
        <w:rPr>
          <w:rFonts w:hint="eastAsia"/>
          <w:rtl/>
        </w:rPr>
        <w:t>יבחן</w:t>
      </w:r>
      <w:r w:rsidRPr="0037705F">
        <w:rPr>
          <w:rtl/>
        </w:rPr>
        <w:t xml:space="preserve"> </w:t>
      </w:r>
      <w:r w:rsidRPr="0037705F">
        <w:rPr>
          <w:rFonts w:hint="eastAsia"/>
          <w:rtl/>
        </w:rPr>
        <w:t>פתרונות</w:t>
      </w:r>
      <w:r w:rsidRPr="0037705F">
        <w:rPr>
          <w:rtl/>
        </w:rPr>
        <w:t xml:space="preserve"> </w:t>
      </w:r>
      <w:r w:rsidRPr="0037705F">
        <w:rPr>
          <w:rFonts w:hint="eastAsia"/>
          <w:rtl/>
        </w:rPr>
        <w:t>נוספים</w:t>
      </w:r>
      <w:r w:rsidRPr="0037705F">
        <w:rPr>
          <w:rtl/>
        </w:rPr>
        <w:t xml:space="preserve"> </w:t>
      </w:r>
      <w:r w:rsidRPr="0037705F">
        <w:rPr>
          <w:rFonts w:hint="eastAsia"/>
          <w:rtl/>
        </w:rPr>
        <w:t>להגדלת</w:t>
      </w:r>
      <w:r w:rsidRPr="0037705F">
        <w:rPr>
          <w:rtl/>
        </w:rPr>
        <w:t xml:space="preserve"> </w:t>
      </w:r>
      <w:r w:rsidRPr="0037705F">
        <w:rPr>
          <w:rFonts w:hint="eastAsia"/>
          <w:rtl/>
        </w:rPr>
        <w:t>היצע</w:t>
      </w:r>
      <w:r w:rsidRPr="0037705F">
        <w:rPr>
          <w:rtl/>
        </w:rPr>
        <w:t xml:space="preserve"> </w:t>
      </w:r>
      <w:r w:rsidRPr="0037705F">
        <w:rPr>
          <w:rFonts w:hint="eastAsia"/>
          <w:rtl/>
        </w:rPr>
        <w:t>מקורות</w:t>
      </w:r>
      <w:r w:rsidRPr="0037705F">
        <w:rPr>
          <w:rtl/>
        </w:rPr>
        <w:t xml:space="preserve"> המימון </w:t>
      </w:r>
      <w:r w:rsidRPr="0037705F">
        <w:rPr>
          <w:rFonts w:hint="eastAsia"/>
          <w:rtl/>
        </w:rPr>
        <w:t>להשקעה</w:t>
      </w:r>
      <w:r w:rsidRPr="0037705F">
        <w:rPr>
          <w:rtl/>
        </w:rPr>
        <w:t xml:space="preserve"> </w:t>
      </w:r>
      <w:r w:rsidRPr="0037705F">
        <w:rPr>
          <w:rFonts w:hint="eastAsia"/>
          <w:rtl/>
        </w:rPr>
        <w:t>בתשתיות</w:t>
      </w:r>
      <w:r w:rsidRPr="0037705F">
        <w:rPr>
          <w:rtl/>
        </w:rPr>
        <w:t xml:space="preserve"> ולגיוונם, </w:t>
      </w:r>
      <w:r w:rsidRPr="0037705F">
        <w:rPr>
          <w:rFonts w:hint="eastAsia"/>
          <w:rtl/>
        </w:rPr>
        <w:t>ובכלל</w:t>
      </w:r>
      <w:r w:rsidRPr="0037705F">
        <w:rPr>
          <w:rtl/>
        </w:rPr>
        <w:t xml:space="preserve"> </w:t>
      </w:r>
      <w:r w:rsidRPr="0037705F">
        <w:rPr>
          <w:rFonts w:hint="eastAsia"/>
          <w:rtl/>
        </w:rPr>
        <w:t>זה</w:t>
      </w:r>
      <w:r w:rsidRPr="0037705F">
        <w:rPr>
          <w:rtl/>
        </w:rPr>
        <w:t xml:space="preserve"> מקורות </w:t>
      </w:r>
      <w:r w:rsidRPr="0037705F">
        <w:rPr>
          <w:rFonts w:hint="eastAsia"/>
          <w:rtl/>
        </w:rPr>
        <w:t>מחוץ</w:t>
      </w:r>
      <w:r w:rsidRPr="0037705F">
        <w:rPr>
          <w:rtl/>
        </w:rPr>
        <w:t xml:space="preserve"> למערכת הבנקאית המקומית </w:t>
      </w:r>
      <w:r w:rsidRPr="0037705F">
        <w:rPr>
          <w:rFonts w:hint="eastAsia"/>
          <w:sz w:val="24"/>
          <w:rtl/>
        </w:rPr>
        <w:t>לרבות</w:t>
      </w:r>
      <w:r w:rsidRPr="0037705F">
        <w:rPr>
          <w:sz w:val="24"/>
          <w:rtl/>
        </w:rPr>
        <w:t xml:space="preserve"> </w:t>
      </w:r>
      <w:r w:rsidRPr="0037705F">
        <w:rPr>
          <w:rFonts w:hint="eastAsia"/>
          <w:sz w:val="24"/>
          <w:rtl/>
        </w:rPr>
        <w:t>גופים</w:t>
      </w:r>
      <w:r w:rsidRPr="0037705F">
        <w:rPr>
          <w:sz w:val="24"/>
          <w:rtl/>
        </w:rPr>
        <w:t xml:space="preserve"> </w:t>
      </w:r>
      <w:r w:rsidRPr="0037705F">
        <w:rPr>
          <w:rFonts w:hint="eastAsia"/>
          <w:sz w:val="24"/>
          <w:rtl/>
        </w:rPr>
        <w:t>מוסדיים</w:t>
      </w:r>
      <w:r w:rsidRPr="0037705F">
        <w:rPr>
          <w:sz w:val="24"/>
          <w:rtl/>
        </w:rPr>
        <w:t xml:space="preserve">, </w:t>
      </w:r>
      <w:r w:rsidRPr="0037705F">
        <w:rPr>
          <w:rFonts w:hint="eastAsia"/>
          <w:sz w:val="24"/>
          <w:rtl/>
        </w:rPr>
        <w:t>קרנות</w:t>
      </w:r>
      <w:r w:rsidRPr="0037705F">
        <w:rPr>
          <w:sz w:val="24"/>
          <w:rtl/>
        </w:rPr>
        <w:t xml:space="preserve"> </w:t>
      </w:r>
      <w:r w:rsidRPr="0037705F">
        <w:rPr>
          <w:rFonts w:hint="eastAsia"/>
          <w:sz w:val="24"/>
          <w:rtl/>
        </w:rPr>
        <w:t>השקעה</w:t>
      </w:r>
      <w:r w:rsidRPr="0037705F">
        <w:rPr>
          <w:sz w:val="24"/>
          <w:rtl/>
        </w:rPr>
        <w:t xml:space="preserve"> </w:t>
      </w:r>
      <w:r w:rsidRPr="0037705F">
        <w:rPr>
          <w:rFonts w:hint="eastAsia"/>
          <w:sz w:val="24"/>
          <w:rtl/>
        </w:rPr>
        <w:t>לציבור</w:t>
      </w:r>
      <w:r w:rsidRPr="00133651">
        <w:rPr>
          <w:rStyle w:val="FootnoteReference"/>
          <w:b/>
          <w:bCs/>
          <w:sz w:val="24"/>
          <w:rtl/>
        </w:rPr>
        <w:footnoteReference w:id="145"/>
      </w:r>
      <w:r w:rsidRPr="00133651">
        <w:rPr>
          <w:sz w:val="24"/>
          <w:rtl/>
        </w:rPr>
        <w:t xml:space="preserve"> </w:t>
      </w:r>
      <w:r w:rsidRPr="00133651">
        <w:rPr>
          <w:rFonts w:hint="eastAsia"/>
          <w:sz w:val="24"/>
          <w:rtl/>
        </w:rPr>
        <w:t>ובנקים</w:t>
      </w:r>
      <w:r w:rsidRPr="00133651">
        <w:rPr>
          <w:sz w:val="24"/>
          <w:rtl/>
        </w:rPr>
        <w:t xml:space="preserve"> </w:t>
      </w:r>
      <w:r w:rsidRPr="00133651">
        <w:rPr>
          <w:rFonts w:hint="eastAsia"/>
          <w:sz w:val="24"/>
          <w:rtl/>
        </w:rPr>
        <w:t>וקרנות</w:t>
      </w:r>
      <w:r w:rsidRPr="00133651">
        <w:rPr>
          <w:sz w:val="24"/>
          <w:rtl/>
        </w:rPr>
        <w:t xml:space="preserve"> </w:t>
      </w:r>
      <w:r w:rsidRPr="00133651">
        <w:rPr>
          <w:rFonts w:hint="eastAsia"/>
          <w:sz w:val="24"/>
          <w:rtl/>
        </w:rPr>
        <w:t>הון</w:t>
      </w:r>
      <w:r w:rsidRPr="00133651">
        <w:rPr>
          <w:sz w:val="24"/>
          <w:rtl/>
        </w:rPr>
        <w:t xml:space="preserve"> </w:t>
      </w:r>
      <w:r w:rsidRPr="00133651">
        <w:rPr>
          <w:rFonts w:hint="eastAsia"/>
          <w:sz w:val="24"/>
          <w:rtl/>
        </w:rPr>
        <w:t>בי</w:t>
      </w:r>
      <w:r w:rsidRPr="00133651">
        <w:rPr>
          <w:rFonts w:hint="cs"/>
          <w:sz w:val="24"/>
          <w:rtl/>
        </w:rPr>
        <w:t>ן-</w:t>
      </w:r>
      <w:r w:rsidRPr="00133651">
        <w:rPr>
          <w:rFonts w:hint="eastAsia"/>
          <w:sz w:val="24"/>
          <w:rtl/>
        </w:rPr>
        <w:t>לאומיים</w:t>
      </w:r>
      <w:r w:rsidRPr="00133651">
        <w:rPr>
          <w:rtl/>
        </w:rPr>
        <w:t>.</w:t>
      </w:r>
    </w:p>
    <w:p w14:paraId="393213B5" w14:textId="77777777" w:rsidR="00823E3A" w:rsidRDefault="00823E3A" w:rsidP="009438FA">
      <w:pPr>
        <w:pStyle w:val="5115"/>
        <w:rPr>
          <w:rtl/>
        </w:rPr>
      </w:pPr>
      <w:r>
        <w:rPr>
          <w:rFonts w:hint="cs"/>
          <w:rtl/>
        </w:rPr>
        <w:t xml:space="preserve">בנקים ממדינות חוץ </w:t>
      </w:r>
    </w:p>
    <w:p w14:paraId="4BB604F7" w14:textId="17EFE682" w:rsidR="00823E3A" w:rsidRPr="009438FA" w:rsidRDefault="00823E3A" w:rsidP="009438FA">
      <w:pPr>
        <w:pStyle w:val="100"/>
      </w:pPr>
      <w:r>
        <w:rPr>
          <w:rFonts w:hint="cs"/>
          <w:rtl/>
        </w:rPr>
        <w:t xml:space="preserve">חוק הפיקוח על שירותים פיננסיים (שירותים פיננסיים מוסדרים), התשע"ו-2016 (להלן - חוק שירותים פיננסיים מוסדרים) עוסק בין השאר בקביעת אסדרה ופיקוח על גופים שאינם תאגידים בנקאיים או גופים מוסדיים, הפועלים בתחום של מתן אשראי חוץ-מוסדי ובמתן שירותים פיננסיים. סעיף 13 לחוק כולל את רשימת הגופים הפטורים מחובת הרישוי, ובהם </w:t>
      </w:r>
      <w:r>
        <w:rPr>
          <w:rFonts w:hint="cs"/>
          <w:rtl/>
        </w:rPr>
        <w:lastRenderedPageBreak/>
        <w:t>תאגיד בנקאי כהגדרתו בחוק הבנקאות (רישוי), התשמ"א- 1981 (להלן- חוק הבנקאות [רישוי]).</w:t>
      </w:r>
    </w:p>
    <w:p w14:paraId="31726525" w14:textId="6F3C9100" w:rsidR="00823E3A" w:rsidRDefault="00823E3A" w:rsidP="009438FA">
      <w:pPr>
        <w:pStyle w:val="100"/>
        <w:rPr>
          <w:rtl/>
        </w:rPr>
      </w:pPr>
      <w:r>
        <w:rPr>
          <w:rFonts w:hint="cs"/>
          <w:rtl/>
        </w:rPr>
        <w:t>ביולי 2018 אישרה ועדת הכספים של הכנסת תקנות</w:t>
      </w:r>
      <w:r>
        <w:rPr>
          <w:rStyle w:val="FootnoteReference"/>
          <w:rtl/>
        </w:rPr>
        <w:footnoteReference w:id="146"/>
      </w:r>
      <w:r>
        <w:rPr>
          <w:rFonts w:hint="cs"/>
          <w:rtl/>
        </w:rPr>
        <w:t xml:space="preserve"> שנועדו לפטור מחובת רישוי</w:t>
      </w:r>
      <w:r>
        <w:rPr>
          <w:rStyle w:val="FootnoteReference"/>
          <w:rtl/>
        </w:rPr>
        <w:footnoteReference w:id="147"/>
      </w:r>
      <w:r>
        <w:rPr>
          <w:rFonts w:hint="cs"/>
          <w:rtl/>
        </w:rPr>
        <w:t xml:space="preserve"> שורה של גופים המעניקים אשראי לא צרכני (אשראי שאינו למשקי בית) או שירותים פיננסיים, ובכללם גם תאגידים שהתאגדו במדינות החברות בארגון </w:t>
      </w:r>
      <w:r>
        <w:rPr>
          <w:rFonts w:hint="cs"/>
        </w:rPr>
        <w:t>OECD</w:t>
      </w:r>
      <w:r>
        <w:rPr>
          <w:rFonts w:hint="cs"/>
          <w:rtl/>
        </w:rPr>
        <w:t xml:space="preserve">, המחזיקים ברישיון בנק מאת רשות פיקוח במדינה החברה בארגון (להלן - תקנות שירותים פיננסיים מוסדרים). התקנות הן במתכונת של הוראת שעה, והן תקפות עד ליום 31 בדצמבר 2019. </w:t>
      </w:r>
    </w:p>
    <w:p w14:paraId="4B46BAEF" w14:textId="22A7B536" w:rsidR="00823E3A" w:rsidRDefault="00823E3A" w:rsidP="009438FA">
      <w:pPr>
        <w:pStyle w:val="100"/>
        <w:rPr>
          <w:rtl/>
        </w:rPr>
      </w:pPr>
      <w:r>
        <w:rPr>
          <w:rFonts w:hint="cs"/>
          <w:rtl/>
        </w:rPr>
        <w:t>בדברי ההסבר לטיוטת התקנות צוין כי בישראל פועלות כיום קבוצות בנקאיות ממדינות חוץ, הכוללות תאגידים זרים בעלי רישיון בנק ממדינות חוץ ותאגידים נוספים בשליטתם הפועלים באמצעות נציגויות או סניפים, ובין היתר הם עוסקים במתן אשראי בסכומים גבוהים לעסקים בישראל</w:t>
      </w:r>
      <w:r>
        <w:rPr>
          <w:rStyle w:val="FootnoteReference"/>
          <w:rtl/>
        </w:rPr>
        <w:footnoteReference w:id="148"/>
      </w:r>
      <w:r>
        <w:rPr>
          <w:rFonts w:hint="cs"/>
          <w:rtl/>
        </w:rPr>
        <w:t xml:space="preserve"> כחלופה לאשראי מבנקים ישראליים. פעילותם של בנקים אלו אינה מחייבת בהכרח לקבל רישיון בנק על פי חוק הבנקאות (רישוי), ועל כן לעיתים הם אינם נכללים ברשימת הגופים הפטורים מחובת רישוי שבסעיף 13 לחוק שירותים פיננסיים מו</w:t>
      </w:r>
      <w:r w:rsidR="009438FA">
        <w:rPr>
          <w:rFonts w:hint="cs"/>
          <w:rtl/>
        </w:rPr>
        <w:t>סדרים.</w:t>
      </w:r>
    </w:p>
    <w:p w14:paraId="4FB8B719" w14:textId="307A920B" w:rsidR="00823E3A" w:rsidRDefault="00823E3A" w:rsidP="009438FA">
      <w:pPr>
        <w:pStyle w:val="100"/>
        <w:rPr>
          <w:rtl/>
        </w:rPr>
      </w:pPr>
      <w:r>
        <w:rPr>
          <w:rFonts w:hint="cs"/>
          <w:rtl/>
        </w:rPr>
        <w:t xml:space="preserve">עוד צוין בדברי ההסבר כי כדי לשמור על עניינם של לקוחות הבנק הזר בישראל ולוודא כי העיסוק במתן אשראי נעשה בסטנדרט נאות, מוצע לפטור מחובת רישוי רק תאגידים בקבוצות בנקאיות שהתאגדו במדינה החברה בארגון </w:t>
      </w:r>
      <w:r>
        <w:t>OECD</w:t>
      </w:r>
      <w:r>
        <w:rPr>
          <w:rFonts w:hint="cs"/>
          <w:rtl/>
        </w:rPr>
        <w:t>, ושניתן להם רישיון בנק או רישיון לעסוק במתן אשראי ממדינה החברה בארגון זה</w:t>
      </w:r>
      <w:r>
        <w:rPr>
          <w:rStyle w:val="FootnoteReference"/>
          <w:rtl/>
        </w:rPr>
        <w:footnoteReference w:id="149"/>
      </w:r>
      <w:r w:rsidR="009438FA">
        <w:rPr>
          <w:rFonts w:hint="cs"/>
          <w:rtl/>
        </w:rPr>
        <w:t>.</w:t>
      </w:r>
    </w:p>
    <w:p w14:paraId="67AD8D9C" w14:textId="103540BB" w:rsidR="00823E3A" w:rsidRDefault="00823E3A" w:rsidP="009438FA">
      <w:pPr>
        <w:pStyle w:val="af5"/>
        <w:rPr>
          <w:rtl/>
        </w:rPr>
      </w:pPr>
      <w:r>
        <w:rPr>
          <w:rFonts w:hint="cs"/>
          <w:rtl/>
        </w:rPr>
        <w:t xml:space="preserve">עיגון הפטור של </w:t>
      </w:r>
      <w:r w:rsidRPr="00BF37D4">
        <w:rPr>
          <w:rFonts w:hint="cs"/>
          <w:rtl/>
        </w:rPr>
        <w:t xml:space="preserve">בנקים </w:t>
      </w:r>
      <w:r>
        <w:rPr>
          <w:rFonts w:hint="cs"/>
          <w:rtl/>
        </w:rPr>
        <w:t>ממדינות חוץ</w:t>
      </w:r>
      <w:r w:rsidRPr="00BF37D4">
        <w:rPr>
          <w:rFonts w:hint="cs"/>
          <w:rtl/>
        </w:rPr>
        <w:t xml:space="preserve"> </w:t>
      </w:r>
      <w:r>
        <w:rPr>
          <w:rFonts w:hint="cs"/>
          <w:rtl/>
        </w:rPr>
        <w:t>מחובת רישוי למתן אשראי</w:t>
      </w:r>
      <w:r w:rsidRPr="004B6591">
        <w:rPr>
          <w:rFonts w:hint="cs"/>
          <w:rtl/>
        </w:rPr>
        <w:t xml:space="preserve"> </w:t>
      </w:r>
      <w:r>
        <w:rPr>
          <w:rFonts w:hint="cs"/>
          <w:rtl/>
        </w:rPr>
        <w:t>באמצעות הוראת שעה שתוקפה</w:t>
      </w:r>
      <w:r w:rsidRPr="00BF37D4">
        <w:rPr>
          <w:rFonts w:hint="cs"/>
          <w:rtl/>
        </w:rPr>
        <w:t xml:space="preserve"> הוא עד ליום 31 בדצמבר 2019 </w:t>
      </w:r>
      <w:r>
        <w:rPr>
          <w:rFonts w:hint="cs"/>
          <w:rtl/>
        </w:rPr>
        <w:t xml:space="preserve">עלול לעורר בגופים אלו חוסר ודאות ולמנוע את השתתפותם במכרזים אף </w:t>
      </w:r>
      <w:r w:rsidRPr="00CF4EDB">
        <w:rPr>
          <w:rFonts w:hint="cs"/>
          <w:rtl/>
        </w:rPr>
        <w:t xml:space="preserve">טרם פקיעת תוקפה של הוראת השעה. </w:t>
      </w:r>
      <w:r>
        <w:rPr>
          <w:rFonts w:hint="cs"/>
          <w:rtl/>
        </w:rPr>
        <w:t>מאחר שהוראת שעה מוגבלת בזמן, לא ברור</w:t>
      </w:r>
      <w:r w:rsidRPr="00CF4EDB">
        <w:rPr>
          <w:rFonts w:hint="cs"/>
          <w:rtl/>
        </w:rPr>
        <w:t xml:space="preserve"> </w:t>
      </w:r>
      <w:r>
        <w:rPr>
          <w:rFonts w:hint="cs"/>
          <w:rtl/>
        </w:rPr>
        <w:t xml:space="preserve">אם יוארך תוקפה אם לאו. אי-ודאות זו </w:t>
      </w:r>
      <w:r w:rsidRPr="00CF4EDB">
        <w:rPr>
          <w:rFonts w:hint="cs"/>
          <w:rtl/>
        </w:rPr>
        <w:t xml:space="preserve">מעלה חשש </w:t>
      </w:r>
      <w:r>
        <w:rPr>
          <w:rFonts w:hint="cs"/>
          <w:rtl/>
        </w:rPr>
        <w:t>שמא יירתעו בנקים ממדינות חוץ לתת אשראי</w:t>
      </w:r>
      <w:r w:rsidRPr="00CF4EDB">
        <w:rPr>
          <w:rFonts w:hint="cs"/>
          <w:rtl/>
        </w:rPr>
        <w:t xml:space="preserve"> לעסקים בישראל ובכלל זה להשקעה </w:t>
      </w:r>
      <w:r>
        <w:rPr>
          <w:rFonts w:hint="cs"/>
          <w:rtl/>
        </w:rPr>
        <w:t xml:space="preserve">בתחום התשתיות במסגרת פרויקטים של </w:t>
      </w:r>
      <w:r w:rsidRPr="00CF4EDB">
        <w:rPr>
          <w:rFonts w:hint="cs"/>
        </w:rPr>
        <w:t>PPP</w:t>
      </w:r>
      <w:r>
        <w:rPr>
          <w:rFonts w:hint="cs"/>
          <w:rtl/>
        </w:rPr>
        <w:t>.</w:t>
      </w:r>
    </w:p>
    <w:p w14:paraId="17360CBE" w14:textId="4F7B36A9" w:rsidR="00823E3A" w:rsidRPr="009438FA" w:rsidRDefault="00823E3A" w:rsidP="009438FA">
      <w:pPr>
        <w:pStyle w:val="100"/>
        <w:rPr>
          <w:sz w:val="24"/>
          <w:rtl/>
        </w:rPr>
      </w:pPr>
      <w:r w:rsidRPr="007C5925">
        <w:rPr>
          <w:rFonts w:hint="eastAsia"/>
          <w:rtl/>
        </w:rPr>
        <w:t>רשות</w:t>
      </w:r>
      <w:r w:rsidRPr="007C5925">
        <w:rPr>
          <w:rtl/>
        </w:rPr>
        <w:t xml:space="preserve"> שוק ההון השיבה למשרד מבקר המדינה בדצמבר 2019 כי ההחלטה </w:t>
      </w:r>
      <w:r w:rsidRPr="007C5925">
        <w:rPr>
          <w:rFonts w:hint="eastAsia"/>
          <w:rtl/>
        </w:rPr>
        <w:t>לעגן</w:t>
      </w:r>
      <w:r w:rsidRPr="007C5925">
        <w:rPr>
          <w:rtl/>
        </w:rPr>
        <w:t xml:space="preserve"> </w:t>
      </w:r>
      <w:r w:rsidRPr="007C5925">
        <w:rPr>
          <w:rFonts w:hint="eastAsia"/>
          <w:rtl/>
        </w:rPr>
        <w:t>את</w:t>
      </w:r>
      <w:r w:rsidRPr="007C5925">
        <w:rPr>
          <w:rtl/>
        </w:rPr>
        <w:t xml:space="preserve"> הפטור במתכונת של הוראת שעה נועדה לאפשר בחינה ראויה של הגדרת גבולות הגזרה ביחס לגופים ולפעילויות הטעונים קבלת רישיון וביחס ל</w:t>
      </w:r>
      <w:r w:rsidRPr="007C5925">
        <w:rPr>
          <w:rFonts w:hint="cs"/>
          <w:rtl/>
        </w:rPr>
        <w:t>גופים</w:t>
      </w:r>
      <w:r w:rsidRPr="007C5925">
        <w:rPr>
          <w:rtl/>
        </w:rPr>
        <w:t xml:space="preserve"> הפטורים ממנו. עם זאת, הרשות ציינה כי טרם נצבר ניסיון מספק לבחינת </w:t>
      </w:r>
      <w:r w:rsidRPr="007C5925">
        <w:rPr>
          <w:rFonts w:hint="eastAsia"/>
          <w:rtl/>
        </w:rPr>
        <w:t>ההצדקות</w:t>
      </w:r>
      <w:r w:rsidRPr="007C5925">
        <w:rPr>
          <w:rtl/>
        </w:rPr>
        <w:t xml:space="preserve"> </w:t>
      </w:r>
      <w:r w:rsidRPr="007C5925">
        <w:rPr>
          <w:rFonts w:hint="eastAsia"/>
          <w:rtl/>
        </w:rPr>
        <w:t>למתן</w:t>
      </w:r>
      <w:r w:rsidRPr="007C5925">
        <w:rPr>
          <w:rtl/>
        </w:rPr>
        <w:t xml:space="preserve"> הפטור. </w:t>
      </w:r>
      <w:r w:rsidRPr="007C5925">
        <w:rPr>
          <w:rFonts w:hint="cs"/>
          <w:rtl/>
        </w:rPr>
        <w:t xml:space="preserve">לפיכך </w:t>
      </w:r>
      <w:r w:rsidRPr="007C5925">
        <w:rPr>
          <w:rFonts w:hint="eastAsia"/>
          <w:rtl/>
        </w:rPr>
        <w:t>הפיצה</w:t>
      </w:r>
      <w:r w:rsidRPr="007C5925">
        <w:rPr>
          <w:rtl/>
        </w:rPr>
        <w:t xml:space="preserve"> </w:t>
      </w:r>
      <w:r w:rsidRPr="007C5925">
        <w:rPr>
          <w:rFonts w:hint="cs"/>
          <w:rtl/>
        </w:rPr>
        <w:t xml:space="preserve">הרשות </w:t>
      </w:r>
      <w:r w:rsidRPr="007C5925">
        <w:rPr>
          <w:rFonts w:hint="eastAsia"/>
          <w:rtl/>
        </w:rPr>
        <w:t>במהלך</w:t>
      </w:r>
      <w:r w:rsidRPr="007C5925">
        <w:rPr>
          <w:rtl/>
        </w:rPr>
        <w:t xml:space="preserve"> </w:t>
      </w:r>
      <w:r w:rsidRPr="007C5925">
        <w:rPr>
          <w:rFonts w:hint="eastAsia"/>
          <w:rtl/>
        </w:rPr>
        <w:t>נובמבר</w:t>
      </w:r>
      <w:r w:rsidRPr="007C5925">
        <w:rPr>
          <w:rtl/>
        </w:rPr>
        <w:t xml:space="preserve"> 2019 </w:t>
      </w:r>
      <w:r w:rsidRPr="007C5925">
        <w:rPr>
          <w:rFonts w:hint="cs"/>
          <w:rtl/>
        </w:rPr>
        <w:t xml:space="preserve">טיוטת תקנות </w:t>
      </w:r>
      <w:r w:rsidRPr="007C5925">
        <w:rPr>
          <w:rFonts w:hint="eastAsia"/>
          <w:rtl/>
        </w:rPr>
        <w:t>באתר</w:t>
      </w:r>
      <w:r w:rsidRPr="007C5925">
        <w:rPr>
          <w:rtl/>
        </w:rPr>
        <w:t xml:space="preserve"> </w:t>
      </w:r>
      <w:r w:rsidRPr="007C5925">
        <w:rPr>
          <w:rFonts w:hint="eastAsia"/>
          <w:rtl/>
        </w:rPr>
        <w:t>התזכירים</w:t>
      </w:r>
      <w:r w:rsidRPr="007C5925">
        <w:rPr>
          <w:rtl/>
        </w:rPr>
        <w:t xml:space="preserve"> </w:t>
      </w:r>
      <w:r w:rsidRPr="007C5925">
        <w:rPr>
          <w:rFonts w:hint="eastAsia"/>
          <w:rtl/>
        </w:rPr>
        <w:t>הממשלתי</w:t>
      </w:r>
      <w:r w:rsidRPr="007C5925">
        <w:rPr>
          <w:rFonts w:hint="cs"/>
          <w:rtl/>
        </w:rPr>
        <w:t>,</w:t>
      </w:r>
      <w:r w:rsidRPr="007C5925">
        <w:rPr>
          <w:rtl/>
        </w:rPr>
        <w:t xml:space="preserve"> </w:t>
      </w:r>
      <w:r w:rsidRPr="007C5925">
        <w:rPr>
          <w:rFonts w:hint="cs"/>
          <w:rtl/>
        </w:rPr>
        <w:t>ו</w:t>
      </w:r>
      <w:r w:rsidRPr="007C5925">
        <w:rPr>
          <w:rFonts w:hint="eastAsia"/>
          <w:rtl/>
        </w:rPr>
        <w:t>לפיה</w:t>
      </w:r>
      <w:r w:rsidRPr="007C5925">
        <w:rPr>
          <w:rtl/>
        </w:rPr>
        <w:t xml:space="preserve"> תוארך הוראת השעה בשנתיים </w:t>
      </w:r>
      <w:r w:rsidRPr="007C5925">
        <w:rPr>
          <w:rtl/>
        </w:rPr>
        <w:lastRenderedPageBreak/>
        <w:t xml:space="preserve">נוספות, עד ליום 31 בדצמבר 2021. בד </w:t>
      </w:r>
      <w:r w:rsidRPr="007C5925">
        <w:rPr>
          <w:rFonts w:hint="cs"/>
          <w:rtl/>
        </w:rPr>
        <w:t>ב</w:t>
      </w:r>
      <w:r w:rsidRPr="007C5925">
        <w:rPr>
          <w:rFonts w:hint="eastAsia"/>
          <w:rtl/>
        </w:rPr>
        <w:t>בד</w:t>
      </w:r>
      <w:r w:rsidRPr="007C5925">
        <w:rPr>
          <w:rtl/>
        </w:rPr>
        <w:t xml:space="preserve"> פורסמה הבהרה כי אין בכוונת המפקח על נותני</w:t>
      </w:r>
      <w:r w:rsidRPr="007C5925">
        <w:rPr>
          <w:sz w:val="24"/>
          <w:rtl/>
        </w:rPr>
        <w:t xml:space="preserve"> </w:t>
      </w:r>
      <w:r>
        <w:rPr>
          <w:rFonts w:hint="cs"/>
          <w:sz w:val="24"/>
          <w:rtl/>
        </w:rPr>
        <w:t>ה</w:t>
      </w:r>
      <w:r w:rsidRPr="007C5925">
        <w:rPr>
          <w:rFonts w:hint="eastAsia"/>
          <w:sz w:val="24"/>
          <w:rtl/>
        </w:rPr>
        <w:t>שירותים</w:t>
      </w:r>
      <w:r w:rsidRPr="007C5925">
        <w:rPr>
          <w:sz w:val="24"/>
          <w:rtl/>
        </w:rPr>
        <w:t xml:space="preserve"> </w:t>
      </w:r>
      <w:r>
        <w:rPr>
          <w:rFonts w:hint="cs"/>
          <w:sz w:val="24"/>
          <w:rtl/>
        </w:rPr>
        <w:t>ה</w:t>
      </w:r>
      <w:r w:rsidRPr="007C5925">
        <w:rPr>
          <w:rFonts w:hint="eastAsia"/>
          <w:sz w:val="24"/>
          <w:rtl/>
        </w:rPr>
        <w:t>פיננסיים</w:t>
      </w:r>
      <w:r w:rsidRPr="007C5925">
        <w:rPr>
          <w:sz w:val="24"/>
          <w:rtl/>
        </w:rPr>
        <w:t xml:space="preserve"> לבצע פעולות אכיפה במהלך תקופה זו </w:t>
      </w:r>
      <w:r w:rsidRPr="007C5925">
        <w:rPr>
          <w:rFonts w:hint="eastAsia"/>
          <w:sz w:val="24"/>
          <w:rtl/>
        </w:rPr>
        <w:t>נגד</w:t>
      </w:r>
      <w:r w:rsidRPr="007C5925">
        <w:rPr>
          <w:sz w:val="24"/>
          <w:rtl/>
        </w:rPr>
        <w:t xml:space="preserve"> </w:t>
      </w:r>
      <w:r w:rsidRPr="007C5925">
        <w:rPr>
          <w:rFonts w:hint="eastAsia"/>
          <w:sz w:val="24"/>
          <w:rtl/>
        </w:rPr>
        <w:t>הגופים</w:t>
      </w:r>
      <w:r w:rsidRPr="007C5925">
        <w:rPr>
          <w:sz w:val="24"/>
          <w:rtl/>
        </w:rPr>
        <w:t xml:space="preserve"> </w:t>
      </w:r>
      <w:r w:rsidRPr="007C5925">
        <w:rPr>
          <w:rFonts w:hint="eastAsia"/>
          <w:sz w:val="24"/>
          <w:rtl/>
        </w:rPr>
        <w:t>המנויים</w:t>
      </w:r>
      <w:r w:rsidRPr="007C5925">
        <w:rPr>
          <w:sz w:val="24"/>
          <w:rtl/>
        </w:rPr>
        <w:t xml:space="preserve"> </w:t>
      </w:r>
      <w:r w:rsidRPr="007C5925">
        <w:rPr>
          <w:rFonts w:hint="eastAsia"/>
          <w:sz w:val="24"/>
          <w:rtl/>
        </w:rPr>
        <w:t>בהוראת</w:t>
      </w:r>
      <w:r w:rsidRPr="007C5925">
        <w:rPr>
          <w:sz w:val="24"/>
          <w:rtl/>
        </w:rPr>
        <w:t xml:space="preserve"> </w:t>
      </w:r>
      <w:r w:rsidRPr="007C5925">
        <w:rPr>
          <w:rFonts w:hint="eastAsia"/>
          <w:sz w:val="24"/>
          <w:rtl/>
        </w:rPr>
        <w:t>השעה</w:t>
      </w:r>
      <w:r w:rsidRPr="007C5925">
        <w:rPr>
          <w:sz w:val="24"/>
          <w:rtl/>
        </w:rPr>
        <w:t xml:space="preserve">. </w:t>
      </w:r>
      <w:r w:rsidRPr="007C5925">
        <w:rPr>
          <w:rFonts w:hint="eastAsia"/>
          <w:sz w:val="24"/>
          <w:rtl/>
        </w:rPr>
        <w:t>ואולם</w:t>
      </w:r>
      <w:r w:rsidRPr="007C5925">
        <w:rPr>
          <w:sz w:val="24"/>
          <w:rtl/>
        </w:rPr>
        <w:t xml:space="preserve">, </w:t>
      </w:r>
      <w:r w:rsidRPr="007C5925">
        <w:rPr>
          <w:rFonts w:hint="eastAsia"/>
          <w:sz w:val="24"/>
          <w:rtl/>
        </w:rPr>
        <w:t>טרם</w:t>
      </w:r>
      <w:r w:rsidRPr="007C5925">
        <w:rPr>
          <w:sz w:val="24"/>
          <w:rtl/>
        </w:rPr>
        <w:t xml:space="preserve"> </w:t>
      </w:r>
      <w:r w:rsidRPr="007C5925">
        <w:rPr>
          <w:rFonts w:hint="eastAsia"/>
          <w:sz w:val="24"/>
          <w:rtl/>
        </w:rPr>
        <w:t>אישור</w:t>
      </w:r>
      <w:r w:rsidRPr="007C5925">
        <w:rPr>
          <w:sz w:val="24"/>
          <w:rtl/>
        </w:rPr>
        <w:t xml:space="preserve"> </w:t>
      </w:r>
      <w:r w:rsidRPr="007C5925">
        <w:rPr>
          <w:rFonts w:hint="eastAsia"/>
          <w:sz w:val="24"/>
          <w:rtl/>
        </w:rPr>
        <w:t>התקנות</w:t>
      </w:r>
      <w:r w:rsidRPr="007C5925">
        <w:rPr>
          <w:sz w:val="24"/>
          <w:rtl/>
        </w:rPr>
        <w:t xml:space="preserve"> פוזרה הכנסת ה-22 במהלך דצמבר 2019, ולפיכך, בהתאם להוראות סעיף 38 לחוק יסוד הכנסת, </w:t>
      </w:r>
      <w:r w:rsidRPr="007C5925">
        <w:rPr>
          <w:rFonts w:hint="eastAsia"/>
          <w:sz w:val="24"/>
          <w:rtl/>
        </w:rPr>
        <w:t>מועד</w:t>
      </w:r>
      <w:r w:rsidRPr="007C5925">
        <w:rPr>
          <w:sz w:val="24"/>
          <w:rtl/>
        </w:rPr>
        <w:t xml:space="preserve"> </w:t>
      </w:r>
      <w:r w:rsidRPr="007C5925">
        <w:rPr>
          <w:rFonts w:hint="eastAsia"/>
          <w:sz w:val="24"/>
          <w:rtl/>
        </w:rPr>
        <w:t>פקיעתן</w:t>
      </w:r>
      <w:r w:rsidRPr="007C5925">
        <w:rPr>
          <w:sz w:val="24"/>
          <w:rtl/>
        </w:rPr>
        <w:t xml:space="preserve"> </w:t>
      </w:r>
      <w:r w:rsidRPr="007C5925">
        <w:rPr>
          <w:rFonts w:hint="eastAsia"/>
          <w:sz w:val="24"/>
          <w:rtl/>
        </w:rPr>
        <w:t>של</w:t>
      </w:r>
      <w:r w:rsidRPr="007C5925">
        <w:rPr>
          <w:sz w:val="24"/>
          <w:rtl/>
        </w:rPr>
        <w:t xml:space="preserve"> התקנות </w:t>
      </w:r>
      <w:r w:rsidRPr="007C5925">
        <w:rPr>
          <w:rFonts w:hint="eastAsia"/>
          <w:sz w:val="24"/>
          <w:rtl/>
        </w:rPr>
        <w:t>הוא</w:t>
      </w:r>
      <w:r w:rsidRPr="007C5925">
        <w:rPr>
          <w:sz w:val="24"/>
          <w:rtl/>
        </w:rPr>
        <w:t xml:space="preserve"> </w:t>
      </w:r>
      <w:r w:rsidRPr="007C5925">
        <w:rPr>
          <w:rFonts w:hint="eastAsia"/>
          <w:sz w:val="24"/>
          <w:rtl/>
        </w:rPr>
        <w:t>בתום</w:t>
      </w:r>
      <w:r w:rsidRPr="007C5925">
        <w:rPr>
          <w:sz w:val="24"/>
          <w:rtl/>
        </w:rPr>
        <w:t xml:space="preserve"> </w:t>
      </w:r>
      <w:r w:rsidRPr="007C5925">
        <w:rPr>
          <w:rFonts w:hint="eastAsia"/>
          <w:sz w:val="24"/>
          <w:rtl/>
        </w:rPr>
        <w:t>שלושת</w:t>
      </w:r>
      <w:r w:rsidRPr="007C5925">
        <w:rPr>
          <w:sz w:val="24"/>
          <w:rtl/>
        </w:rPr>
        <w:t xml:space="preserve"> </w:t>
      </w:r>
      <w:r w:rsidRPr="007C5925">
        <w:rPr>
          <w:rFonts w:hint="eastAsia"/>
          <w:sz w:val="24"/>
          <w:rtl/>
        </w:rPr>
        <w:t>החודשים</w:t>
      </w:r>
      <w:r w:rsidRPr="007C5925">
        <w:rPr>
          <w:sz w:val="24"/>
          <w:rtl/>
        </w:rPr>
        <w:t xml:space="preserve"> </w:t>
      </w:r>
      <w:r w:rsidRPr="007C5925">
        <w:rPr>
          <w:rFonts w:hint="eastAsia"/>
          <w:sz w:val="24"/>
          <w:rtl/>
        </w:rPr>
        <w:t>הראשונים</w:t>
      </w:r>
      <w:r w:rsidRPr="007C5925">
        <w:rPr>
          <w:sz w:val="24"/>
          <w:rtl/>
        </w:rPr>
        <w:t xml:space="preserve"> </w:t>
      </w:r>
      <w:r w:rsidRPr="007C5925">
        <w:rPr>
          <w:rFonts w:hint="eastAsia"/>
          <w:sz w:val="24"/>
          <w:rtl/>
        </w:rPr>
        <w:t>לתקופת</w:t>
      </w:r>
      <w:r w:rsidRPr="007C5925">
        <w:rPr>
          <w:sz w:val="24"/>
          <w:rtl/>
        </w:rPr>
        <w:t xml:space="preserve"> </w:t>
      </w:r>
      <w:r w:rsidRPr="007C5925">
        <w:rPr>
          <w:rFonts w:hint="eastAsia"/>
          <w:sz w:val="24"/>
          <w:rtl/>
        </w:rPr>
        <w:t>כהונת</w:t>
      </w:r>
      <w:r w:rsidRPr="007C5925">
        <w:rPr>
          <w:sz w:val="24"/>
          <w:rtl/>
        </w:rPr>
        <w:t xml:space="preserve"> </w:t>
      </w:r>
      <w:r w:rsidRPr="007C5925">
        <w:rPr>
          <w:rFonts w:hint="eastAsia"/>
          <w:sz w:val="24"/>
          <w:rtl/>
        </w:rPr>
        <w:t>הכנסת</w:t>
      </w:r>
      <w:r w:rsidRPr="007C5925">
        <w:rPr>
          <w:sz w:val="24"/>
          <w:rtl/>
        </w:rPr>
        <w:t xml:space="preserve"> </w:t>
      </w:r>
      <w:r w:rsidRPr="007C5925">
        <w:rPr>
          <w:rFonts w:hint="eastAsia"/>
          <w:sz w:val="24"/>
          <w:rtl/>
        </w:rPr>
        <w:t>ה</w:t>
      </w:r>
      <w:r w:rsidRPr="007C5925">
        <w:rPr>
          <w:sz w:val="24"/>
          <w:rtl/>
        </w:rPr>
        <w:t>-23.</w:t>
      </w:r>
    </w:p>
    <w:p w14:paraId="0F938F3F" w14:textId="77777777" w:rsidR="00823E3A" w:rsidRPr="00CC4CB9" w:rsidRDefault="00823E3A" w:rsidP="009438FA">
      <w:pPr>
        <w:pStyle w:val="af5"/>
        <w:rPr>
          <w:rtl/>
        </w:rPr>
      </w:pPr>
      <w:r>
        <w:rPr>
          <w:rFonts w:hint="cs"/>
          <w:rtl/>
        </w:rPr>
        <w:t>חשוב להבטיח</w:t>
      </w:r>
      <w:r w:rsidRPr="00CC4CB9">
        <w:rPr>
          <w:rtl/>
        </w:rPr>
        <w:t xml:space="preserve"> שמהלך העסקים התקין של הגופים האמורים לא ייפגע </w:t>
      </w:r>
      <w:r>
        <w:rPr>
          <w:rFonts w:hint="cs"/>
          <w:rtl/>
        </w:rPr>
        <w:t xml:space="preserve">ולהגביר את </w:t>
      </w:r>
      <w:r w:rsidRPr="00CC4CB9">
        <w:rPr>
          <w:rtl/>
        </w:rPr>
        <w:t xml:space="preserve">הוודאות </w:t>
      </w:r>
      <w:r>
        <w:rPr>
          <w:rFonts w:hint="cs"/>
          <w:rtl/>
        </w:rPr>
        <w:t>בתחום האסדרה</w:t>
      </w:r>
      <w:r w:rsidRPr="00CC4CB9">
        <w:rPr>
          <w:rtl/>
        </w:rPr>
        <w:t xml:space="preserve"> </w:t>
      </w:r>
      <w:r>
        <w:rPr>
          <w:rFonts w:hint="cs"/>
          <w:rtl/>
        </w:rPr>
        <w:t xml:space="preserve">לשם </w:t>
      </w:r>
      <w:r w:rsidRPr="00CC4CB9">
        <w:rPr>
          <w:rtl/>
        </w:rPr>
        <w:t xml:space="preserve">חיזוק נכונותם של הבנקים </w:t>
      </w:r>
      <w:r>
        <w:rPr>
          <w:rFonts w:hint="cs"/>
          <w:rtl/>
        </w:rPr>
        <w:t>ממדינות חוץ</w:t>
      </w:r>
      <w:r w:rsidRPr="00CC4CB9">
        <w:rPr>
          <w:rtl/>
        </w:rPr>
        <w:t xml:space="preserve"> </w:t>
      </w:r>
      <w:r w:rsidRPr="00CC4CB9">
        <w:rPr>
          <w:rFonts w:hint="eastAsia"/>
          <w:rtl/>
        </w:rPr>
        <w:t>להיכנס</w:t>
      </w:r>
      <w:r w:rsidRPr="00CC4CB9">
        <w:rPr>
          <w:rtl/>
        </w:rPr>
        <w:t xml:space="preserve"> </w:t>
      </w:r>
      <w:r w:rsidRPr="00CC4CB9">
        <w:rPr>
          <w:rFonts w:hint="eastAsia"/>
          <w:rtl/>
        </w:rPr>
        <w:t>להשקעות</w:t>
      </w:r>
      <w:r w:rsidRPr="00CC4CB9">
        <w:rPr>
          <w:rtl/>
        </w:rPr>
        <w:t xml:space="preserve"> בישראל, </w:t>
      </w:r>
      <w:r w:rsidRPr="00CC4CB9">
        <w:rPr>
          <w:rFonts w:hint="eastAsia"/>
          <w:rtl/>
        </w:rPr>
        <w:t>לרבות</w:t>
      </w:r>
      <w:r w:rsidRPr="00CC4CB9">
        <w:rPr>
          <w:rtl/>
        </w:rPr>
        <w:t xml:space="preserve"> </w:t>
      </w:r>
      <w:r w:rsidRPr="00CC4CB9">
        <w:rPr>
          <w:rFonts w:hint="eastAsia"/>
          <w:rtl/>
        </w:rPr>
        <w:t>בתחום</w:t>
      </w:r>
      <w:r w:rsidRPr="00CC4CB9">
        <w:rPr>
          <w:rtl/>
        </w:rPr>
        <w:t xml:space="preserve"> </w:t>
      </w:r>
      <w:r w:rsidRPr="00CC4CB9">
        <w:rPr>
          <w:rFonts w:hint="eastAsia"/>
          <w:rtl/>
        </w:rPr>
        <w:t>התשתיות</w:t>
      </w:r>
      <w:r w:rsidRPr="00CC4CB9">
        <w:rPr>
          <w:rtl/>
        </w:rPr>
        <w:t>.</w:t>
      </w:r>
    </w:p>
    <w:p w14:paraId="1107185A" w14:textId="276E536C" w:rsidR="00823E3A" w:rsidRPr="00CE0F5D" w:rsidRDefault="00823E3A" w:rsidP="00CE0F5D">
      <w:pPr>
        <w:pStyle w:val="af5"/>
        <w:rPr>
          <w:rtl/>
        </w:rPr>
      </w:pPr>
      <w:r>
        <w:rPr>
          <w:rFonts w:hint="cs"/>
          <w:rtl/>
        </w:rPr>
        <w:t xml:space="preserve">בתוך כך מומלץ כי </w:t>
      </w:r>
      <w:r w:rsidRPr="00CF4EDB">
        <w:rPr>
          <w:rFonts w:hint="cs"/>
          <w:rtl/>
        </w:rPr>
        <w:t>רשות שוק ההון</w:t>
      </w:r>
      <w:r>
        <w:rPr>
          <w:rFonts w:hint="cs"/>
          <w:rtl/>
        </w:rPr>
        <w:t xml:space="preserve"> תמשיך ותבחן </w:t>
      </w:r>
      <w:r w:rsidRPr="00CF4EDB">
        <w:rPr>
          <w:rFonts w:hint="cs"/>
          <w:rtl/>
        </w:rPr>
        <w:t>את נושא הפטור לבנקים זרים מחובת הרישוי למתן אשראי ואת השלכותיו</w:t>
      </w:r>
      <w:r>
        <w:rPr>
          <w:rFonts w:hint="cs"/>
          <w:rtl/>
        </w:rPr>
        <w:t>, לרבות הצורך באסדרה קבועה של הנושא.</w:t>
      </w:r>
    </w:p>
    <w:p w14:paraId="5C22D915" w14:textId="77777777" w:rsidR="00823E3A" w:rsidRPr="00CF4EDB" w:rsidRDefault="00823E3A" w:rsidP="009438FA">
      <w:pPr>
        <w:pStyle w:val="218"/>
      </w:pPr>
      <w:r w:rsidRPr="00CF4EDB">
        <w:rPr>
          <w:rFonts w:hint="cs"/>
          <w:rtl/>
        </w:rPr>
        <w:t>היבטי יעילות בניהול התקשרויות ציבוריות-פרטיות</w:t>
      </w:r>
    </w:p>
    <w:p w14:paraId="4BACAAFC" w14:textId="6311221A" w:rsidR="00823E3A" w:rsidRPr="00CF4EDB" w:rsidRDefault="00823E3A" w:rsidP="009438FA">
      <w:pPr>
        <w:pStyle w:val="316"/>
        <w:rPr>
          <w:rtl/>
        </w:rPr>
      </w:pPr>
      <w:r w:rsidRPr="00CF4EDB">
        <w:rPr>
          <w:rFonts w:hint="cs"/>
          <w:rtl/>
        </w:rPr>
        <w:t xml:space="preserve">הגדלת </w:t>
      </w:r>
      <w:r>
        <w:rPr>
          <w:rFonts w:hint="cs"/>
          <w:rtl/>
        </w:rPr>
        <w:t>ה</w:t>
      </w:r>
      <w:r w:rsidRPr="00CF4EDB">
        <w:rPr>
          <w:rFonts w:hint="cs"/>
          <w:rtl/>
        </w:rPr>
        <w:t>תמור</w:t>
      </w:r>
      <w:r>
        <w:rPr>
          <w:rFonts w:hint="cs"/>
          <w:rtl/>
        </w:rPr>
        <w:t>ה של</w:t>
      </w:r>
      <w:r w:rsidRPr="00CF4EDB">
        <w:rPr>
          <w:rFonts w:hint="cs"/>
          <w:rtl/>
        </w:rPr>
        <w:t xml:space="preserve"> חוזי הזיכיון</w:t>
      </w:r>
    </w:p>
    <w:p w14:paraId="3AF9DDF7" w14:textId="39AD3056" w:rsidR="00823E3A" w:rsidRPr="00E0289B" w:rsidRDefault="00823E3A" w:rsidP="009438FA">
      <w:pPr>
        <w:pStyle w:val="100"/>
        <w:rPr>
          <w:rtl/>
        </w:rPr>
      </w:pPr>
      <w:r w:rsidRPr="00CF4EDB">
        <w:rPr>
          <w:rFonts w:hint="cs"/>
          <w:rtl/>
        </w:rPr>
        <w:t xml:space="preserve">לאורך השנים </w:t>
      </w:r>
      <w:r>
        <w:rPr>
          <w:rFonts w:hint="cs"/>
          <w:rtl/>
        </w:rPr>
        <w:t>ה</w:t>
      </w:r>
      <w:r w:rsidRPr="00CF4EDB">
        <w:rPr>
          <w:rFonts w:hint="cs"/>
          <w:rtl/>
        </w:rPr>
        <w:t>צ</w:t>
      </w:r>
      <w:r>
        <w:rPr>
          <w:rFonts w:hint="cs"/>
          <w:rtl/>
        </w:rPr>
        <w:t>ט</w:t>
      </w:r>
      <w:r w:rsidRPr="00CF4EDB">
        <w:rPr>
          <w:rFonts w:hint="cs"/>
          <w:rtl/>
        </w:rPr>
        <w:t xml:space="preserve">ברו במגזר הציבורי במדינת ישראל לקחים מניהול ההתקשרויות בפרויקטי </w:t>
      </w:r>
      <w:r w:rsidRPr="00CF4EDB">
        <w:rPr>
          <w:rFonts w:hint="cs"/>
        </w:rPr>
        <w:t>PPP</w:t>
      </w:r>
      <w:r>
        <w:rPr>
          <w:rFonts w:hint="cs"/>
          <w:rtl/>
        </w:rPr>
        <w:t>,</w:t>
      </w:r>
      <w:r w:rsidRPr="00CF4EDB">
        <w:rPr>
          <w:rFonts w:hint="cs"/>
          <w:rtl/>
        </w:rPr>
        <w:t xml:space="preserve"> </w:t>
      </w:r>
      <w:r>
        <w:rPr>
          <w:rFonts w:hint="cs"/>
          <w:rtl/>
        </w:rPr>
        <w:t xml:space="preserve">ולקחים אלה </w:t>
      </w:r>
      <w:r w:rsidRPr="00CF4EDB">
        <w:rPr>
          <w:rFonts w:hint="cs"/>
          <w:rtl/>
        </w:rPr>
        <w:t xml:space="preserve">הוטמעו בהליכי התכנון, בעריכת המכרזים ובהקצאת הסיכונים בין הצדדים. </w:t>
      </w:r>
      <w:r>
        <w:rPr>
          <w:rFonts w:hint="cs"/>
          <w:rtl/>
        </w:rPr>
        <w:t>ה</w:t>
      </w:r>
      <w:r w:rsidRPr="00CF4EDB">
        <w:rPr>
          <w:rFonts w:hint="cs"/>
          <w:rtl/>
        </w:rPr>
        <w:t xml:space="preserve">גידול בהיקף הפרויקטים שבוצעו במתווה של </w:t>
      </w:r>
      <w:r w:rsidRPr="00CF4EDB">
        <w:rPr>
          <w:rFonts w:hint="cs"/>
        </w:rPr>
        <w:t>PPP</w:t>
      </w:r>
      <w:r w:rsidRPr="00CF4EDB">
        <w:rPr>
          <w:rFonts w:hint="cs"/>
          <w:rtl/>
        </w:rPr>
        <w:t xml:space="preserve"> בעולם הוביל לתובנות חדשות בקרב גופים ציבוריים ממגוון מדינות ו</w:t>
      </w:r>
      <w:r>
        <w:rPr>
          <w:rFonts w:hint="cs"/>
          <w:rtl/>
        </w:rPr>
        <w:t>ב</w:t>
      </w:r>
      <w:r w:rsidRPr="00CF4EDB">
        <w:rPr>
          <w:rFonts w:hint="cs"/>
          <w:rtl/>
        </w:rPr>
        <w:t>ארגונים בי</w:t>
      </w:r>
      <w:r>
        <w:rPr>
          <w:rFonts w:hint="cs"/>
          <w:rtl/>
        </w:rPr>
        <w:t>ן-</w:t>
      </w:r>
      <w:r w:rsidRPr="00CF4EDB">
        <w:rPr>
          <w:rFonts w:hint="cs"/>
          <w:rtl/>
        </w:rPr>
        <w:t>לאומיים</w:t>
      </w:r>
      <w:r>
        <w:rPr>
          <w:rStyle w:val="FootnoteReference"/>
          <w:rtl/>
        </w:rPr>
        <w:footnoteReference w:id="150"/>
      </w:r>
      <w:r w:rsidRPr="00CF4EDB">
        <w:rPr>
          <w:rFonts w:hint="cs"/>
          <w:rtl/>
        </w:rPr>
        <w:t xml:space="preserve"> לעריכת חוזי הזיכיון</w:t>
      </w:r>
      <w:r>
        <w:rPr>
          <w:rFonts w:hint="cs"/>
          <w:rtl/>
        </w:rPr>
        <w:t xml:space="preserve"> ולניהולם</w:t>
      </w:r>
      <w:r w:rsidRPr="00CF4EDB">
        <w:rPr>
          <w:rFonts w:hint="cs"/>
          <w:rtl/>
        </w:rPr>
        <w:t xml:space="preserve"> בהתבסס על </w:t>
      </w:r>
      <w:r>
        <w:rPr>
          <w:rFonts w:hint="cs"/>
          <w:rtl/>
        </w:rPr>
        <w:t>ה</w:t>
      </w:r>
      <w:r w:rsidRPr="00CF4EDB">
        <w:rPr>
          <w:rFonts w:hint="cs"/>
          <w:rtl/>
        </w:rPr>
        <w:t>ניסיון שנצבר</w:t>
      </w:r>
      <w:r>
        <w:rPr>
          <w:rFonts w:hint="cs"/>
          <w:rtl/>
        </w:rPr>
        <w:t>, והוא</w:t>
      </w:r>
      <w:r w:rsidRPr="00CF4EDB">
        <w:rPr>
          <w:rFonts w:hint="cs"/>
          <w:rtl/>
        </w:rPr>
        <w:t xml:space="preserve"> עשוי להוביל לייעול תהליך ההתקשרות במתווה של </w:t>
      </w:r>
      <w:r w:rsidRPr="00CF4EDB">
        <w:rPr>
          <w:rFonts w:hint="cs"/>
        </w:rPr>
        <w:t>PPP</w:t>
      </w:r>
      <w:r w:rsidRPr="00CF4EDB">
        <w:rPr>
          <w:rFonts w:hint="cs"/>
          <w:rtl/>
        </w:rPr>
        <w:t>. תובנות אלו כוללות הטמעת מנגנונים ליישוב סכסוכים, ביצוע בחינות כלכליות לקביעת נחיצות</w:t>
      </w:r>
      <w:r>
        <w:rPr>
          <w:rFonts w:hint="cs"/>
          <w:rtl/>
        </w:rPr>
        <w:t>ם של</w:t>
      </w:r>
      <w:r w:rsidRPr="00CF4EDB">
        <w:rPr>
          <w:rFonts w:hint="cs"/>
          <w:rtl/>
        </w:rPr>
        <w:t xml:space="preserve"> שירותי תפעול פוטנציאל</w:t>
      </w:r>
      <w:r>
        <w:rPr>
          <w:rFonts w:hint="cs"/>
          <w:rtl/>
        </w:rPr>
        <w:t>י</w:t>
      </w:r>
      <w:r w:rsidRPr="00CF4EDB">
        <w:rPr>
          <w:rFonts w:hint="cs"/>
          <w:rtl/>
        </w:rPr>
        <w:t xml:space="preserve">ים ובחינת שותפות מקוצרת עבור חלקם, הגדרת לוחות זמנים לביצוע עדכונים טכנולוגיים, יצירת כלים להתמודדות עם אירועים </w:t>
      </w:r>
      <w:r>
        <w:rPr>
          <w:rFonts w:hint="cs"/>
          <w:rtl/>
        </w:rPr>
        <w:t>בלתי</w:t>
      </w:r>
      <w:r w:rsidRPr="00CF4EDB">
        <w:rPr>
          <w:rFonts w:hint="cs"/>
          <w:rtl/>
        </w:rPr>
        <w:t xml:space="preserve"> צפויים</w:t>
      </w:r>
      <w:r>
        <w:rPr>
          <w:rFonts w:hint="cs"/>
          <w:rtl/>
        </w:rPr>
        <w:t>, הגדרת מדדי השירות ושיפור פעולות הפיקוח והבקרה.</w:t>
      </w:r>
    </w:p>
    <w:p w14:paraId="094C2469" w14:textId="44243865" w:rsidR="00823E3A" w:rsidRDefault="00823E3A" w:rsidP="009438FA">
      <w:pPr>
        <w:pStyle w:val="100"/>
        <w:rPr>
          <w:rtl/>
        </w:rPr>
      </w:pPr>
      <w:r>
        <w:rPr>
          <w:rFonts w:hint="cs"/>
          <w:rtl/>
        </w:rPr>
        <w:t xml:space="preserve">חוזי התקשרות עם המגזר הפרטי בשיטת </w:t>
      </w:r>
      <w:r>
        <w:rPr>
          <w:rFonts w:hint="cs"/>
        </w:rPr>
        <w:t>PPP</w:t>
      </w:r>
      <w:r>
        <w:rPr>
          <w:rFonts w:hint="cs"/>
          <w:rtl/>
        </w:rPr>
        <w:t xml:space="preserve"> שונים מחוזים ממשלתיים תקציביים. התקשרות במתווה של שותפות ארוכת-שנים כרוכה בעריכת חוזים מורכבים המבטאים את צורכי הצדדים. מצבים רבים אינם ניתנים לחיזוי ומונעים את האפשרות להגדיר את הדרישות והכללים עבור כל מקרה, ולכן עלולות להתעורר מחלוקות בשל פרשנות שונה של סעיפי החוזה או על מידת קיומו בידי הצדדים.</w:t>
      </w:r>
    </w:p>
    <w:p w14:paraId="0A38947E" w14:textId="22B7E8DB" w:rsidR="00823E3A" w:rsidRDefault="00823E3A" w:rsidP="009438FA">
      <w:pPr>
        <w:pStyle w:val="414"/>
        <w:rPr>
          <w:rtl/>
        </w:rPr>
      </w:pPr>
      <w:r>
        <w:rPr>
          <w:rFonts w:hint="cs"/>
          <w:rtl/>
        </w:rPr>
        <w:lastRenderedPageBreak/>
        <w:t>מנגנון ליישוב סכסוכים ולהלאמת פרויקטים</w:t>
      </w:r>
    </w:p>
    <w:p w14:paraId="5D2FBFFD" w14:textId="5DFF988F" w:rsidR="00823E3A" w:rsidRDefault="00823E3A" w:rsidP="009438FA">
      <w:pPr>
        <w:pStyle w:val="100"/>
        <w:rPr>
          <w:rtl/>
        </w:rPr>
      </w:pPr>
      <w:r>
        <w:rPr>
          <w:rFonts w:hint="cs"/>
          <w:rtl/>
        </w:rPr>
        <w:t xml:space="preserve">אף שלא ניתן להימנע ממחלוקות בין המדינה לבין הזכיינים, ניתן לנהלן בדרך נכונה. מדריך הבנק העולמי משנת 2017 לניהול חוזי </w:t>
      </w:r>
      <w:r>
        <w:rPr>
          <w:rFonts w:hint="cs"/>
        </w:rPr>
        <w:t>PPP</w:t>
      </w:r>
      <w:r>
        <w:rPr>
          <w:rFonts w:hint="cs"/>
          <w:rtl/>
        </w:rPr>
        <w:t xml:space="preserve"> מדגיש את הצורך ביישום מנגנון ניהול גמיש ובפיתוח מיומנויות וכלים שיאפשרו להתמודד עם שינויים לאורך חיי הפרויקט, לרבות </w:t>
      </w:r>
      <w:r w:rsidRPr="005909A1">
        <w:rPr>
          <w:rtl/>
        </w:rPr>
        <w:t xml:space="preserve">מנגנוני התאמה </w:t>
      </w:r>
      <w:r>
        <w:rPr>
          <w:rFonts w:hint="cs"/>
          <w:rtl/>
        </w:rPr>
        <w:t>עבור</w:t>
      </w:r>
      <w:r w:rsidRPr="005909A1">
        <w:rPr>
          <w:rtl/>
        </w:rPr>
        <w:t xml:space="preserve"> </w:t>
      </w:r>
      <w:r>
        <w:rPr>
          <w:rFonts w:hint="cs"/>
          <w:rtl/>
        </w:rPr>
        <w:t>ה</w:t>
      </w:r>
      <w:r w:rsidRPr="005909A1">
        <w:rPr>
          <w:rtl/>
        </w:rPr>
        <w:t xml:space="preserve">סוגים השכיחים של </w:t>
      </w:r>
      <w:r>
        <w:rPr>
          <w:rFonts w:hint="cs"/>
          <w:rtl/>
        </w:rPr>
        <w:t>ה</w:t>
      </w:r>
      <w:r w:rsidRPr="005909A1">
        <w:rPr>
          <w:rtl/>
        </w:rPr>
        <w:t>שינו</w:t>
      </w:r>
      <w:r>
        <w:rPr>
          <w:rFonts w:hint="cs"/>
          <w:rtl/>
        </w:rPr>
        <w:t>י</w:t>
      </w:r>
      <w:r w:rsidRPr="005909A1">
        <w:rPr>
          <w:rtl/>
        </w:rPr>
        <w:t>י</w:t>
      </w:r>
      <w:r>
        <w:rPr>
          <w:rFonts w:hint="cs"/>
          <w:rtl/>
        </w:rPr>
        <w:t>ם</w:t>
      </w:r>
      <w:r>
        <w:rPr>
          <w:rtl/>
        </w:rPr>
        <w:t xml:space="preserve"> </w:t>
      </w:r>
      <w:r>
        <w:rPr>
          <w:rFonts w:hint="cs"/>
          <w:rtl/>
        </w:rPr>
        <w:t>ה</w:t>
      </w:r>
      <w:r>
        <w:rPr>
          <w:rtl/>
        </w:rPr>
        <w:t>בלתי צפוי</w:t>
      </w:r>
      <w:r>
        <w:rPr>
          <w:rFonts w:hint="cs"/>
          <w:rtl/>
        </w:rPr>
        <w:t>ים ומנגנון לפתרון סכסוכים</w:t>
      </w:r>
      <w:r>
        <w:rPr>
          <w:rStyle w:val="FootnoteReference"/>
          <w:rtl/>
        </w:rPr>
        <w:footnoteReference w:id="151"/>
      </w:r>
      <w:r w:rsidRPr="00637CA6">
        <w:rPr>
          <w:rtl/>
        </w:rPr>
        <w:t>.</w:t>
      </w:r>
    </w:p>
    <w:p w14:paraId="751CF69A" w14:textId="7922D69E" w:rsidR="00823E3A" w:rsidRDefault="00823E3A" w:rsidP="009438FA">
      <w:pPr>
        <w:pStyle w:val="100"/>
        <w:rPr>
          <w:rtl/>
        </w:rPr>
      </w:pPr>
      <w:r>
        <w:rPr>
          <w:rtl/>
        </w:rPr>
        <w:t xml:space="preserve">הגדרת </w:t>
      </w:r>
      <w:r>
        <w:rPr>
          <w:rFonts w:hint="cs"/>
          <w:rtl/>
        </w:rPr>
        <w:t>ה</w:t>
      </w:r>
      <w:r>
        <w:rPr>
          <w:rtl/>
        </w:rPr>
        <w:t xml:space="preserve">תהליך </w:t>
      </w:r>
      <w:r>
        <w:rPr>
          <w:rFonts w:hint="cs"/>
          <w:rtl/>
        </w:rPr>
        <w:t>ל</w:t>
      </w:r>
      <w:r>
        <w:rPr>
          <w:rtl/>
        </w:rPr>
        <w:t xml:space="preserve">יישוב סכסוכים </w:t>
      </w:r>
      <w:r>
        <w:rPr>
          <w:rFonts w:hint="cs"/>
          <w:rtl/>
        </w:rPr>
        <w:t>נועדה</w:t>
      </w:r>
      <w:r w:rsidRPr="00D36863">
        <w:rPr>
          <w:rtl/>
        </w:rPr>
        <w:t xml:space="preserve"> להבטיח </w:t>
      </w:r>
      <w:r>
        <w:rPr>
          <w:rFonts w:hint="cs"/>
          <w:rtl/>
        </w:rPr>
        <w:t>פתרון מהיר ויעיל של המחלוקות, ב</w:t>
      </w:r>
      <w:r w:rsidRPr="00D36863">
        <w:rPr>
          <w:rtl/>
        </w:rPr>
        <w:t xml:space="preserve">לא </w:t>
      </w:r>
      <w:r>
        <w:rPr>
          <w:rFonts w:hint="cs"/>
          <w:rtl/>
        </w:rPr>
        <w:t>לפגוע בטיב ה</w:t>
      </w:r>
      <w:r w:rsidRPr="00D36863">
        <w:rPr>
          <w:rtl/>
        </w:rPr>
        <w:t xml:space="preserve">שירות. </w:t>
      </w:r>
      <w:r>
        <w:rPr>
          <w:rFonts w:hint="cs"/>
          <w:rtl/>
        </w:rPr>
        <w:t xml:space="preserve">מדריך הבנק העולמי מדגיש כי ניתן להגדיר מנגנונים שונים ליישוב סכסוכים </w:t>
      </w:r>
      <w:r>
        <w:rPr>
          <w:rtl/>
        </w:rPr>
        <w:t>בחוז</w:t>
      </w:r>
      <w:r>
        <w:rPr>
          <w:rFonts w:hint="cs"/>
          <w:rtl/>
        </w:rPr>
        <w:t>י הזיכיון,</w:t>
      </w:r>
      <w:r w:rsidRPr="00D36863">
        <w:rPr>
          <w:rtl/>
        </w:rPr>
        <w:t xml:space="preserve"> בכלים בי</w:t>
      </w:r>
      <w:r>
        <w:rPr>
          <w:rFonts w:hint="cs"/>
          <w:rtl/>
        </w:rPr>
        <w:t>ן-</w:t>
      </w:r>
      <w:r w:rsidRPr="00D36863">
        <w:rPr>
          <w:rtl/>
        </w:rPr>
        <w:t>לאומיים</w:t>
      </w:r>
      <w:r>
        <w:rPr>
          <w:rStyle w:val="FootnoteReference"/>
          <w:rtl/>
        </w:rPr>
        <w:footnoteReference w:id="152"/>
      </w:r>
      <w:r w:rsidRPr="00D36863">
        <w:rPr>
          <w:rtl/>
        </w:rPr>
        <w:t xml:space="preserve"> </w:t>
      </w:r>
      <w:r>
        <w:rPr>
          <w:rtl/>
        </w:rPr>
        <w:t xml:space="preserve">או בחקיקה מקומית </w:t>
      </w:r>
      <w:r>
        <w:rPr>
          <w:rFonts w:hint="cs"/>
          <w:rtl/>
        </w:rPr>
        <w:t>ייעודית לחוזי</w:t>
      </w:r>
      <w:r w:rsidRPr="00D36863">
        <w:rPr>
          <w:rtl/>
        </w:rPr>
        <w:t xml:space="preserve"> </w:t>
      </w:r>
      <w:r w:rsidRPr="00D36863">
        <w:t>PPP</w:t>
      </w:r>
      <w:r>
        <w:rPr>
          <w:rStyle w:val="FootnoteReference"/>
          <w:rtl/>
        </w:rPr>
        <w:footnoteReference w:id="153"/>
      </w:r>
      <w:r>
        <w:rPr>
          <w:rFonts w:hint="cs"/>
          <w:rtl/>
        </w:rPr>
        <w:t>.</w:t>
      </w:r>
    </w:p>
    <w:p w14:paraId="321666D4" w14:textId="01DC4B97" w:rsidR="00823E3A" w:rsidRDefault="00823E3A" w:rsidP="009438FA">
      <w:pPr>
        <w:pStyle w:val="100"/>
        <w:rPr>
          <w:rtl/>
        </w:rPr>
      </w:pPr>
      <w:r>
        <w:rPr>
          <w:rFonts w:hint="cs"/>
          <w:rtl/>
        </w:rPr>
        <w:t xml:space="preserve">עוד מציין המדריך כי </w:t>
      </w:r>
      <w:r w:rsidRPr="00760A4B">
        <w:rPr>
          <w:rtl/>
        </w:rPr>
        <w:t xml:space="preserve">התמקדות במציאת פתרונות מעשיים במהירות, </w:t>
      </w:r>
      <w:r>
        <w:rPr>
          <w:rFonts w:hint="cs"/>
          <w:rtl/>
        </w:rPr>
        <w:t>תוך התחשבות</w:t>
      </w:r>
      <w:r w:rsidRPr="00760A4B">
        <w:rPr>
          <w:rtl/>
        </w:rPr>
        <w:t xml:space="preserve"> בעמדת הצד השני, </w:t>
      </w:r>
      <w:r>
        <w:rPr>
          <w:rFonts w:hint="cs"/>
          <w:rtl/>
        </w:rPr>
        <w:t xml:space="preserve">עשויה להניב </w:t>
      </w:r>
      <w:r w:rsidRPr="00760A4B">
        <w:rPr>
          <w:rtl/>
        </w:rPr>
        <w:t xml:space="preserve">תוצאות חיוביות </w:t>
      </w:r>
      <w:r>
        <w:rPr>
          <w:rFonts w:hint="cs"/>
          <w:rtl/>
        </w:rPr>
        <w:t>ב</w:t>
      </w:r>
      <w:r>
        <w:rPr>
          <w:rtl/>
        </w:rPr>
        <w:t>פת</w:t>
      </w:r>
      <w:r>
        <w:rPr>
          <w:rFonts w:hint="cs"/>
          <w:rtl/>
        </w:rPr>
        <w:t>רון</w:t>
      </w:r>
      <w:r w:rsidRPr="00760A4B">
        <w:rPr>
          <w:rtl/>
        </w:rPr>
        <w:t xml:space="preserve"> </w:t>
      </w:r>
      <w:r>
        <w:rPr>
          <w:rFonts w:hint="cs"/>
          <w:rtl/>
        </w:rPr>
        <w:t>ה</w:t>
      </w:r>
      <w:r>
        <w:rPr>
          <w:rtl/>
        </w:rPr>
        <w:t>מחלוקות</w:t>
      </w:r>
      <w:r>
        <w:rPr>
          <w:rFonts w:hint="cs"/>
          <w:rtl/>
        </w:rPr>
        <w:t>. עם זאת</w:t>
      </w:r>
      <w:r w:rsidRPr="00760A4B">
        <w:rPr>
          <w:rtl/>
        </w:rPr>
        <w:t xml:space="preserve"> </w:t>
      </w:r>
      <w:r>
        <w:rPr>
          <w:rFonts w:hint="cs"/>
          <w:rtl/>
        </w:rPr>
        <w:t>פעמים רבות המגזר הציבורי</w:t>
      </w:r>
      <w:r>
        <w:rPr>
          <w:rtl/>
        </w:rPr>
        <w:t xml:space="preserve"> </w:t>
      </w:r>
      <w:r>
        <w:rPr>
          <w:rFonts w:hint="cs"/>
          <w:rtl/>
        </w:rPr>
        <w:t xml:space="preserve">אינו פועל לאיתור </w:t>
      </w:r>
      <w:r>
        <w:rPr>
          <w:rtl/>
        </w:rPr>
        <w:t>פתרו</w:t>
      </w:r>
      <w:r>
        <w:rPr>
          <w:rFonts w:hint="cs"/>
          <w:rtl/>
        </w:rPr>
        <w:t xml:space="preserve">נות </w:t>
      </w:r>
      <w:r>
        <w:rPr>
          <w:rtl/>
        </w:rPr>
        <w:t xml:space="preserve">באמצעות מנגנונים בלתי פורמליים מסיבות שונות </w:t>
      </w:r>
      <w:r>
        <w:rPr>
          <w:rFonts w:hint="cs"/>
          <w:rtl/>
        </w:rPr>
        <w:t>ונצמד ל</w:t>
      </w:r>
      <w:r w:rsidRPr="00760A4B">
        <w:rPr>
          <w:rtl/>
        </w:rPr>
        <w:t>צעדים הרשמיים המפו</w:t>
      </w:r>
      <w:r>
        <w:rPr>
          <w:rtl/>
        </w:rPr>
        <w:t>רטים בחוז</w:t>
      </w:r>
      <w:r>
        <w:rPr>
          <w:rFonts w:hint="cs"/>
          <w:rtl/>
        </w:rPr>
        <w:t>ים</w:t>
      </w:r>
      <w:r>
        <w:rPr>
          <w:rStyle w:val="FootnoteReference"/>
          <w:rtl/>
        </w:rPr>
        <w:footnoteReference w:id="154"/>
      </w:r>
      <w:r>
        <w:rPr>
          <w:rFonts w:hint="cs"/>
          <w:rtl/>
        </w:rPr>
        <w:t>, ולכן הצדדים עלולים לשאת בעלויות גבוהות במונחי זמן וכסף</w:t>
      </w:r>
      <w:r w:rsidR="009438FA">
        <w:rPr>
          <w:rtl/>
        </w:rPr>
        <w:t>.</w:t>
      </w:r>
    </w:p>
    <w:p w14:paraId="58C948E4" w14:textId="386134B5" w:rsidR="00823E3A" w:rsidRDefault="00823E3A" w:rsidP="009438FA">
      <w:pPr>
        <w:pStyle w:val="100"/>
        <w:rPr>
          <w:rtl/>
        </w:rPr>
      </w:pPr>
      <w:r>
        <w:rPr>
          <w:rFonts w:hint="cs"/>
          <w:rtl/>
        </w:rPr>
        <w:t>דוח מבקר המדינה משנת 2014 המחיש את הצורך ביישום מנגנון סיוע מקצועי ומהיר ליישוב מחלוקות בפרויקט הרכבת הקלה בירושלים</w:t>
      </w:r>
      <w:r>
        <w:rPr>
          <w:rStyle w:val="FootnoteReference"/>
          <w:rtl/>
        </w:rPr>
        <w:footnoteReference w:id="155"/>
      </w:r>
      <w:r>
        <w:rPr>
          <w:rFonts w:hint="cs"/>
          <w:rtl/>
        </w:rPr>
        <w:t>. חילוקי הדעות שהתגלעו בין המדינה לבין הזכיין נדונו בהליך בוררות, שעסק בעיקרו בתביעות הדדיות הנוגעות לנזקים בגין עיכוב ביצוע הפרויקט אשר נאמדו בכמיליארד שקלים מכל צד. פרט למחלוקות תכופות בפרויקט, המלמדות על ניהול בסיסי לקוי של החוזה, "מומחה מקצועי בלתי תלוי" שנועד ליישב את חילוקי הדעות מונה רק במסגרת הליך הבוררות המשפטית ולא קודם לכן כפי שנקבע בחוזה, וחסרונו פגע בתפקוד הפרויקט מאחר שהמחלוקות התעוררו עוד במהלך שלב ההקמה.</w:t>
      </w:r>
    </w:p>
    <w:p w14:paraId="7E8E6795" w14:textId="37839954" w:rsidR="00823E3A" w:rsidRDefault="00823E3A" w:rsidP="009438FA">
      <w:pPr>
        <w:pStyle w:val="100"/>
        <w:rPr>
          <w:rtl/>
        </w:rPr>
      </w:pPr>
      <w:r>
        <w:rPr>
          <w:rFonts w:hint="cs"/>
          <w:rtl/>
        </w:rPr>
        <w:t>חשיבותו של יישום מנגנון לפתרון סכסוכים באה לידי ביטוי גם בשלבי ההתקשרות המוקדמים. דוגמה לכך היא המכרז להקמת כביש 531: הזכיין לא הצליח לעמוד ב</w:t>
      </w:r>
      <w:r w:rsidRPr="00D36863">
        <w:rPr>
          <w:rtl/>
        </w:rPr>
        <w:t xml:space="preserve">תאריך היעד לסגירה הפיננסית </w:t>
      </w:r>
      <w:r>
        <w:rPr>
          <w:rFonts w:hint="cs"/>
          <w:rtl/>
        </w:rPr>
        <w:t xml:space="preserve">על רקע </w:t>
      </w:r>
      <w:r w:rsidRPr="00D36863">
        <w:rPr>
          <w:rtl/>
        </w:rPr>
        <w:t>המשבר הכלכלי</w:t>
      </w:r>
      <w:r>
        <w:rPr>
          <w:rStyle w:val="FootnoteReference"/>
          <w:rtl/>
        </w:rPr>
        <w:footnoteReference w:id="156"/>
      </w:r>
      <w:r w:rsidRPr="00D36863">
        <w:rPr>
          <w:rtl/>
        </w:rPr>
        <w:t xml:space="preserve"> </w:t>
      </w:r>
      <w:r>
        <w:rPr>
          <w:rFonts w:hint="cs"/>
          <w:rtl/>
        </w:rPr>
        <w:t>ש</w:t>
      </w:r>
      <w:r w:rsidRPr="00D36863">
        <w:rPr>
          <w:rtl/>
        </w:rPr>
        <w:t xml:space="preserve">מנע </w:t>
      </w:r>
      <w:r>
        <w:rPr>
          <w:rtl/>
        </w:rPr>
        <w:t>הש</w:t>
      </w:r>
      <w:r w:rsidRPr="00D36863">
        <w:rPr>
          <w:rtl/>
        </w:rPr>
        <w:t>ג</w:t>
      </w:r>
      <w:r>
        <w:rPr>
          <w:rFonts w:hint="cs"/>
          <w:rtl/>
        </w:rPr>
        <w:t>ת</w:t>
      </w:r>
      <w:r>
        <w:rPr>
          <w:rtl/>
        </w:rPr>
        <w:t xml:space="preserve"> </w:t>
      </w:r>
      <w:r w:rsidRPr="00D36863">
        <w:rPr>
          <w:rtl/>
        </w:rPr>
        <w:t xml:space="preserve">מימון לפרויקט. המדינה </w:t>
      </w:r>
      <w:r>
        <w:rPr>
          <w:rFonts w:hint="cs"/>
          <w:rtl/>
        </w:rPr>
        <w:t xml:space="preserve">מצידה </w:t>
      </w:r>
      <w:r w:rsidRPr="00D36863">
        <w:rPr>
          <w:rtl/>
        </w:rPr>
        <w:t xml:space="preserve">סירבה להתפשר והחליטה להלאים את הפרויקט ולהפקידו בידי </w:t>
      </w:r>
      <w:r>
        <w:rPr>
          <w:rFonts w:hint="cs"/>
          <w:rtl/>
        </w:rPr>
        <w:t>חברה ממשלתית, והיא פיצלה את ההקמה</w:t>
      </w:r>
      <w:r w:rsidRPr="00C225D7">
        <w:rPr>
          <w:rtl/>
        </w:rPr>
        <w:t xml:space="preserve"> </w:t>
      </w:r>
      <w:r>
        <w:rPr>
          <w:rFonts w:hint="cs"/>
          <w:rtl/>
        </w:rPr>
        <w:t xml:space="preserve">לכמה </w:t>
      </w:r>
      <w:r w:rsidRPr="00C225D7">
        <w:rPr>
          <w:rtl/>
        </w:rPr>
        <w:t xml:space="preserve">פרויקטים </w:t>
      </w:r>
      <w:r>
        <w:rPr>
          <w:rFonts w:hint="cs"/>
          <w:rtl/>
        </w:rPr>
        <w:t>שנוהלו</w:t>
      </w:r>
      <w:r>
        <w:rPr>
          <w:rtl/>
        </w:rPr>
        <w:t xml:space="preserve"> </w:t>
      </w:r>
      <w:r>
        <w:rPr>
          <w:rFonts w:hint="cs"/>
          <w:rtl/>
        </w:rPr>
        <w:t>ב</w:t>
      </w:r>
      <w:r w:rsidRPr="00C225D7">
        <w:rPr>
          <w:rtl/>
        </w:rPr>
        <w:t>מכרז</w:t>
      </w:r>
      <w:r>
        <w:rPr>
          <w:rFonts w:hint="cs"/>
          <w:rtl/>
        </w:rPr>
        <w:t>ים</w:t>
      </w:r>
      <w:r w:rsidRPr="00C225D7">
        <w:rPr>
          <w:rtl/>
        </w:rPr>
        <w:t xml:space="preserve"> נפרד</w:t>
      </w:r>
      <w:r>
        <w:rPr>
          <w:rFonts w:hint="cs"/>
          <w:rtl/>
        </w:rPr>
        <w:t>ים אשר הובילו להתארכותו ולהתייקרותו.</w:t>
      </w:r>
    </w:p>
    <w:p w14:paraId="0D49BCC0" w14:textId="1B3E13E7" w:rsidR="00823E3A" w:rsidRDefault="00823E3A" w:rsidP="009438FA">
      <w:pPr>
        <w:pStyle w:val="af5"/>
        <w:rPr>
          <w:rtl/>
        </w:rPr>
      </w:pPr>
      <w:r>
        <w:rPr>
          <w:rFonts w:hint="cs"/>
          <w:rtl/>
        </w:rPr>
        <w:t>על מנהלי ההתקשרויות לבחון אפשרויות שונות לפתרון סכסוכים עם זכיינים מוקדם ככל הניתן ואף לפני החתימה של הסכם הזיכיון כדי למנוע את התארכות הפרויקטים ולהפחית את עלויותיהם לאורך זמן.</w:t>
      </w:r>
    </w:p>
    <w:p w14:paraId="4625D8B7" w14:textId="680795FD" w:rsidR="00823E3A" w:rsidRDefault="00823E3A" w:rsidP="009438FA">
      <w:pPr>
        <w:pStyle w:val="100"/>
        <w:rPr>
          <w:rtl/>
        </w:rPr>
      </w:pPr>
      <w:r>
        <w:rPr>
          <w:rFonts w:hint="cs"/>
          <w:rtl/>
        </w:rPr>
        <w:lastRenderedPageBreak/>
        <w:t>בתשובתה של חטיבת תשתיות ופרויקטים נאמר כי במסמכי הסטנדרט של החטיבה שולב נספח יישוב סכסוכים שגובש לאחר עבודה משותפת עם משרד המשפטים ואושר בידי היועץ המשפטי לממשלה.</w:t>
      </w:r>
    </w:p>
    <w:p w14:paraId="1CA3E01D" w14:textId="79D470A6" w:rsidR="00823E3A" w:rsidRDefault="00823E3A" w:rsidP="009438FA">
      <w:pPr>
        <w:pStyle w:val="af5"/>
        <w:rPr>
          <w:rtl/>
        </w:rPr>
      </w:pPr>
      <w:r>
        <w:rPr>
          <w:rFonts w:hint="cs"/>
          <w:rtl/>
        </w:rPr>
        <w:t>על מנהלי ההתקשרויות לבחון במשותף את מנגנון יישוב הסכסוכים עם זכיינים שאימצה חטיבת תשתיות ופרויקטים, לבדוק אם הוא מסייע למציאת פתרון מיטבי למחלוקות המתעוררות במהלך ההתקשרויות עם הזכיינים, וליישמו בהתקשרויות של משרדי הממשלה עם המגזר הפרטי.</w:t>
      </w:r>
    </w:p>
    <w:p w14:paraId="13A3C326" w14:textId="24318D53" w:rsidR="00823E3A" w:rsidRPr="000660DA" w:rsidRDefault="00823E3A" w:rsidP="009438FA">
      <w:pPr>
        <w:pStyle w:val="100"/>
        <w:rPr>
          <w:rtl/>
        </w:rPr>
      </w:pPr>
      <w:r>
        <w:rPr>
          <w:rFonts w:hint="cs"/>
          <w:rtl/>
        </w:rPr>
        <w:t>אף שוועדת המכרזים אינה נדרשת לבחון את שיקולי הרווח וההפסד של המציע אלא את מידת רצינותו ואת יכולתו לעמוד בהתחייבויותיו, מחיר נמוך או לוחות זמנים בלתי סבירים ביחס לאומדן של הפרויקט עשויים להצביע על חוסר רצינות ועל כישלון אפשרי</w:t>
      </w:r>
      <w:r>
        <w:rPr>
          <w:rStyle w:val="FootnoteReference"/>
          <w:rtl/>
        </w:rPr>
        <w:footnoteReference w:id="157"/>
      </w:r>
      <w:r>
        <w:rPr>
          <w:rFonts w:hint="cs"/>
          <w:rtl/>
        </w:rPr>
        <w:t>.</w:t>
      </w:r>
    </w:p>
    <w:p w14:paraId="7D8B6E17" w14:textId="6519D463" w:rsidR="00823E3A" w:rsidRDefault="00823E3A" w:rsidP="009438FA">
      <w:pPr>
        <w:pStyle w:val="100"/>
        <w:rPr>
          <w:rtl/>
        </w:rPr>
      </w:pPr>
      <w:r>
        <w:rPr>
          <w:rFonts w:hint="cs"/>
          <w:rtl/>
        </w:rPr>
        <w:t>מרבית</w:t>
      </w:r>
      <w:r>
        <w:rPr>
          <w:rtl/>
        </w:rPr>
        <w:t xml:space="preserve"> הפרויקטים</w:t>
      </w:r>
      <w:r w:rsidRPr="0035637F">
        <w:rPr>
          <w:rtl/>
        </w:rPr>
        <w:t xml:space="preserve"> ב</w:t>
      </w:r>
      <w:r w:rsidRPr="00571BAA">
        <w:rPr>
          <w:rFonts w:hint="eastAsia"/>
          <w:rtl/>
        </w:rPr>
        <w:t>מודל</w:t>
      </w:r>
      <w:r w:rsidRPr="00571BAA">
        <w:rPr>
          <w:rtl/>
        </w:rPr>
        <w:t xml:space="preserve"> </w:t>
      </w:r>
      <w:r w:rsidRPr="00571BAA">
        <w:rPr>
          <w:rFonts w:hint="eastAsia"/>
          <w:rtl/>
        </w:rPr>
        <w:t>ה</w:t>
      </w:r>
      <w:r w:rsidRPr="00571BAA">
        <w:rPr>
          <w:rtl/>
        </w:rPr>
        <w:t>-</w:t>
      </w:r>
      <w:r w:rsidRPr="00571BAA">
        <w:t>PPP</w:t>
      </w:r>
      <w:r w:rsidRPr="00571BAA">
        <w:rPr>
          <w:rtl/>
        </w:rPr>
        <w:t xml:space="preserve"> </w:t>
      </w:r>
      <w:r w:rsidRPr="00571BAA">
        <w:rPr>
          <w:rFonts w:hint="eastAsia"/>
          <w:rtl/>
        </w:rPr>
        <w:t>ששלב</w:t>
      </w:r>
      <w:r w:rsidRPr="00571BAA">
        <w:rPr>
          <w:rtl/>
        </w:rPr>
        <w:t xml:space="preserve"> </w:t>
      </w:r>
      <w:r w:rsidRPr="00571BAA">
        <w:rPr>
          <w:rFonts w:hint="eastAsia"/>
          <w:rtl/>
        </w:rPr>
        <w:t>הקמתם</w:t>
      </w:r>
      <w:r w:rsidRPr="00571BAA">
        <w:rPr>
          <w:rtl/>
        </w:rPr>
        <w:t xml:space="preserve"> </w:t>
      </w:r>
      <w:r w:rsidRPr="00571BAA">
        <w:rPr>
          <w:rFonts w:hint="eastAsia"/>
          <w:rtl/>
        </w:rPr>
        <w:t>הושלם</w:t>
      </w:r>
      <w:r>
        <w:rPr>
          <w:rFonts w:hint="cs"/>
          <w:rtl/>
        </w:rPr>
        <w:t xml:space="preserve"> אכן</w:t>
      </w:r>
      <w:r w:rsidRPr="00571BAA">
        <w:rPr>
          <w:rtl/>
        </w:rPr>
        <w:t xml:space="preserve"> </w:t>
      </w:r>
      <w:r w:rsidRPr="00571BAA">
        <w:rPr>
          <w:rFonts w:hint="eastAsia"/>
          <w:rtl/>
        </w:rPr>
        <w:t>בוצעו</w:t>
      </w:r>
      <w:r>
        <w:rPr>
          <w:rFonts w:hint="cs"/>
          <w:rtl/>
        </w:rPr>
        <w:t xml:space="preserve"> לבסוף</w:t>
      </w:r>
      <w:r w:rsidRPr="00571BAA">
        <w:rPr>
          <w:rtl/>
        </w:rPr>
        <w:t xml:space="preserve"> </w:t>
      </w:r>
      <w:r>
        <w:rPr>
          <w:rFonts w:hint="cs"/>
          <w:rtl/>
        </w:rPr>
        <w:t>על פי ה</w:t>
      </w:r>
      <w:r w:rsidRPr="00571BAA">
        <w:rPr>
          <w:rFonts w:hint="eastAsia"/>
          <w:rtl/>
        </w:rPr>
        <w:t>מתווה</w:t>
      </w:r>
      <w:r w:rsidRPr="00571BAA">
        <w:rPr>
          <w:rtl/>
        </w:rPr>
        <w:t xml:space="preserve"> </w:t>
      </w:r>
      <w:r w:rsidRPr="00571BAA">
        <w:rPr>
          <w:rFonts w:hint="eastAsia"/>
          <w:rtl/>
        </w:rPr>
        <w:t>שגובש</w:t>
      </w:r>
      <w:r w:rsidRPr="00571BAA">
        <w:rPr>
          <w:rtl/>
        </w:rPr>
        <w:t xml:space="preserve">, </w:t>
      </w:r>
      <w:r w:rsidRPr="00571BAA">
        <w:rPr>
          <w:rFonts w:hint="eastAsia"/>
          <w:rtl/>
        </w:rPr>
        <w:t>אולם</w:t>
      </w:r>
      <w:r w:rsidRPr="00571BAA">
        <w:rPr>
          <w:rtl/>
        </w:rPr>
        <w:t xml:space="preserve"> פרויקטים </w:t>
      </w:r>
      <w:r>
        <w:rPr>
          <w:rFonts w:hint="cs"/>
          <w:rtl/>
        </w:rPr>
        <w:t xml:space="preserve">אחדים לא בוצעו </w:t>
      </w:r>
      <w:r w:rsidRPr="00571BAA">
        <w:rPr>
          <w:rFonts w:hint="eastAsia"/>
          <w:rtl/>
        </w:rPr>
        <w:t>כמתוכנן</w:t>
      </w:r>
      <w:r w:rsidRPr="00571BAA">
        <w:rPr>
          <w:rtl/>
        </w:rPr>
        <w:t xml:space="preserve"> במתווה. </w:t>
      </w:r>
      <w:r w:rsidRPr="00571BAA">
        <w:rPr>
          <w:rFonts w:hint="cs"/>
          <w:rtl/>
        </w:rPr>
        <w:t>פרויקט הקו האדום להקמת הרכבת הקלה בתל</w:t>
      </w:r>
      <w:r>
        <w:rPr>
          <w:rFonts w:hint="cs"/>
          <w:rtl/>
        </w:rPr>
        <w:t>-</w:t>
      </w:r>
      <w:r w:rsidRPr="00571BAA">
        <w:rPr>
          <w:rFonts w:hint="cs"/>
          <w:rtl/>
        </w:rPr>
        <w:t xml:space="preserve">אביב הולאם לאחר שנבחר זכיין במכרז. פסק הבוררות משנת 2015 קבע כי הזכייה במכרז התבססה על הצעה </w:t>
      </w:r>
      <w:r>
        <w:rPr>
          <w:rFonts w:hint="cs"/>
          <w:rtl/>
        </w:rPr>
        <w:t xml:space="preserve">חסרת </w:t>
      </w:r>
      <w:r w:rsidRPr="00571BAA">
        <w:rPr>
          <w:rFonts w:hint="cs"/>
          <w:rtl/>
        </w:rPr>
        <w:t>היתכנות מסחרית ולכן נדונה מראש לכישלון</w:t>
      </w:r>
      <w:r>
        <w:rPr>
          <w:rStyle w:val="FootnoteReference"/>
          <w:rtl/>
        </w:rPr>
        <w:footnoteReference w:id="158"/>
      </w:r>
      <w:r w:rsidRPr="00571BAA">
        <w:rPr>
          <w:rFonts w:hint="cs"/>
          <w:rtl/>
        </w:rPr>
        <w:t>.</w:t>
      </w:r>
      <w:r w:rsidRPr="00F66A52">
        <w:rPr>
          <w:rFonts w:hint="cs"/>
          <w:rtl/>
        </w:rPr>
        <w:t xml:space="preserve"> פרויקט אחר שכשל הוא מתקן ההתפלה באשדוד שסבל בעיקר מכשלים טכניים, </w:t>
      </w:r>
      <w:r>
        <w:rPr>
          <w:rFonts w:hint="cs"/>
          <w:rtl/>
        </w:rPr>
        <w:t>מ</w:t>
      </w:r>
      <w:r w:rsidRPr="00F66A52">
        <w:rPr>
          <w:rFonts w:hint="cs"/>
          <w:rtl/>
        </w:rPr>
        <w:t>פערים</w:t>
      </w:r>
      <w:r w:rsidRPr="006159F1">
        <w:rPr>
          <w:rFonts w:hint="cs"/>
          <w:rtl/>
        </w:rPr>
        <w:t xml:space="preserve"> בקביעת מחיר</w:t>
      </w:r>
      <w:r>
        <w:rPr>
          <w:rFonts w:hint="cs"/>
          <w:rtl/>
        </w:rPr>
        <w:t xml:space="preserve"> המים המותפלים ומלוחות זמנים שלא עמדו במבחן המציאות. כל אלה הובילו לרישום הפסדי בגין הפרויקט ולפגיעה במשק המים.</w:t>
      </w:r>
    </w:p>
    <w:p w14:paraId="737B015B" w14:textId="30AC043D" w:rsidR="00823E3A" w:rsidRPr="00AE43E8" w:rsidRDefault="00823E3A" w:rsidP="009438FA">
      <w:pPr>
        <w:pStyle w:val="100"/>
        <w:rPr>
          <w:rtl/>
        </w:rPr>
      </w:pPr>
      <w:r>
        <w:rPr>
          <w:rFonts w:hint="cs"/>
          <w:rtl/>
        </w:rPr>
        <w:t xml:space="preserve">בתשובתה של חטיבת תשתיות ופרויקטים נמסר כי כל ועדה בוחנת את ישימות ההצעות תוך בדיקת כלל מרכיבי הפרויקט, ואלה משתקפים בקביעת ניקוד האיכות של כל הצעה. משום כך </w:t>
      </w:r>
      <w:r w:rsidRPr="00AE43E8">
        <w:rPr>
          <w:rFonts w:hint="cs"/>
          <w:rtl/>
        </w:rPr>
        <w:t>הוועדות מוכנות לבחור בהצעות שעלותן גבוהה יותר ובלבד שיהיו בעלות סיכוי רב לישימות.</w:t>
      </w:r>
    </w:p>
    <w:p w14:paraId="1EA0A632" w14:textId="522B7153" w:rsidR="00823E3A" w:rsidRPr="009438FA" w:rsidRDefault="00823E3A" w:rsidP="009438FA">
      <w:pPr>
        <w:pStyle w:val="af5"/>
        <w:rPr>
          <w:rtl/>
        </w:rPr>
      </w:pPr>
      <w:r w:rsidRPr="00AE43E8">
        <w:rPr>
          <w:rFonts w:hint="cs"/>
          <w:rtl/>
        </w:rPr>
        <w:t xml:space="preserve"> משרד מבקר המדינה מציין כי לנוכח מקרי העבר בחינה כאמור אינה מספקת, על כן ראוי לחדד לוועדות המכרזים</w:t>
      </w:r>
      <w:r>
        <w:rPr>
          <w:rFonts w:hint="cs"/>
          <w:rtl/>
        </w:rPr>
        <w:t xml:space="preserve"> את ההנחיה לבצע בחינה של רצינות ההצעות ויכולתם של המציעים לעמוד בתקציב ובלוחות הזמנים כפי ש</w:t>
      </w:r>
      <w:r w:rsidRPr="00297A09">
        <w:rPr>
          <w:rFonts w:hint="cs"/>
          <w:rtl/>
        </w:rPr>
        <w:t>התחייבו</w:t>
      </w:r>
      <w:r>
        <w:rPr>
          <w:rFonts w:hint="cs"/>
          <w:rtl/>
        </w:rPr>
        <w:t xml:space="preserve">. בפרט, </w:t>
      </w:r>
      <w:r w:rsidRPr="00297A09">
        <w:rPr>
          <w:rFonts w:hint="cs"/>
          <w:rtl/>
        </w:rPr>
        <w:t xml:space="preserve">במקרים </w:t>
      </w:r>
      <w:r>
        <w:rPr>
          <w:rFonts w:hint="cs"/>
          <w:rtl/>
        </w:rPr>
        <w:t>ש</w:t>
      </w:r>
      <w:r w:rsidRPr="00297A09">
        <w:rPr>
          <w:rFonts w:hint="cs"/>
          <w:rtl/>
        </w:rPr>
        <w:t xml:space="preserve">בהם נמצא פער </w:t>
      </w:r>
      <w:r>
        <w:rPr>
          <w:rFonts w:hint="cs"/>
          <w:rtl/>
        </w:rPr>
        <w:t>של ממש</w:t>
      </w:r>
      <w:r w:rsidRPr="00297A09">
        <w:rPr>
          <w:rFonts w:hint="cs"/>
          <w:rtl/>
        </w:rPr>
        <w:t xml:space="preserve"> </w:t>
      </w:r>
      <w:r>
        <w:rPr>
          <w:rFonts w:hint="cs"/>
          <w:rtl/>
        </w:rPr>
        <w:t xml:space="preserve">בין </w:t>
      </w:r>
      <w:r w:rsidRPr="00297A09">
        <w:rPr>
          <w:rFonts w:hint="cs"/>
          <w:rtl/>
        </w:rPr>
        <w:t>האומדנים</w:t>
      </w:r>
      <w:r>
        <w:rPr>
          <w:rFonts w:hint="cs"/>
          <w:rtl/>
        </w:rPr>
        <w:t xml:space="preserve"> להצעות השונות</w:t>
      </w:r>
      <w:r w:rsidRPr="00297A09">
        <w:rPr>
          <w:rFonts w:hint="cs"/>
          <w:rtl/>
        </w:rPr>
        <w:t xml:space="preserve">. כמו כן מוצע לבחון מנגנונים לקביעת מחיר מינימום </w:t>
      </w:r>
      <w:r>
        <w:rPr>
          <w:rFonts w:hint="cs"/>
          <w:rtl/>
        </w:rPr>
        <w:t xml:space="preserve">לפני קיום הליך המכרז </w:t>
      </w:r>
      <w:r w:rsidRPr="00297A09">
        <w:rPr>
          <w:rFonts w:hint="cs"/>
          <w:rtl/>
        </w:rPr>
        <w:t>בפרויקטים מתאימים.</w:t>
      </w:r>
    </w:p>
    <w:p w14:paraId="1A0058C4" w14:textId="77777777" w:rsidR="00CE0F5D" w:rsidRDefault="00CE0F5D">
      <w:pPr>
        <w:bidi w:val="0"/>
        <w:spacing w:after="200" w:line="276" w:lineRule="auto"/>
        <w:rPr>
          <w:rFonts w:ascii="Tahoma" w:eastAsiaTheme="majorEastAsia" w:hAnsi="Tahoma" w:cs="Tahoma"/>
          <w:b/>
          <w:color w:val="387026"/>
          <w:sz w:val="28"/>
          <w:szCs w:val="28"/>
          <w:rtl/>
        </w:rPr>
      </w:pPr>
      <w:r>
        <w:rPr>
          <w:rtl/>
        </w:rPr>
        <w:br w:type="page"/>
      </w:r>
    </w:p>
    <w:p w14:paraId="141489C2" w14:textId="4E83311F" w:rsidR="00823E3A" w:rsidRPr="004F0E42" w:rsidRDefault="00823E3A" w:rsidP="009438FA">
      <w:pPr>
        <w:pStyle w:val="414"/>
        <w:rPr>
          <w:rtl/>
        </w:rPr>
      </w:pPr>
      <w:r>
        <w:rPr>
          <w:rFonts w:hint="cs"/>
          <w:rtl/>
        </w:rPr>
        <w:lastRenderedPageBreak/>
        <w:t>הכללת שירותים רכים בהסכמי הזיכיון</w:t>
      </w:r>
    </w:p>
    <w:p w14:paraId="5FB6252D" w14:textId="341BEEEF" w:rsidR="00823E3A" w:rsidRDefault="00823E3A" w:rsidP="00881D79">
      <w:pPr>
        <w:pStyle w:val="100"/>
        <w:rPr>
          <w:rtl/>
        </w:rPr>
      </w:pPr>
      <w:r>
        <w:rPr>
          <w:rFonts w:hint="cs"/>
          <w:rtl/>
        </w:rPr>
        <w:t xml:space="preserve">שירותים רכים הם מכלול שירותי התמיכה היום-יומיים הנדרשים להפעלת נכס שאינם בבסיס ההתקשרות, בהם ניקיון, אבטחה, הסעדה, כביסה ודיוור. שירותים אלו מסופקים לרוב באמצעות קבלני משנה המומחים בתחום זה ומחירם נקבע על פי המפרט שהוגדר בחוזי הזיכיון להקמת פרויקטים בשיטת </w:t>
      </w:r>
      <w:r>
        <w:rPr>
          <w:rFonts w:hint="cs"/>
        </w:rPr>
        <w:t>PPP</w:t>
      </w:r>
      <w:r>
        <w:rPr>
          <w:rFonts w:hint="cs"/>
          <w:rtl/>
        </w:rPr>
        <w:t>.</w:t>
      </w:r>
    </w:p>
    <w:p w14:paraId="1577D835" w14:textId="4DD10128" w:rsidR="00823E3A" w:rsidRPr="00533213" w:rsidRDefault="00823E3A" w:rsidP="00881D79">
      <w:pPr>
        <w:pStyle w:val="100"/>
        <w:rPr>
          <w:rtl/>
        </w:rPr>
      </w:pPr>
      <w:r>
        <w:rPr>
          <w:rFonts w:hint="cs"/>
          <w:rtl/>
        </w:rPr>
        <w:t>הכללה של שירותים רכים בהסכם הזיכיון מגדילה את היקף עבודות התפעול המוטלות על הזכיין ותומכת בגישה המרכזת בידי גורם אחד את מלוא האחריות לאורך תקופה ארוכה. עם זאת, הכללה זו מגבילה את המדינה בהתקשרות להספקת שירותים בידי הזכיין, מונעת תחרות בעתיד התורמת לשיפור השירות והופכת את ניהול ההתקשרות למורכב יותר, וזאת בלא שהוכחה יעילותה.</w:t>
      </w:r>
    </w:p>
    <w:p w14:paraId="7E467279" w14:textId="630E0CDB" w:rsidR="00823E3A" w:rsidRDefault="00823E3A" w:rsidP="00881D79">
      <w:pPr>
        <w:pStyle w:val="100"/>
      </w:pPr>
      <w:r>
        <w:rPr>
          <w:rFonts w:hint="cs"/>
          <w:rtl/>
        </w:rPr>
        <w:t xml:space="preserve">במסגרת הרפורמה להתייעלות חוזי </w:t>
      </w:r>
      <w:r>
        <w:rPr>
          <w:rFonts w:hint="cs"/>
        </w:rPr>
        <w:t>PPP</w:t>
      </w:r>
      <w:r>
        <w:rPr>
          <w:rFonts w:hint="cs"/>
          <w:rtl/>
        </w:rPr>
        <w:t xml:space="preserve"> הוחלט בבריטניה בשנת 2012 להסיר את השירותים הרכים מחוזי הזיכיון, למעט בנסיבות חריגות שבהן אומתו היתרונות להכללתם. החלטה זו התקבלה בעקבות ניסיון שלילי שנצבר משילובם של השירותים בפרויקטי התשתית בבריטניה וכדי להגביר את הגמישות בשינוי המפרט לאורך זמן, להקל על מבנה ההתקשרות בהקטנת מידת החיכוך עם המגזר הפרטי ולמנוע הכללה של פרמיית סיכון המקובלת בתמחורם אשר נועדה ל</w:t>
      </w:r>
      <w:r>
        <w:rPr>
          <w:rtl/>
        </w:rPr>
        <w:t>הפחית</w:t>
      </w:r>
      <w:r w:rsidRPr="001753F2">
        <w:rPr>
          <w:rtl/>
        </w:rPr>
        <w:t xml:space="preserve"> את </w:t>
      </w:r>
      <w:r>
        <w:rPr>
          <w:rtl/>
        </w:rPr>
        <w:t>סיכו</w:t>
      </w:r>
      <w:r>
        <w:rPr>
          <w:rFonts w:hint="cs"/>
          <w:rtl/>
        </w:rPr>
        <w:t>ני</w:t>
      </w:r>
      <w:r>
        <w:rPr>
          <w:rtl/>
        </w:rPr>
        <w:t xml:space="preserve"> </w:t>
      </w:r>
      <w:r>
        <w:rPr>
          <w:rFonts w:hint="cs"/>
          <w:rtl/>
        </w:rPr>
        <w:t>ההתקשרות עבור המגזר הפרטי בפרויקט.</w:t>
      </w:r>
    </w:p>
    <w:p w14:paraId="4BDEDC15" w14:textId="5B49221B" w:rsidR="00823E3A" w:rsidRDefault="00823E3A" w:rsidP="00881D79">
      <w:pPr>
        <w:pStyle w:val="100"/>
        <w:rPr>
          <w:rtl/>
        </w:rPr>
      </w:pPr>
      <w:r>
        <w:rPr>
          <w:rFonts w:hint="cs"/>
          <w:rtl/>
        </w:rPr>
        <w:t>על פי הגישה הרווחת בבריטניה, יש להגביל לטווח קצר את הספקת השירותים הרכים ב</w:t>
      </w:r>
      <w:r>
        <w:rPr>
          <w:rtl/>
        </w:rPr>
        <w:t>חוזי</w:t>
      </w:r>
      <w:r>
        <w:rPr>
          <w:rFonts w:hint="cs"/>
          <w:rtl/>
        </w:rPr>
        <w:t xml:space="preserve"> ההתקשרות</w:t>
      </w:r>
      <w:r w:rsidRPr="00AD01EA">
        <w:rPr>
          <w:rtl/>
        </w:rPr>
        <w:t xml:space="preserve"> או </w:t>
      </w:r>
      <w:r>
        <w:rPr>
          <w:rFonts w:hint="cs"/>
          <w:rtl/>
        </w:rPr>
        <w:t xml:space="preserve">לקבוע שיסופקו באמצעות חברות ממשלתיות מחוץ להסכמי הזיכיון. התקשרות לטווח קצר מאפשרת בחינה תקופתית של טיב השירות מול חלופות אחרות באמצעות קיומה של תחרות המיטיבה עם המדינה. יתרה מזו, בבריטניה מקובל לערוך חוזי זיכיון המתירים למנהלי ההתקשרויות </w:t>
      </w:r>
      <w:r w:rsidRPr="00AD01EA">
        <w:rPr>
          <w:rtl/>
        </w:rPr>
        <w:t xml:space="preserve">שיקול דעת </w:t>
      </w:r>
      <w:r>
        <w:rPr>
          <w:rFonts w:hint="cs"/>
          <w:rtl/>
        </w:rPr>
        <w:t>בהוספה של השירותים הרכים או בהסרתם לאורך כל תקופת ההתקשרות, וזאת במחיר שהוסכם מראש וללא התדיינות ממושכת כדי</w:t>
      </w:r>
      <w:r w:rsidRPr="00AD01EA">
        <w:rPr>
          <w:rtl/>
        </w:rPr>
        <w:t xml:space="preserve"> </w:t>
      </w:r>
      <w:r>
        <w:rPr>
          <w:rFonts w:hint="cs"/>
          <w:rtl/>
        </w:rPr>
        <w:t>להבטיח שצורכי הפרויקט יסופקו בכל עת</w:t>
      </w:r>
      <w:r>
        <w:rPr>
          <w:rStyle w:val="FootnoteReference"/>
        </w:rPr>
        <w:footnoteReference w:id="159"/>
      </w:r>
      <w:r>
        <w:rPr>
          <w:rFonts w:hint="cs"/>
          <w:rtl/>
        </w:rPr>
        <w:t>.</w:t>
      </w:r>
    </w:p>
    <w:p w14:paraId="115F878A" w14:textId="7AAFD644" w:rsidR="00823E3A" w:rsidRDefault="00823E3A" w:rsidP="00881D79">
      <w:pPr>
        <w:pStyle w:val="100"/>
        <w:rPr>
          <w:rtl/>
        </w:rPr>
      </w:pPr>
      <w:r>
        <w:rPr>
          <w:rFonts w:hint="cs"/>
          <w:rtl/>
        </w:rPr>
        <w:t>בפרויקט המכללה הלאומית לשוטרים הטיל חוזה הזיכיון על הזכיין אחריות בלעדית לספק שירותי לוגיסטיקה למשתמשי המכללה. בחוזה הזיכיון נכללו שירותים רכים רבים והדבר הוביל למורכבות ההתקשרות. יתרה מזו, לאורך השנים נתן הזכיין פרשנות להגדרתן של הפרות חוזיות בתחום התפעול והתחזוקה, ופרשנותו הייתה שונה מזו של עורכי המכרז.</w:t>
      </w:r>
    </w:p>
    <w:p w14:paraId="51198E87" w14:textId="332507E4" w:rsidR="00823E3A" w:rsidRDefault="00823E3A" w:rsidP="00881D79">
      <w:pPr>
        <w:pStyle w:val="100"/>
        <w:rPr>
          <w:rtl/>
        </w:rPr>
      </w:pPr>
      <w:r>
        <w:rPr>
          <w:rFonts w:hint="cs"/>
          <w:rtl/>
        </w:rPr>
        <w:t>בתשובתה של חטיבת תשתיות ופרויקטים וכן בתשובת משטרת ישראל למשרד מבקר המדינה מדצמבר 2019 (להלן - תשובת משטרת ישראל) נאמר כי הכללת שירותים רכים בחוזה הזיכיון מקנה יתרונות שונים למזמינה, בפרט בהפחתת המחלוקות עם קבלני משנה שונים. ואולם, משרד מבקר המדינה מציין כי לעיתים הכללה גורפת של שירותים רכים בלא לבצע בחינת תועלת פרטנית עלולה לפגוע בתועלות הפרויקט המוקם במתווה ה-</w:t>
      </w:r>
      <w:r>
        <w:rPr>
          <w:rFonts w:hint="cs"/>
        </w:rPr>
        <w:t>PPP</w:t>
      </w:r>
      <w:r>
        <w:rPr>
          <w:rFonts w:hint="cs"/>
          <w:rtl/>
        </w:rPr>
        <w:t xml:space="preserve"> ולעורר נקודות חיכוך ומחלוקות נוספות עם הזכיין. למשל, בפרויקט האמור הופרט בחלקו תחום ההדרכה, ולאחר מכן נמצאו פערים בין הצדדים בנוגע לפרשנות ההסכם והם שפגעו בצרכיה המקצועיים של משטרת ישראל.</w:t>
      </w:r>
    </w:p>
    <w:p w14:paraId="5F4D4C87" w14:textId="2B869683" w:rsidR="00823E3A" w:rsidRDefault="00823E3A" w:rsidP="00881D79">
      <w:pPr>
        <w:pStyle w:val="100"/>
        <w:rPr>
          <w:rtl/>
        </w:rPr>
      </w:pPr>
      <w:r>
        <w:rPr>
          <w:rFonts w:hint="cs"/>
          <w:rtl/>
        </w:rPr>
        <w:lastRenderedPageBreak/>
        <w:t xml:space="preserve">גם בפרויקט קריית ההדרכה של צה"ל בנגב (עיר הבה"דים), שנוהל על ידי משרד הביטחון, הוכללו שירותים רכים רבים בהסכם הזיכיון. עם זאת, במסגרת הליך הפקת הלקחים שערך המשרד הוחלט לבחון זכיינות קצרת-טווח עבור שירותים רכים בפרויקטים הבאים ובמקרים מסוימים על הוצאתם מתכולות הפרויקטים בהתאם ליתרונות היחסיים של המגזר הפרטי ולחלוקת הסיכונים, וזאת כדי להגביר את גמישות ההתקשרות בחוזי </w:t>
      </w:r>
      <w:r>
        <w:rPr>
          <w:rFonts w:hint="cs"/>
        </w:rPr>
        <w:t>PPP</w:t>
      </w:r>
      <w:r>
        <w:rPr>
          <w:rFonts w:hint="cs"/>
          <w:rtl/>
        </w:rPr>
        <w:t xml:space="preserve"> ואת יעילותה.</w:t>
      </w:r>
    </w:p>
    <w:p w14:paraId="25B564AC" w14:textId="1F1EBC22" w:rsidR="00823E3A" w:rsidRPr="00DC2A43" w:rsidRDefault="00823E3A" w:rsidP="00881D79">
      <w:pPr>
        <w:pStyle w:val="100"/>
        <w:rPr>
          <w:rtl/>
        </w:rPr>
      </w:pPr>
      <w:r>
        <w:rPr>
          <w:rFonts w:hint="cs"/>
          <w:rtl/>
        </w:rPr>
        <w:t>בתשובתה של משטרת ישראל נאמר כי ניתן לכלול בהסכמי הזיכיון סעדים בגין הפסקת השירותים מצד הזכיין, למשל השהייתם וביצועם במקומו במקרים שבהם הוא אינו עומד בביצועם באופן הנדרש. במקרים אלה יינתנו השירותים בידי המזמינה או בידי גורם מטעמה, והכול ע</w:t>
      </w:r>
      <w:r w:rsidR="00881D79">
        <w:rPr>
          <w:rFonts w:hint="cs"/>
          <w:rtl/>
        </w:rPr>
        <w:t>ל אחריותו של הזכיין ועל חשבונו.</w:t>
      </w:r>
    </w:p>
    <w:p w14:paraId="53A2C289" w14:textId="7B8D10D6" w:rsidR="00823E3A" w:rsidRPr="00881D79" w:rsidRDefault="00823E3A" w:rsidP="00881D79">
      <w:pPr>
        <w:pStyle w:val="100"/>
        <w:rPr>
          <w:b/>
          <w:bCs/>
          <w:rtl/>
        </w:rPr>
      </w:pPr>
      <w:r>
        <w:rPr>
          <w:rFonts w:hint="cs"/>
          <w:rtl/>
        </w:rPr>
        <w:t xml:space="preserve">עוד נמצא כי הגופים השונים שמנהלים חוזי </w:t>
      </w:r>
      <w:r>
        <w:rPr>
          <w:rFonts w:hint="cs"/>
        </w:rPr>
        <w:t>PPP</w:t>
      </w:r>
      <w:r>
        <w:rPr>
          <w:rFonts w:hint="cs"/>
          <w:rtl/>
        </w:rPr>
        <w:t xml:space="preserve"> מחזיקים בגישות שונות לשילוב השירותים הרכים בחוזי הזיכיון, זאת על אף הדמיון הרב בין הפרויקטים שהם מנהלים בתחום הבינוי. מנהלת הבינוי אינה כוללת שירותים רכים בחוזים, ואילו פרויקטי הבינוי של משרד הביטחון ושל חטיבת תשתיות ופרויקטים כללו שירותים אלו. יתרה מכך, נמצא כי לא נעשית בכל פרויקט בחינה סדורה של התועלת בשילובו של כל אחד מהשירותים הרכים.</w:t>
      </w:r>
    </w:p>
    <w:p w14:paraId="260DD551" w14:textId="77777777" w:rsidR="00823E3A" w:rsidRDefault="00823E3A" w:rsidP="00881D79">
      <w:pPr>
        <w:pStyle w:val="af5"/>
        <w:rPr>
          <w:rtl/>
        </w:rPr>
      </w:pPr>
      <w:r>
        <w:rPr>
          <w:rFonts w:hint="cs"/>
          <w:rtl/>
        </w:rPr>
        <w:t>עולה</w:t>
      </w:r>
      <w:r w:rsidRPr="00A4209E">
        <w:rPr>
          <w:rFonts w:hint="cs"/>
          <w:rtl/>
        </w:rPr>
        <w:t xml:space="preserve"> כי אין מדיניות אחידה</w:t>
      </w:r>
      <w:r>
        <w:rPr>
          <w:rFonts w:hint="cs"/>
          <w:rtl/>
        </w:rPr>
        <w:t xml:space="preserve"> לבחינת התרומה של הכללת שירותים רכים</w:t>
      </w:r>
      <w:r w:rsidRPr="00A4209E">
        <w:rPr>
          <w:rFonts w:hint="cs"/>
          <w:rtl/>
        </w:rPr>
        <w:t xml:space="preserve"> בחוזי הזיכיון</w:t>
      </w:r>
      <w:r>
        <w:rPr>
          <w:rFonts w:hint="cs"/>
          <w:rtl/>
        </w:rPr>
        <w:t>, ואף לא מתבצעות ככלל בחינות פרטניות של התועלת בהכללתם בטרם הוחלט להכלילם.</w:t>
      </w:r>
    </w:p>
    <w:p w14:paraId="248E14B1" w14:textId="3FF2E652" w:rsidR="00823E3A" w:rsidRPr="00881D79" w:rsidRDefault="00823E3A" w:rsidP="00881D79">
      <w:pPr>
        <w:pStyle w:val="af5"/>
        <w:rPr>
          <w:rtl/>
        </w:rPr>
      </w:pPr>
      <w:r w:rsidRPr="00476536">
        <w:rPr>
          <w:rFonts w:hint="cs"/>
          <w:rtl/>
        </w:rPr>
        <w:t xml:space="preserve">על </w:t>
      </w:r>
      <w:r>
        <w:rPr>
          <w:rFonts w:hint="cs"/>
          <w:rtl/>
        </w:rPr>
        <w:t xml:space="preserve">מנהלי ההתקשרויות לבחון את התרומות הגלומות בשילובו של כל אחד מהשירותים הרכים מתוך </w:t>
      </w:r>
      <w:r w:rsidRPr="00476536">
        <w:rPr>
          <w:rFonts w:hint="cs"/>
          <w:rtl/>
        </w:rPr>
        <w:t>היבטי חיסכון, יעילות</w:t>
      </w:r>
      <w:r>
        <w:rPr>
          <w:rFonts w:hint="cs"/>
          <w:rtl/>
        </w:rPr>
        <w:t>, תועלת ומידת הפגיעה בגמישות התפעול לאורך כל תקופת ההתקשרות טרם הכללתו בחוזי הזיכיון. נוכח המורכבות בהפעלת הסעדים הקבועים בהסכם הזיכיון, ראוי לבחון את האפשרות של התקשרות לזמן קצר עם הזכיין ביחס לאותם שירותים רכים שכדאיותם הוכחה, כדי להותיר את האפשרות לקבל בעתיד תמורה גבוהה יותר בעד ההשקעה. כמו כן יש להתוות מנגנונים מוגדרים מראש ליישום מחלוקות או להפסקת רכישת שירותים אלו בהמשך הדרך.</w:t>
      </w:r>
    </w:p>
    <w:p w14:paraId="79BC91EE" w14:textId="77777777" w:rsidR="00823E3A" w:rsidRDefault="00823E3A" w:rsidP="00881D79">
      <w:pPr>
        <w:pStyle w:val="414"/>
        <w:rPr>
          <w:rtl/>
        </w:rPr>
      </w:pPr>
      <w:r>
        <w:rPr>
          <w:rFonts w:hint="cs"/>
          <w:rtl/>
        </w:rPr>
        <w:t>חוסרים בהסכמי הזיכיון</w:t>
      </w:r>
    </w:p>
    <w:p w14:paraId="6F574EE6" w14:textId="647A9E72" w:rsidR="00823E3A" w:rsidRDefault="00823E3A" w:rsidP="00881D79">
      <w:pPr>
        <w:pStyle w:val="100"/>
        <w:rPr>
          <w:rtl/>
        </w:rPr>
      </w:pPr>
      <w:r>
        <w:rPr>
          <w:rFonts w:hint="cs"/>
          <w:rtl/>
        </w:rPr>
        <w:t>כאמור לעיל, שותפות ארוכת-שנים אינה מאפשרת לצדדים לצפות את כל האירועים העתידים להתרחש לאורך פרק הזמן. עם זאת, איכותו של הסכם הזיכיון נמדדת בין היתר ביכולת לספק כלים מתאימים להתמודדות עם מאורעות בעתיד, ובפרט כאשר הסבירות להתממשותם גבוהה.</w:t>
      </w:r>
    </w:p>
    <w:p w14:paraId="183D2859" w14:textId="3502FD46" w:rsidR="00823E3A" w:rsidRPr="00E4387D" w:rsidRDefault="00823E3A" w:rsidP="00881D79">
      <w:pPr>
        <w:pStyle w:val="5115"/>
        <w:rPr>
          <w:rtl/>
        </w:rPr>
      </w:pPr>
      <w:r>
        <w:rPr>
          <w:rFonts w:hint="cs"/>
          <w:rtl/>
        </w:rPr>
        <w:t>הרחבת פרויקטים</w:t>
      </w:r>
    </w:p>
    <w:p w14:paraId="59DC48D7" w14:textId="01BFBBAE" w:rsidR="00823E3A" w:rsidRDefault="00823E3A" w:rsidP="00881D79">
      <w:pPr>
        <w:pStyle w:val="100"/>
        <w:rPr>
          <w:rtl/>
        </w:rPr>
      </w:pPr>
      <w:r>
        <w:rPr>
          <w:rFonts w:hint="cs"/>
          <w:rtl/>
        </w:rPr>
        <w:t>בתשואת הזכיינים מגולם בין היתר רכיב הסיכון הטמון בהשקעה בפרויקט שמידת הצלחתו אינה ניתנת לחיזוי טרם הקמתו. החשש מהקמת פרויקטים שאינם רווחיים, אשר יהפכו לנטל על הצדדים, מונע לעיתים התייחסות אובייקטיבית מתבקשת לסוגיות שיש לתת עליהן את הדעת במקרים של הצלחה. לפיכך</w:t>
      </w:r>
      <w:r w:rsidRPr="009F0C3B">
        <w:rPr>
          <w:rFonts w:hint="cs"/>
          <w:rtl/>
        </w:rPr>
        <w:t xml:space="preserve"> בחלק מהסכמי הזיכיון לא </w:t>
      </w:r>
      <w:r>
        <w:rPr>
          <w:rFonts w:hint="cs"/>
          <w:rtl/>
        </w:rPr>
        <w:t>הוגדרה</w:t>
      </w:r>
      <w:r w:rsidRPr="009F0C3B">
        <w:rPr>
          <w:rFonts w:hint="cs"/>
          <w:rtl/>
        </w:rPr>
        <w:t xml:space="preserve"> </w:t>
      </w:r>
      <w:r>
        <w:rPr>
          <w:rFonts w:hint="cs"/>
          <w:rtl/>
        </w:rPr>
        <w:t>מערכת</w:t>
      </w:r>
      <w:r w:rsidRPr="009F0C3B">
        <w:rPr>
          <w:rFonts w:hint="cs"/>
          <w:rtl/>
        </w:rPr>
        <w:t xml:space="preserve"> היחסים בין </w:t>
      </w:r>
      <w:r w:rsidRPr="009F0C3B">
        <w:rPr>
          <w:rFonts w:hint="cs"/>
          <w:rtl/>
        </w:rPr>
        <w:lastRenderedPageBreak/>
        <w:t>הצדדים ב</w:t>
      </w:r>
      <w:r>
        <w:rPr>
          <w:rFonts w:hint="cs"/>
          <w:rtl/>
        </w:rPr>
        <w:t>כל הקשור ל</w:t>
      </w:r>
      <w:r w:rsidRPr="009F0C3B">
        <w:rPr>
          <w:rFonts w:hint="cs"/>
          <w:rtl/>
        </w:rPr>
        <w:t xml:space="preserve">הרחבות </w:t>
      </w:r>
      <w:r>
        <w:rPr>
          <w:rFonts w:hint="cs"/>
          <w:rtl/>
        </w:rPr>
        <w:t>הנדרשות ב</w:t>
      </w:r>
      <w:r w:rsidRPr="009F0C3B">
        <w:rPr>
          <w:rFonts w:hint="cs"/>
          <w:rtl/>
        </w:rPr>
        <w:t>פרויקט אשר הי</w:t>
      </w:r>
      <w:r>
        <w:rPr>
          <w:rFonts w:hint="cs"/>
          <w:rtl/>
        </w:rPr>
        <w:t xml:space="preserve">ה אפשר לחזותן </w:t>
      </w:r>
      <w:r w:rsidRPr="009F0C3B">
        <w:rPr>
          <w:rFonts w:hint="cs"/>
          <w:rtl/>
        </w:rPr>
        <w:t>מבעוד מועד.</w:t>
      </w:r>
      <w:r>
        <w:rPr>
          <w:rFonts w:hint="cs"/>
          <w:rtl/>
        </w:rPr>
        <w:t xml:space="preserve"> להלן שתי דוגמאות לפרויקטים כאמור:</w:t>
      </w:r>
    </w:p>
    <w:p w14:paraId="72E34E9F" w14:textId="77777777" w:rsidR="00823E3A" w:rsidRPr="00760468" w:rsidRDefault="00823E3A" w:rsidP="00881D79">
      <w:pPr>
        <w:pStyle w:val="a1"/>
        <w:numPr>
          <w:ilvl w:val="0"/>
          <w:numId w:val="41"/>
        </w:numPr>
        <w:rPr>
          <w:rtl/>
        </w:rPr>
      </w:pPr>
      <w:r w:rsidRPr="00881D79">
        <w:rPr>
          <w:rStyle w:val="Heading5Char"/>
          <w:rFonts w:hint="eastAsia"/>
          <w:b/>
          <w:bCs w:val="0"/>
          <w:color w:val="387026"/>
          <w:spacing w:val="0"/>
          <w:rtl/>
        </w:rPr>
        <w:t>פרויקט</w:t>
      </w:r>
      <w:r w:rsidRPr="00881D79">
        <w:rPr>
          <w:rStyle w:val="Heading5Char"/>
          <w:b/>
          <w:bCs w:val="0"/>
          <w:color w:val="387026"/>
          <w:spacing w:val="0"/>
          <w:rtl/>
        </w:rPr>
        <w:t xml:space="preserve"> </w:t>
      </w:r>
      <w:r w:rsidRPr="00881D79">
        <w:rPr>
          <w:rStyle w:val="Heading5Char"/>
          <w:rFonts w:hint="eastAsia"/>
          <w:b/>
          <w:bCs w:val="0"/>
          <w:color w:val="387026"/>
          <w:spacing w:val="0"/>
          <w:rtl/>
        </w:rPr>
        <w:t>הנתיב</w:t>
      </w:r>
      <w:r w:rsidRPr="00881D79">
        <w:rPr>
          <w:rStyle w:val="Heading5Char"/>
          <w:b/>
          <w:bCs w:val="0"/>
          <w:color w:val="387026"/>
          <w:spacing w:val="0"/>
          <w:rtl/>
        </w:rPr>
        <w:t xml:space="preserve"> </w:t>
      </w:r>
      <w:r w:rsidRPr="00881D79">
        <w:rPr>
          <w:rStyle w:val="Heading5Char"/>
          <w:rFonts w:hint="eastAsia"/>
          <w:b/>
          <w:bCs w:val="0"/>
          <w:color w:val="387026"/>
          <w:spacing w:val="0"/>
          <w:rtl/>
        </w:rPr>
        <w:t>המהיר</w:t>
      </w:r>
      <w:r w:rsidRPr="00881D79">
        <w:rPr>
          <w:rStyle w:val="Heading5Char"/>
          <w:b/>
          <w:bCs w:val="0"/>
          <w:color w:val="387026"/>
          <w:spacing w:val="0"/>
          <w:rtl/>
        </w:rPr>
        <w:t>:</w:t>
      </w:r>
      <w:r w:rsidRPr="00881D79">
        <w:rPr>
          <w:rFonts w:hint="cs"/>
          <w:color w:val="387026"/>
          <w:rtl/>
        </w:rPr>
        <w:t xml:space="preserve"> </w:t>
      </w:r>
      <w:r>
        <w:rPr>
          <w:rFonts w:hint="cs"/>
          <w:rtl/>
        </w:rPr>
        <w:t>דוח מבקר המדינה משנת 2016 העיר על ההתדיינות הממושכת של משרד התחבורה וחטיבת תשתיות ופרויקטים עם הזכיין להרחבתו של חניון הנתיב המהיר מכיוון שמסמכי המכרז לא כללו אפשרות זו ואף לא מנגנון לקביעת תנאים למימושה, אף שהכללתה הייתה עשויה להגביר את כדאיות הפרויקט ולמנוע מחלוקות, חיכוכים ואי-ודאות בנוגע להרחבה</w:t>
      </w:r>
      <w:r>
        <w:rPr>
          <w:rStyle w:val="FootnoteReference"/>
          <w:rtl/>
        </w:rPr>
        <w:footnoteReference w:id="160"/>
      </w:r>
      <w:r>
        <w:rPr>
          <w:rFonts w:hint="cs"/>
          <w:rtl/>
        </w:rPr>
        <w:t>.</w:t>
      </w:r>
    </w:p>
    <w:p w14:paraId="42A4A508" w14:textId="6B2CA331" w:rsidR="00823E3A" w:rsidRDefault="00823E3A" w:rsidP="00881D79">
      <w:pPr>
        <w:pStyle w:val="a1"/>
        <w:rPr>
          <w:rtl/>
        </w:rPr>
      </w:pPr>
      <w:r w:rsidRPr="00881D79">
        <w:rPr>
          <w:rStyle w:val="Heading5Char"/>
          <w:rFonts w:hint="eastAsia"/>
          <w:b/>
          <w:bCs w:val="0"/>
          <w:color w:val="387026"/>
          <w:spacing w:val="0"/>
          <w:rtl/>
        </w:rPr>
        <w:t>המכללה</w:t>
      </w:r>
      <w:r w:rsidRPr="00881D79">
        <w:rPr>
          <w:rStyle w:val="Heading5Char"/>
          <w:b/>
          <w:bCs w:val="0"/>
          <w:color w:val="387026"/>
          <w:spacing w:val="0"/>
          <w:rtl/>
        </w:rPr>
        <w:t xml:space="preserve"> </w:t>
      </w:r>
      <w:r w:rsidRPr="00881D79">
        <w:rPr>
          <w:rStyle w:val="Heading5Char"/>
          <w:rFonts w:hint="eastAsia"/>
          <w:b/>
          <w:bCs w:val="0"/>
          <w:color w:val="387026"/>
          <w:spacing w:val="0"/>
          <w:rtl/>
        </w:rPr>
        <w:t>הלאומית</w:t>
      </w:r>
      <w:r w:rsidRPr="00881D79">
        <w:rPr>
          <w:rStyle w:val="Heading5Char"/>
          <w:b/>
          <w:bCs w:val="0"/>
          <w:color w:val="387026"/>
          <w:spacing w:val="0"/>
          <w:rtl/>
        </w:rPr>
        <w:t xml:space="preserve"> </w:t>
      </w:r>
      <w:r w:rsidRPr="00881D79">
        <w:rPr>
          <w:rStyle w:val="Heading5Char"/>
          <w:rFonts w:hint="eastAsia"/>
          <w:b/>
          <w:bCs w:val="0"/>
          <w:color w:val="387026"/>
          <w:spacing w:val="0"/>
          <w:rtl/>
        </w:rPr>
        <w:t>לשו</w:t>
      </w:r>
      <w:r w:rsidRPr="00881D79">
        <w:rPr>
          <w:rStyle w:val="Heading5Char"/>
          <w:rFonts w:hint="cs"/>
          <w:b/>
          <w:bCs w:val="0"/>
          <w:color w:val="387026"/>
          <w:spacing w:val="0"/>
          <w:rtl/>
        </w:rPr>
        <w:t>ט</w:t>
      </w:r>
      <w:r w:rsidRPr="00881D79">
        <w:rPr>
          <w:rStyle w:val="Heading5Char"/>
          <w:rFonts w:hint="eastAsia"/>
          <w:b/>
          <w:bCs w:val="0"/>
          <w:color w:val="387026"/>
          <w:spacing w:val="0"/>
          <w:rtl/>
        </w:rPr>
        <w:t>רים</w:t>
      </w:r>
      <w:r w:rsidRPr="00881D79">
        <w:rPr>
          <w:rStyle w:val="Heading5Char"/>
          <w:b/>
          <w:bCs w:val="0"/>
          <w:color w:val="387026"/>
          <w:spacing w:val="0"/>
          <w:rtl/>
        </w:rPr>
        <w:t>:</w:t>
      </w:r>
      <w:r w:rsidRPr="00881D79">
        <w:rPr>
          <w:rFonts w:hint="cs"/>
          <w:color w:val="387026"/>
          <w:rtl/>
        </w:rPr>
        <w:t xml:space="preserve"> </w:t>
      </w:r>
      <w:r>
        <w:rPr>
          <w:rFonts w:hint="cs"/>
          <w:rtl/>
        </w:rPr>
        <w:t>בשל היעדר הצמדה למחירונים מוסכמים להרחבות בנייה בהסכמי הזיכיון, עלו פערים מול הזכיין, והדבר גרם לחיכוכים, לעיכובים בבנייה ואף לפגיעה בצורך המבצעי.</w:t>
      </w:r>
    </w:p>
    <w:p w14:paraId="019B14A2" w14:textId="4FD8497D" w:rsidR="00823E3A" w:rsidRDefault="00823E3A" w:rsidP="00881D79">
      <w:pPr>
        <w:pStyle w:val="100"/>
        <w:rPr>
          <w:rtl/>
        </w:rPr>
      </w:pPr>
      <w:r>
        <w:rPr>
          <w:rFonts w:hint="cs"/>
          <w:rtl/>
        </w:rPr>
        <w:t>בתשובתה של חטיבת תשתיות ופרויקטים נמסר כי קשה לחזות את כל התרחישים האפשריים לשינויים שיידרשו בכל פרויקט. לפיכך נקבעו מנגנונים מוסדרים ומפורטים הקובעים כללים ברורים להתנהלות הצדדים כאשר נוצר צורך לשינוי בפרויקט, ובפרט הם מגדירים את האפשרויות לשינויים פרטניים במקרים שבהם הסבירות למימושן גבוהה והמציעים נדרשים לתמחרן במסגרת הצעתם. בתשובתה של משטרת ישראל צוין לעניין זה כי בפרויקט המכללה לשוטרים סוכמה הצמדה למחירון מקוב</w:t>
      </w:r>
      <w:r w:rsidR="00881D79">
        <w:rPr>
          <w:rFonts w:hint="cs"/>
          <w:rtl/>
        </w:rPr>
        <w:t>ל בשוק במסגרת נוהל עבודה פרטני.</w:t>
      </w:r>
    </w:p>
    <w:p w14:paraId="1E2890DA" w14:textId="37882C15" w:rsidR="00823E3A" w:rsidRPr="00FD66AE" w:rsidRDefault="00823E3A" w:rsidP="00881D79">
      <w:pPr>
        <w:pStyle w:val="af5"/>
        <w:rPr>
          <w:rtl/>
        </w:rPr>
      </w:pPr>
      <w:r>
        <w:rPr>
          <w:rFonts w:hint="cs"/>
          <w:rtl/>
        </w:rPr>
        <w:t xml:space="preserve">משרד מבקר המדינה ממליץ כי </w:t>
      </w:r>
      <w:r w:rsidRPr="00C96A04">
        <w:rPr>
          <w:rFonts w:hint="cs"/>
          <w:rtl/>
        </w:rPr>
        <w:t xml:space="preserve">מנהלי ההתקשרויות </w:t>
      </w:r>
      <w:r>
        <w:rPr>
          <w:rFonts w:hint="cs"/>
          <w:rtl/>
        </w:rPr>
        <w:t xml:space="preserve">יקפידו לכלול בהסכמי הזיכיון התייחסות הולמת להרחבות העשויות להידרש לאחר בחינה של עלותם מול תועלתם, ובדומה לפרויקטים קודמים בהן ניתנה התייחסות לנושא. עוד מומלץ לבחון הטמעה של </w:t>
      </w:r>
      <w:r w:rsidRPr="00C96A04">
        <w:rPr>
          <w:rFonts w:hint="cs"/>
          <w:rtl/>
        </w:rPr>
        <w:t xml:space="preserve">שימוש במחירונים </w:t>
      </w:r>
      <w:r>
        <w:rPr>
          <w:rFonts w:hint="cs"/>
          <w:rtl/>
        </w:rPr>
        <w:t>מקובלים</w:t>
      </w:r>
      <w:r w:rsidRPr="00C96A04">
        <w:rPr>
          <w:rFonts w:hint="cs"/>
          <w:rtl/>
        </w:rPr>
        <w:t xml:space="preserve"> להצמדת עלויות הבנייה בביצוע </w:t>
      </w:r>
      <w:r>
        <w:rPr>
          <w:rFonts w:hint="cs"/>
          <w:rtl/>
        </w:rPr>
        <w:t>ההרחבות כחלק מהסכמי הזיכיון.</w:t>
      </w:r>
    </w:p>
    <w:p w14:paraId="472EE91D" w14:textId="4648DB1A" w:rsidR="00823E3A" w:rsidRDefault="00823E3A" w:rsidP="00881D79">
      <w:pPr>
        <w:pStyle w:val="5115"/>
      </w:pPr>
      <w:r w:rsidRPr="003C52EC">
        <w:rPr>
          <w:rFonts w:hint="cs"/>
          <w:rtl/>
        </w:rPr>
        <w:t>הגדרת מדדי רמת שירות</w:t>
      </w:r>
      <w:r w:rsidRPr="00517856">
        <w:rPr>
          <w:rFonts w:hint="cs"/>
          <w:rtl/>
        </w:rPr>
        <w:t xml:space="preserve"> </w:t>
      </w:r>
    </w:p>
    <w:p w14:paraId="6DB1CFA7" w14:textId="77777777" w:rsidR="00823E3A" w:rsidRDefault="00823E3A" w:rsidP="00881D79">
      <w:pPr>
        <w:pStyle w:val="100"/>
        <w:rPr>
          <w:rtl/>
        </w:rPr>
      </w:pPr>
      <w:r>
        <w:rPr>
          <w:rFonts w:hint="cs"/>
          <w:rtl/>
        </w:rPr>
        <w:t xml:space="preserve">פרויקטים המבוצעים בשיתוף המגזר הפרטי נועדו לספק רמת שירות גבוהה לאורך זמן והדבר בא לידי ביטוי בהגדרת התפוקות בהסכמי הזיכיון. קביעת מדדי שירות ברורים עשויה להבטיח את האיכות הנדרשת ומפחיתה את חילוקי הדעות בין המדינה לבין הזכיינים. </w:t>
      </w:r>
    </w:p>
    <w:p w14:paraId="1B580B77" w14:textId="43BDB304" w:rsidR="00823E3A" w:rsidRDefault="00823E3A" w:rsidP="0051671A">
      <w:pPr>
        <w:pStyle w:val="af5"/>
        <w:rPr>
          <w:rtl/>
        </w:rPr>
      </w:pPr>
      <w:r>
        <w:rPr>
          <w:rFonts w:hint="cs"/>
          <w:rtl/>
        </w:rPr>
        <w:t xml:space="preserve">אף </w:t>
      </w:r>
      <w:r w:rsidRPr="00F363C4">
        <w:rPr>
          <w:rFonts w:hint="eastAsia"/>
          <w:rtl/>
        </w:rPr>
        <w:t>ש</w:t>
      </w:r>
      <w:r w:rsidRPr="006252D5">
        <w:rPr>
          <w:rFonts w:hint="eastAsia"/>
          <w:rtl/>
        </w:rPr>
        <w:t>מדדי</w:t>
      </w:r>
      <w:r w:rsidRPr="006252D5">
        <w:rPr>
          <w:rtl/>
        </w:rPr>
        <w:t xml:space="preserve"> השירות </w:t>
      </w:r>
      <w:r w:rsidRPr="00E55EBF">
        <w:rPr>
          <w:rFonts w:hint="eastAsia"/>
          <w:rtl/>
        </w:rPr>
        <w:t>משולבים</w:t>
      </w:r>
      <w:r w:rsidRPr="00E55EBF">
        <w:rPr>
          <w:rtl/>
        </w:rPr>
        <w:t xml:space="preserve"> </w:t>
      </w:r>
      <w:r w:rsidRPr="00E55EBF">
        <w:rPr>
          <w:rFonts w:hint="eastAsia"/>
          <w:rtl/>
        </w:rPr>
        <w:t>בכל</w:t>
      </w:r>
      <w:r w:rsidRPr="00E55EBF">
        <w:rPr>
          <w:rtl/>
        </w:rPr>
        <w:t xml:space="preserve"> </w:t>
      </w:r>
      <w:r w:rsidRPr="00E55EBF">
        <w:rPr>
          <w:rFonts w:hint="eastAsia"/>
          <w:rtl/>
        </w:rPr>
        <w:t>אחד</w:t>
      </w:r>
      <w:r w:rsidRPr="00E55EBF">
        <w:rPr>
          <w:rtl/>
        </w:rPr>
        <w:t xml:space="preserve"> </w:t>
      </w:r>
      <w:r w:rsidRPr="00E55EBF">
        <w:rPr>
          <w:rFonts w:hint="eastAsia"/>
          <w:rtl/>
        </w:rPr>
        <w:t>מחוזי</w:t>
      </w:r>
      <w:r w:rsidRPr="00E55EBF">
        <w:rPr>
          <w:rtl/>
        </w:rPr>
        <w:t xml:space="preserve"> </w:t>
      </w:r>
      <w:r w:rsidRPr="00E55EBF">
        <w:rPr>
          <w:rFonts w:hint="eastAsia"/>
          <w:rtl/>
        </w:rPr>
        <w:t>הזיכיון</w:t>
      </w:r>
      <w:r w:rsidRPr="00E55EBF">
        <w:rPr>
          <w:rtl/>
        </w:rPr>
        <w:t xml:space="preserve"> של </w:t>
      </w:r>
      <w:r w:rsidRPr="00E55EBF">
        <w:rPr>
          <w:rFonts w:hint="eastAsia"/>
          <w:rtl/>
        </w:rPr>
        <w:t>הפרויקטים</w:t>
      </w:r>
      <w:r w:rsidRPr="00E55EBF">
        <w:rPr>
          <w:rtl/>
        </w:rPr>
        <w:t xml:space="preserve"> </w:t>
      </w:r>
      <w:r w:rsidRPr="00E55EBF">
        <w:rPr>
          <w:rFonts w:hint="eastAsia"/>
          <w:rtl/>
        </w:rPr>
        <w:t>השונים</w:t>
      </w:r>
      <w:r w:rsidRPr="00E55EBF">
        <w:rPr>
          <w:rtl/>
        </w:rPr>
        <w:t xml:space="preserve">, </w:t>
      </w:r>
      <w:r w:rsidRPr="00E55EBF">
        <w:rPr>
          <w:rFonts w:hint="eastAsia"/>
          <w:rtl/>
        </w:rPr>
        <w:t>מצא</w:t>
      </w:r>
      <w:r w:rsidRPr="00E55EBF">
        <w:rPr>
          <w:rtl/>
        </w:rPr>
        <w:t xml:space="preserve"> </w:t>
      </w:r>
      <w:r>
        <w:rPr>
          <w:rFonts w:hint="cs"/>
          <w:rtl/>
        </w:rPr>
        <w:t xml:space="preserve">משרד מבקר המדינה בעבר </w:t>
      </w:r>
      <w:r w:rsidRPr="00E55EBF">
        <w:rPr>
          <w:rtl/>
        </w:rPr>
        <w:t xml:space="preserve">מקרים </w:t>
      </w:r>
      <w:r>
        <w:rPr>
          <w:rFonts w:hint="cs"/>
          <w:rtl/>
        </w:rPr>
        <w:t xml:space="preserve">אחדים שבהם חסרו </w:t>
      </w:r>
      <w:r w:rsidRPr="00F363C4">
        <w:rPr>
          <w:rFonts w:hint="eastAsia"/>
          <w:rtl/>
        </w:rPr>
        <w:t>מדדי</w:t>
      </w:r>
      <w:r w:rsidRPr="00F363C4">
        <w:rPr>
          <w:rtl/>
        </w:rPr>
        <w:t xml:space="preserve"> </w:t>
      </w:r>
      <w:r w:rsidRPr="006252D5">
        <w:rPr>
          <w:rFonts w:hint="eastAsia"/>
          <w:rtl/>
        </w:rPr>
        <w:t>שירות</w:t>
      </w:r>
      <w:r w:rsidRPr="006252D5">
        <w:rPr>
          <w:rtl/>
        </w:rPr>
        <w:t xml:space="preserve"> </w:t>
      </w:r>
      <w:r w:rsidRPr="00E55EBF">
        <w:rPr>
          <w:rFonts w:hint="eastAsia"/>
          <w:rtl/>
        </w:rPr>
        <w:t>מסוימים</w:t>
      </w:r>
      <w:r w:rsidRPr="00E55EBF">
        <w:rPr>
          <w:rtl/>
        </w:rPr>
        <w:t xml:space="preserve"> </w:t>
      </w:r>
      <w:r>
        <w:rPr>
          <w:rFonts w:hint="cs"/>
          <w:rtl/>
        </w:rPr>
        <w:t xml:space="preserve">והיעדרם פגע </w:t>
      </w:r>
      <w:r w:rsidRPr="00E55EBF">
        <w:rPr>
          <w:rFonts w:hint="eastAsia"/>
          <w:rtl/>
        </w:rPr>
        <w:t>בטיב</w:t>
      </w:r>
      <w:r w:rsidRPr="00E55EBF">
        <w:rPr>
          <w:rtl/>
        </w:rPr>
        <w:t xml:space="preserve"> </w:t>
      </w:r>
      <w:r w:rsidRPr="00E55EBF">
        <w:rPr>
          <w:rFonts w:hint="eastAsia"/>
          <w:rtl/>
        </w:rPr>
        <w:t>השירות</w:t>
      </w:r>
      <w:r w:rsidRPr="00E55EBF">
        <w:rPr>
          <w:rtl/>
        </w:rPr>
        <w:t xml:space="preserve"> </w:t>
      </w:r>
      <w:r w:rsidRPr="00E55EBF">
        <w:rPr>
          <w:rFonts w:hint="eastAsia"/>
          <w:rtl/>
        </w:rPr>
        <w:t>הניתן</w:t>
      </w:r>
      <w:r w:rsidR="0051671A">
        <w:rPr>
          <w:rtl/>
        </w:rPr>
        <w:t>.</w:t>
      </w:r>
    </w:p>
    <w:p w14:paraId="2A97FD76" w14:textId="3A4D4817" w:rsidR="00823E3A" w:rsidRDefault="00823E3A" w:rsidP="0051671A">
      <w:pPr>
        <w:pStyle w:val="100"/>
        <w:rPr>
          <w:rtl/>
        </w:rPr>
      </w:pPr>
      <w:r w:rsidRPr="00F807F3">
        <w:rPr>
          <w:rFonts w:hint="eastAsia"/>
          <w:rtl/>
        </w:rPr>
        <w:t>להלן</w:t>
      </w:r>
      <w:r w:rsidRPr="00F807F3">
        <w:rPr>
          <w:rtl/>
        </w:rPr>
        <w:t xml:space="preserve"> </w:t>
      </w:r>
      <w:r w:rsidRPr="00F807F3">
        <w:rPr>
          <w:rFonts w:hint="cs"/>
          <w:rtl/>
        </w:rPr>
        <w:t>שתי</w:t>
      </w:r>
      <w:r w:rsidRPr="00F807F3">
        <w:rPr>
          <w:rtl/>
        </w:rPr>
        <w:t xml:space="preserve"> </w:t>
      </w:r>
      <w:r w:rsidRPr="00F807F3">
        <w:rPr>
          <w:rFonts w:hint="eastAsia"/>
          <w:rtl/>
        </w:rPr>
        <w:t>דוגמאות</w:t>
      </w:r>
      <w:r w:rsidRPr="00F807F3">
        <w:rPr>
          <w:rtl/>
        </w:rPr>
        <w:t xml:space="preserve"> </w:t>
      </w:r>
      <w:r w:rsidRPr="00F807F3">
        <w:rPr>
          <w:rFonts w:hint="eastAsia"/>
          <w:rtl/>
        </w:rPr>
        <w:t>לחוסרים</w:t>
      </w:r>
      <w:r w:rsidRPr="00F807F3">
        <w:rPr>
          <w:rtl/>
        </w:rPr>
        <w:t xml:space="preserve"> </w:t>
      </w:r>
      <w:r w:rsidRPr="00F807F3">
        <w:rPr>
          <w:rFonts w:hint="eastAsia"/>
          <w:rtl/>
        </w:rPr>
        <w:t>בתחום</w:t>
      </w:r>
      <w:r w:rsidRPr="00F807F3">
        <w:rPr>
          <w:rtl/>
        </w:rPr>
        <w:t xml:space="preserve"> </w:t>
      </w:r>
      <w:r w:rsidRPr="00F807F3">
        <w:rPr>
          <w:rFonts w:hint="eastAsia"/>
          <w:rtl/>
        </w:rPr>
        <w:t>זה</w:t>
      </w:r>
      <w:r w:rsidRPr="00F807F3">
        <w:rPr>
          <w:rtl/>
        </w:rPr>
        <w:t xml:space="preserve"> </w:t>
      </w:r>
      <w:r w:rsidRPr="00F807F3">
        <w:rPr>
          <w:rFonts w:hint="eastAsia"/>
          <w:rtl/>
        </w:rPr>
        <w:t>בהסכמי</w:t>
      </w:r>
      <w:r w:rsidRPr="00F807F3">
        <w:rPr>
          <w:rtl/>
        </w:rPr>
        <w:t xml:space="preserve"> </w:t>
      </w:r>
      <w:r w:rsidRPr="00F807F3">
        <w:rPr>
          <w:rFonts w:hint="eastAsia"/>
          <w:rtl/>
        </w:rPr>
        <w:t>הזיכיון</w:t>
      </w:r>
      <w:r w:rsidRPr="00F807F3">
        <w:rPr>
          <w:rtl/>
        </w:rPr>
        <w:t>:</w:t>
      </w:r>
    </w:p>
    <w:p w14:paraId="23E36BDD" w14:textId="77777777" w:rsidR="00823E3A" w:rsidRDefault="00823E3A" w:rsidP="0051671A">
      <w:pPr>
        <w:pStyle w:val="a1"/>
        <w:numPr>
          <w:ilvl w:val="0"/>
          <w:numId w:val="42"/>
        </w:numPr>
        <w:rPr>
          <w:rtl/>
        </w:rPr>
      </w:pPr>
      <w:r w:rsidRPr="0051671A">
        <w:rPr>
          <w:rStyle w:val="Heading6Char"/>
          <w:rFonts w:hint="eastAsia"/>
          <w:color w:val="387026"/>
          <w:spacing w:val="0"/>
          <w:rtl/>
        </w:rPr>
        <w:t>פרויקט</w:t>
      </w:r>
      <w:r w:rsidRPr="0051671A">
        <w:rPr>
          <w:rStyle w:val="Heading6Char"/>
          <w:color w:val="387026"/>
          <w:spacing w:val="0"/>
          <w:rtl/>
        </w:rPr>
        <w:t xml:space="preserve"> </w:t>
      </w:r>
      <w:r w:rsidRPr="0051671A">
        <w:rPr>
          <w:rStyle w:val="Heading6Char"/>
          <w:rFonts w:hint="eastAsia"/>
          <w:color w:val="387026"/>
          <w:spacing w:val="0"/>
          <w:rtl/>
        </w:rPr>
        <w:t>הרכבת</w:t>
      </w:r>
      <w:r w:rsidRPr="0051671A">
        <w:rPr>
          <w:rStyle w:val="Heading6Char"/>
          <w:color w:val="387026"/>
          <w:spacing w:val="0"/>
          <w:rtl/>
        </w:rPr>
        <w:t xml:space="preserve"> </w:t>
      </w:r>
      <w:r w:rsidRPr="0051671A">
        <w:rPr>
          <w:rStyle w:val="Heading6Char"/>
          <w:rFonts w:hint="eastAsia"/>
          <w:color w:val="387026"/>
          <w:spacing w:val="0"/>
          <w:rtl/>
        </w:rPr>
        <w:t>הקלה</w:t>
      </w:r>
      <w:r w:rsidRPr="0051671A">
        <w:rPr>
          <w:rStyle w:val="Heading6Char"/>
          <w:color w:val="387026"/>
          <w:spacing w:val="0"/>
          <w:rtl/>
        </w:rPr>
        <w:t xml:space="preserve"> </w:t>
      </w:r>
      <w:r w:rsidRPr="0051671A">
        <w:rPr>
          <w:rStyle w:val="Heading6Char"/>
          <w:rFonts w:hint="eastAsia"/>
          <w:color w:val="387026"/>
          <w:spacing w:val="0"/>
          <w:rtl/>
        </w:rPr>
        <w:t>בירושלים</w:t>
      </w:r>
      <w:r w:rsidRPr="0051671A">
        <w:rPr>
          <w:rStyle w:val="Heading6Char"/>
          <w:color w:val="387026"/>
          <w:spacing w:val="0"/>
          <w:rtl/>
        </w:rPr>
        <w:t>:</w:t>
      </w:r>
      <w:r w:rsidRPr="0051671A">
        <w:rPr>
          <w:rFonts w:hint="cs"/>
          <w:color w:val="387026"/>
          <w:rtl/>
        </w:rPr>
        <w:t xml:space="preserve"> </w:t>
      </w:r>
      <w:r>
        <w:rPr>
          <w:rFonts w:hint="cs"/>
          <w:rtl/>
        </w:rPr>
        <w:t xml:space="preserve">מבקר המדינה ציין בדוח משנת 2014, כי בחוזה הזיכיון ובתוכניות הפרטניות של הפרויקט לא הוגדרו מדדים של רמת השירות, ובהם התקינות של מכונת הכרטוס והתיקוף, אופן הגדרת תקלות ואיחורים ומדידת הטמפרטורה בקרונות. </w:t>
      </w:r>
      <w:r>
        <w:rPr>
          <w:rFonts w:hint="cs"/>
          <w:rtl/>
        </w:rPr>
        <w:lastRenderedPageBreak/>
        <w:t>מחלוקות שהתגלעו בין הצדדים בנושא זה לא לובנו ולא נקבעו מדדים ברורים ומוסכמים, דבר שגרם לקשיים בקביעת רמת השירות ולפגיעה במקבליו</w:t>
      </w:r>
      <w:r>
        <w:rPr>
          <w:rStyle w:val="FootnoteReference"/>
          <w:rtl/>
        </w:rPr>
        <w:footnoteReference w:id="161"/>
      </w:r>
      <w:r>
        <w:rPr>
          <w:rFonts w:hint="cs"/>
          <w:rtl/>
        </w:rPr>
        <w:t>.</w:t>
      </w:r>
    </w:p>
    <w:p w14:paraId="33F23184" w14:textId="77777777" w:rsidR="00823E3A" w:rsidRDefault="00823E3A" w:rsidP="0051671A">
      <w:pPr>
        <w:pStyle w:val="a1"/>
        <w:rPr>
          <w:rtl/>
        </w:rPr>
      </w:pPr>
      <w:r w:rsidRPr="0051671A">
        <w:rPr>
          <w:rStyle w:val="Heading6Char"/>
          <w:rFonts w:hint="eastAsia"/>
          <w:color w:val="387026"/>
          <w:spacing w:val="0"/>
          <w:rtl/>
        </w:rPr>
        <w:t>פרויקט</w:t>
      </w:r>
      <w:r w:rsidRPr="0051671A">
        <w:rPr>
          <w:rStyle w:val="Heading6Char"/>
          <w:color w:val="387026"/>
          <w:spacing w:val="0"/>
          <w:rtl/>
        </w:rPr>
        <w:t xml:space="preserve"> </w:t>
      </w:r>
      <w:r w:rsidRPr="0051671A">
        <w:rPr>
          <w:rStyle w:val="Heading6Char"/>
          <w:rFonts w:hint="cs"/>
          <w:color w:val="387026"/>
          <w:spacing w:val="0"/>
          <w:rtl/>
        </w:rPr>
        <w:t>כביש חוצה ישראל</w:t>
      </w:r>
      <w:r w:rsidRPr="0051671A">
        <w:rPr>
          <w:rStyle w:val="Heading6Char"/>
          <w:color w:val="387026"/>
          <w:spacing w:val="0"/>
          <w:rtl/>
        </w:rPr>
        <w:t>:</w:t>
      </w:r>
      <w:r w:rsidRPr="0051671A">
        <w:rPr>
          <w:rFonts w:hint="cs"/>
          <w:color w:val="387026"/>
          <w:rtl/>
        </w:rPr>
        <w:t xml:space="preserve"> </w:t>
      </w:r>
      <w:r>
        <w:rPr>
          <w:rFonts w:hint="cs"/>
          <w:rtl/>
        </w:rPr>
        <w:t>מבקר המדינה העיר בדוח שפורסם בשנת 2016 על פגיעה בטיב השירות בשל היעדר פירוט של מדדי השירות המבוקשים בהסכם הזיכיון. על פי הדוח, הביקוש הרב לשימוש בכביש גרם לגודש תנועה בשעות מסוימות, אולם משתמשי הכביש נדרשים לשלם את מלוא האגרה מאחר שבהסכם הזיכיון לא נקבעה מהירות מינימלית לשירות ולא נקבע מנגנון מפצה באמצעות הנחה או בהחזר כספי של האגרה ששולמה עקב האטה ניכרת של מהירות הנסיעה</w:t>
      </w:r>
      <w:r>
        <w:rPr>
          <w:rStyle w:val="FootnoteReference"/>
          <w:rtl/>
        </w:rPr>
        <w:footnoteReference w:id="162"/>
      </w:r>
      <w:r>
        <w:rPr>
          <w:rFonts w:hint="cs"/>
          <w:rtl/>
        </w:rPr>
        <w:t>.</w:t>
      </w:r>
    </w:p>
    <w:p w14:paraId="73E257AF" w14:textId="77777777" w:rsidR="00823E3A" w:rsidRDefault="00823E3A" w:rsidP="0051671A">
      <w:pPr>
        <w:pStyle w:val="100"/>
        <w:rPr>
          <w:rtl/>
        </w:rPr>
      </w:pPr>
      <w:r>
        <w:rPr>
          <w:rFonts w:hint="cs"/>
          <w:rtl/>
        </w:rPr>
        <w:t>בתשובתה של חטיבת תשתיות ופרויקטים נאמר: "</w:t>
      </w:r>
      <w:r w:rsidRPr="00667E4C">
        <w:rPr>
          <w:rtl/>
        </w:rPr>
        <w:t>כחלק מכתיבת מסמכי המכרז ועדות המכרזים משקיעות מחשבה רבה באופן הגדרת מדדי השירות, בשים לב לצורך להגדרת מדדים מדויקים ככל הניתן מחד, ויכולת הבקרה עליהם בפועל מאידך.</w:t>
      </w:r>
      <w:r w:rsidRPr="00667E4C">
        <w:rPr>
          <w:rFonts w:hint="cs"/>
          <w:rtl/>
        </w:rPr>
        <w:t>"</w:t>
      </w:r>
    </w:p>
    <w:p w14:paraId="62B1F603" w14:textId="3FA2347B" w:rsidR="00823E3A" w:rsidRPr="0051671A" w:rsidRDefault="00823E3A" w:rsidP="0051671A">
      <w:pPr>
        <w:pStyle w:val="af5"/>
        <w:rPr>
          <w:rtl/>
        </w:rPr>
      </w:pPr>
      <w:r>
        <w:rPr>
          <w:rFonts w:hint="cs"/>
          <w:rtl/>
        </w:rPr>
        <w:t>היעדר הגדרה של מדדי שירות עלול ל</w:t>
      </w:r>
      <w:r w:rsidRPr="00D50902">
        <w:rPr>
          <w:rFonts w:hint="cs"/>
          <w:rtl/>
        </w:rPr>
        <w:t>הוביל לחילוקי דעות עם הזכיינים</w:t>
      </w:r>
      <w:r>
        <w:rPr>
          <w:rFonts w:hint="cs"/>
          <w:rtl/>
        </w:rPr>
        <w:t>,</w:t>
      </w:r>
      <w:r w:rsidRPr="00D50902">
        <w:rPr>
          <w:rFonts w:hint="cs"/>
          <w:rtl/>
        </w:rPr>
        <w:t xml:space="preserve"> </w:t>
      </w:r>
      <w:r>
        <w:rPr>
          <w:rFonts w:hint="cs"/>
          <w:rtl/>
        </w:rPr>
        <w:t>לפגיעה בטיב השירות</w:t>
      </w:r>
      <w:r w:rsidRPr="00D50902">
        <w:rPr>
          <w:rFonts w:hint="cs"/>
          <w:rtl/>
        </w:rPr>
        <w:t xml:space="preserve"> </w:t>
      </w:r>
      <w:r>
        <w:rPr>
          <w:rFonts w:hint="cs"/>
          <w:rtl/>
        </w:rPr>
        <w:t xml:space="preserve">ולפגיעה באיכות </w:t>
      </w:r>
      <w:r w:rsidRPr="00D50902">
        <w:rPr>
          <w:rFonts w:hint="cs"/>
          <w:rtl/>
        </w:rPr>
        <w:t>ביצוע</w:t>
      </w:r>
      <w:r>
        <w:rPr>
          <w:rFonts w:hint="cs"/>
          <w:rtl/>
        </w:rPr>
        <w:t>ן של</w:t>
      </w:r>
      <w:r w:rsidRPr="00D50902">
        <w:rPr>
          <w:rFonts w:hint="cs"/>
          <w:rtl/>
        </w:rPr>
        <w:t xml:space="preserve"> עבודות הפיקוח והבקרה</w:t>
      </w:r>
      <w:r>
        <w:rPr>
          <w:rFonts w:hint="cs"/>
          <w:rtl/>
        </w:rPr>
        <w:t xml:space="preserve">. לפיכך על מנהלי ההתקשרות לשפר את ההגדרה של מדדי השירות הרלוונטיים בכל אחד מהפרויקטים שבאחריותם. </w:t>
      </w:r>
    </w:p>
    <w:p w14:paraId="542C2C8B" w14:textId="1E235463" w:rsidR="00823E3A" w:rsidRDefault="00823E3A" w:rsidP="0051671A">
      <w:pPr>
        <w:pStyle w:val="414"/>
        <w:rPr>
          <w:rtl/>
        </w:rPr>
      </w:pPr>
      <w:r>
        <w:rPr>
          <w:rFonts w:hint="cs"/>
          <w:rtl/>
        </w:rPr>
        <w:t>בקרות ופיקוח</w:t>
      </w:r>
    </w:p>
    <w:p w14:paraId="3DB5B8DF" w14:textId="77777777" w:rsidR="00823E3A" w:rsidRDefault="00823E3A" w:rsidP="0051671A">
      <w:pPr>
        <w:pStyle w:val="100"/>
        <w:rPr>
          <w:rtl/>
        </w:rPr>
      </w:pPr>
      <w:r>
        <w:rPr>
          <w:rFonts w:hint="cs"/>
          <w:rtl/>
        </w:rPr>
        <w:t>תוכניות העבודה לביצוע פיקוח ובקרה על הפרויקטים נגזרות מהסכמי הזיכיון ונועדו לוודא שהזכיינים עומדים בכל התנאים המפורטים בהם במלואם. שותפות</w:t>
      </w:r>
      <w:r>
        <w:rPr>
          <w:rtl/>
        </w:rPr>
        <w:t xml:space="preserve"> </w:t>
      </w:r>
      <w:r>
        <w:rPr>
          <w:rFonts w:hint="cs"/>
          <w:rtl/>
        </w:rPr>
        <w:t xml:space="preserve">ארוכת-שנים מחייבת לבצע </w:t>
      </w:r>
      <w:r w:rsidRPr="001E70C7">
        <w:rPr>
          <w:rtl/>
        </w:rPr>
        <w:t xml:space="preserve">מעקב ואכיפה </w:t>
      </w:r>
      <w:r>
        <w:rPr>
          <w:rFonts w:hint="cs"/>
          <w:rtl/>
        </w:rPr>
        <w:t xml:space="preserve">אחר מילוי הדרישות תוך </w:t>
      </w:r>
      <w:r>
        <w:rPr>
          <w:rtl/>
        </w:rPr>
        <w:t>ניהול קשר</w:t>
      </w:r>
      <w:r w:rsidRPr="001E70C7">
        <w:rPr>
          <w:rtl/>
        </w:rPr>
        <w:t xml:space="preserve"> </w:t>
      </w:r>
      <w:r>
        <w:rPr>
          <w:rFonts w:hint="cs"/>
          <w:rtl/>
        </w:rPr>
        <w:t>רציף עם המגזר הפרטי כדי לוודא שהושגה תמורה בעד ההון הציבורי שהושקע. על מנהל ההתקשרות ל</w:t>
      </w:r>
      <w:r>
        <w:rPr>
          <w:rtl/>
        </w:rPr>
        <w:t xml:space="preserve">וודא כי קנסות או בונוסים </w:t>
      </w:r>
      <w:r>
        <w:rPr>
          <w:rFonts w:hint="cs"/>
          <w:rtl/>
        </w:rPr>
        <w:t>מ</w:t>
      </w:r>
      <w:r>
        <w:rPr>
          <w:rtl/>
        </w:rPr>
        <w:t>שולמ</w:t>
      </w:r>
      <w:r>
        <w:rPr>
          <w:rFonts w:hint="cs"/>
          <w:rtl/>
        </w:rPr>
        <w:t>ים</w:t>
      </w:r>
      <w:r w:rsidRPr="00162F0A">
        <w:rPr>
          <w:rtl/>
        </w:rPr>
        <w:t xml:space="preserve"> כנדרש</w:t>
      </w:r>
      <w:r>
        <w:rPr>
          <w:rFonts w:hint="cs"/>
          <w:rtl/>
        </w:rPr>
        <w:t xml:space="preserve"> ולהבטיח קיומו של מנגנון פיקוח ובקרה יעיל</w:t>
      </w:r>
      <w:r w:rsidRPr="00162F0A">
        <w:rPr>
          <w:rtl/>
        </w:rPr>
        <w:t xml:space="preserve"> </w:t>
      </w:r>
      <w:r>
        <w:rPr>
          <w:rFonts w:hint="cs"/>
          <w:rtl/>
        </w:rPr>
        <w:t>המנוטר, מנותח</w:t>
      </w:r>
      <w:r w:rsidRPr="00162F0A">
        <w:rPr>
          <w:rtl/>
        </w:rPr>
        <w:t xml:space="preserve"> ו</w:t>
      </w:r>
      <w:r>
        <w:rPr>
          <w:rFonts w:hint="cs"/>
          <w:rtl/>
        </w:rPr>
        <w:t>מאומת ללא</w:t>
      </w:r>
      <w:r>
        <w:rPr>
          <w:rtl/>
        </w:rPr>
        <w:t xml:space="preserve"> הרף</w:t>
      </w:r>
      <w:r>
        <w:rPr>
          <w:rStyle w:val="FootnoteReference"/>
          <w:rtl/>
        </w:rPr>
        <w:footnoteReference w:id="163"/>
      </w:r>
      <w:r>
        <w:rPr>
          <w:rtl/>
        </w:rPr>
        <w:t>.</w:t>
      </w:r>
    </w:p>
    <w:p w14:paraId="7F821DD2" w14:textId="77777777" w:rsidR="00823E3A" w:rsidRDefault="00823E3A" w:rsidP="0051671A">
      <w:pPr>
        <w:pStyle w:val="5115"/>
      </w:pPr>
      <w:r w:rsidRPr="008E73B3">
        <w:rPr>
          <w:rFonts w:hint="cs"/>
          <w:rtl/>
        </w:rPr>
        <w:t>מקצועיות</w:t>
      </w:r>
      <w:r>
        <w:rPr>
          <w:rFonts w:hint="cs"/>
          <w:rtl/>
        </w:rPr>
        <w:t xml:space="preserve"> בעבודות הפיקוח והבקרה</w:t>
      </w:r>
      <w:r w:rsidRPr="008E73B3">
        <w:rPr>
          <w:rFonts w:hint="cs"/>
          <w:rtl/>
        </w:rPr>
        <w:t xml:space="preserve"> </w:t>
      </w:r>
    </w:p>
    <w:p w14:paraId="24D30E5E" w14:textId="776EA01D" w:rsidR="00823E3A" w:rsidRDefault="00823E3A" w:rsidP="0051671A">
      <w:pPr>
        <w:pStyle w:val="100"/>
        <w:rPr>
          <w:rtl/>
        </w:rPr>
      </w:pPr>
      <w:r>
        <w:rPr>
          <w:rFonts w:hint="cs"/>
          <w:rtl/>
        </w:rPr>
        <w:t xml:space="preserve">עבודות הפיקוח והבקרה מתבססות על איכותו של איסוף הנתונים. בדרך כלל המגזר הפרטי אחראי לספק את הנתונים למגזר הציבורי באמצעות דוחות שוטפים שמפרטם ותדירותם מוגדרים מבעוד מועד בחוזי הזיכיון, ומידת </w:t>
      </w:r>
      <w:r w:rsidRPr="003865AE">
        <w:rPr>
          <w:rtl/>
        </w:rPr>
        <w:t xml:space="preserve">התועלת </w:t>
      </w:r>
      <w:r>
        <w:rPr>
          <w:rFonts w:hint="cs"/>
          <w:rtl/>
        </w:rPr>
        <w:t xml:space="preserve">המופקת מהם </w:t>
      </w:r>
      <w:r w:rsidRPr="003865AE">
        <w:rPr>
          <w:rtl/>
        </w:rPr>
        <w:t xml:space="preserve">תלויה </w:t>
      </w:r>
      <w:r>
        <w:rPr>
          <w:rFonts w:hint="cs"/>
          <w:rtl/>
        </w:rPr>
        <w:t>במקצועיות ה</w:t>
      </w:r>
      <w:r w:rsidRPr="003865AE">
        <w:rPr>
          <w:rtl/>
        </w:rPr>
        <w:t xml:space="preserve">ביקורת </w:t>
      </w:r>
      <w:r>
        <w:rPr>
          <w:rtl/>
        </w:rPr>
        <w:t>ש</w:t>
      </w:r>
      <w:r>
        <w:rPr>
          <w:rFonts w:hint="cs"/>
          <w:rtl/>
        </w:rPr>
        <w:t>מבצע</w:t>
      </w:r>
      <w:r w:rsidRPr="003865AE">
        <w:rPr>
          <w:rtl/>
        </w:rPr>
        <w:t xml:space="preserve"> המגזר הציבורי</w:t>
      </w:r>
      <w:r>
        <w:rPr>
          <w:rStyle w:val="FootnoteReference"/>
          <w:rtl/>
        </w:rPr>
        <w:footnoteReference w:id="164"/>
      </w:r>
      <w:r w:rsidRPr="003865AE">
        <w:rPr>
          <w:rtl/>
        </w:rPr>
        <w:t>.</w:t>
      </w:r>
    </w:p>
    <w:p w14:paraId="1CAA78D0" w14:textId="53E3CF07" w:rsidR="00823E3A" w:rsidRDefault="00823E3A" w:rsidP="0051671A">
      <w:pPr>
        <w:pStyle w:val="100"/>
        <w:rPr>
          <w:rtl/>
        </w:rPr>
      </w:pPr>
      <w:r>
        <w:rPr>
          <w:rFonts w:hint="cs"/>
          <w:rtl/>
        </w:rPr>
        <w:lastRenderedPageBreak/>
        <w:t>עליונותם של הידע והניסיון של המגזר הפרטי בהקמה ובתפעול של פרויקטי תשתית עלולה לפגוע ביכולתו של המגזר הציבורי לפקח עליו ביעילות</w:t>
      </w:r>
      <w:r>
        <w:rPr>
          <w:rStyle w:val="FootnoteReference"/>
          <w:rtl/>
        </w:rPr>
        <w:footnoteReference w:id="165"/>
      </w:r>
      <w:r>
        <w:rPr>
          <w:rFonts w:hint="cs"/>
          <w:rtl/>
        </w:rPr>
        <w:t>. עקב כך, חלק מהמדינות</w:t>
      </w:r>
      <w:r>
        <w:rPr>
          <w:rStyle w:val="FootnoteReference"/>
          <w:rtl/>
        </w:rPr>
        <w:footnoteReference w:id="166"/>
      </w:r>
      <w:r>
        <w:rPr>
          <w:rFonts w:hint="cs"/>
          <w:rtl/>
        </w:rPr>
        <w:t xml:space="preserve"> שוכרות שירותים של חברות הנדסה לשם ביצוע מעקב אחר התקדמות הפרויקט ולפיקוח עליו, ואחרות</w:t>
      </w:r>
      <w:r>
        <w:rPr>
          <w:rStyle w:val="FootnoteReference"/>
          <w:rtl/>
        </w:rPr>
        <w:footnoteReference w:id="167"/>
      </w:r>
      <w:r>
        <w:rPr>
          <w:rFonts w:hint="cs"/>
          <w:rtl/>
        </w:rPr>
        <w:t xml:space="preserve"> מקימות מערך תמיכה ממשלתי מרכזי המעסיק יועצים מקצועיים, האמון בין היתר על ביצוע עבודות אלו, אם בכל שלבי הפרויקט ואם בנקודות רגישות בהקמתו ובתפעולו</w:t>
      </w:r>
      <w:r>
        <w:rPr>
          <w:rStyle w:val="FootnoteReference"/>
          <w:rtl/>
        </w:rPr>
        <w:footnoteReference w:id="168"/>
      </w:r>
      <w:r>
        <w:rPr>
          <w:rFonts w:hint="cs"/>
          <w:rtl/>
        </w:rPr>
        <w:t>.</w:t>
      </w:r>
    </w:p>
    <w:p w14:paraId="52E992E9" w14:textId="77777777" w:rsidR="00823E3A" w:rsidRDefault="00823E3A" w:rsidP="0051671A">
      <w:pPr>
        <w:pStyle w:val="100"/>
        <w:rPr>
          <w:rtl/>
        </w:rPr>
      </w:pPr>
      <w:r>
        <w:rPr>
          <w:rFonts w:hint="cs"/>
          <w:rtl/>
        </w:rPr>
        <w:t xml:space="preserve">במכתבו למנכ"ל משרד האוצר מאוגוסט 2019 הלין מנהל רשות החברות הממשלתיות כי הקמת פרויקטי </w:t>
      </w:r>
      <w:r>
        <w:rPr>
          <w:rFonts w:hint="cs"/>
        </w:rPr>
        <w:t>PPP</w:t>
      </w:r>
      <w:r>
        <w:rPr>
          <w:rFonts w:hint="cs"/>
          <w:rtl/>
        </w:rPr>
        <w:t xml:space="preserve"> שלא באמצעות החברות הממשלתיות, שהן מוקד מומחיות מטעם המדינה ומנהלות נכסי תשתית רבים, עשויה להביא לידי אובדן ידע ולפגיעה במומחיות ובניסיון הכרוכים בתכנון</w:t>
      </w:r>
      <w:r w:rsidRPr="000F260D">
        <w:rPr>
          <w:rFonts w:hint="cs"/>
          <w:rtl/>
        </w:rPr>
        <w:t xml:space="preserve"> </w:t>
      </w:r>
      <w:r>
        <w:rPr>
          <w:rFonts w:hint="cs"/>
          <w:rtl/>
        </w:rPr>
        <w:t xml:space="preserve">של תשתיות חיוניות, בביצוען ובתפעולן לאורך זמן. עוד נכתב כי יש לפעול לכל הפחות לשילוב החברות הממשלתיות בעבודות הפיקוח והבקרה בפרויקטי </w:t>
      </w:r>
      <w:r>
        <w:rPr>
          <w:rFonts w:hint="cs"/>
        </w:rPr>
        <w:t>PPP</w:t>
      </w:r>
      <w:r>
        <w:rPr>
          <w:rFonts w:hint="cs"/>
          <w:rtl/>
        </w:rPr>
        <w:t xml:space="preserve">. </w:t>
      </w:r>
    </w:p>
    <w:p w14:paraId="0CCD450E" w14:textId="77777777" w:rsidR="00823E3A" w:rsidRDefault="00823E3A" w:rsidP="0051671A">
      <w:pPr>
        <w:pStyle w:val="100"/>
        <w:rPr>
          <w:rtl/>
        </w:rPr>
      </w:pPr>
      <w:r>
        <w:rPr>
          <w:rFonts w:hint="cs"/>
          <w:rtl/>
        </w:rPr>
        <w:t>מנגד, החשב הכללי כתב למנהל הרשות באוגוסט 2019 כי חברות התשתית הממשלתיות מעורבות בפרויקטים במידה רבה לאורך שלבי הייזום והתכנון. מעורבות זו מתבטאת בין היתר בנציגות חבריהן בוועדות המכרזים, בהיותן רשויות הממונות על חלק מהפרויקטים ואף בשימוש המקובל בהן גם לפיקוח על שלבי ההקמה וההפעלה של הפרויקטים.</w:t>
      </w:r>
    </w:p>
    <w:p w14:paraId="3A4FBA76" w14:textId="1AFC9AD5" w:rsidR="00823E3A" w:rsidRDefault="00823E3A" w:rsidP="0051671A">
      <w:pPr>
        <w:pStyle w:val="af5"/>
        <w:rPr>
          <w:rtl/>
        </w:rPr>
      </w:pPr>
      <w:r w:rsidRPr="002061A2">
        <w:rPr>
          <w:rFonts w:hint="eastAsia"/>
          <w:rtl/>
        </w:rPr>
        <w:t>לדעת</w:t>
      </w:r>
      <w:r>
        <w:rPr>
          <w:rFonts w:hint="cs"/>
          <w:rtl/>
        </w:rPr>
        <w:t>ו של</w:t>
      </w:r>
      <w:r w:rsidRPr="002061A2">
        <w:rPr>
          <w:rtl/>
        </w:rPr>
        <w:t xml:space="preserve"> </w:t>
      </w:r>
      <w:r w:rsidRPr="00380F10">
        <w:rPr>
          <w:rFonts w:hint="cs"/>
          <w:rtl/>
        </w:rPr>
        <w:t xml:space="preserve">משרד מבקר המדינה </w:t>
      </w:r>
      <w:r>
        <w:rPr>
          <w:rFonts w:hint="cs"/>
          <w:rtl/>
        </w:rPr>
        <w:t>על מנהלי המכרזים</w:t>
      </w:r>
      <w:r w:rsidRPr="002061A2">
        <w:rPr>
          <w:rtl/>
        </w:rPr>
        <w:t xml:space="preserve"> </w:t>
      </w:r>
      <w:r>
        <w:rPr>
          <w:rFonts w:hint="cs"/>
          <w:rtl/>
        </w:rPr>
        <w:t xml:space="preserve">לשקול את הדרך המיטבית לעבודות הפיקוח והבקרה בכל פרויקטי </w:t>
      </w:r>
      <w:r>
        <w:rPr>
          <w:rFonts w:hint="cs"/>
        </w:rPr>
        <w:t>PPP</w:t>
      </w:r>
      <w:r>
        <w:rPr>
          <w:rFonts w:hint="cs"/>
          <w:rtl/>
        </w:rPr>
        <w:t>, לרבות בדרך של שילוב חברות ממשלתיות בפרויקטים הן לשם הפחתת עלויות הפרויקט באמצעות שימוש במערך תמיכה ממשלתי בר קיימא והן בהבטחת איכות הפיקוח והבקרה על פני זמן.</w:t>
      </w:r>
    </w:p>
    <w:p w14:paraId="649A4E9E" w14:textId="01A88BFD" w:rsidR="00823E3A" w:rsidRDefault="00823E3A" w:rsidP="0051671A">
      <w:pPr>
        <w:pStyle w:val="100"/>
        <w:rPr>
          <w:rtl/>
        </w:rPr>
      </w:pPr>
      <w:r>
        <w:rPr>
          <w:rFonts w:hint="cs"/>
          <w:rtl/>
        </w:rPr>
        <w:t>באוגוסט 2019 פורסמו ממצאי ועדת הבדיקה שהקים שר האנרגיה לבחינת האירועים במתקן ההתפלה שורק בראשותו של מנכ"ל משרד האנרגיה (להלן - ועדת הבדיקה). הממצאים הצביעו על הפרה בוטה, ארוכה ושיטתית של הסכם הזיכיון כדי לחסוך בהוצאות אנרגיה ובכימיקלים. מתקן ההתפלה אף יצר מצג שווא, שלפיו בוצע שינוי תפעולי ידני כדי לספק מים באיכות גבוהה יותר בשעות הדגימה, וכך איכות המים עמדה בדרישות ההסכם, אך בפועל איכות המים חרגה מהנדרש ברוב שעות היום. עוד מצאה ועדת הבדיקה כי במתקן ההתפלה בפלמחים נמסר למדינה דיווח כוזב על בדיקות המעבדה במתקן. יודגש כי בממצאי הוועדה צוין כי "עלות האנרגיה במתקן ההתפלה הינה חלק מהותי מעלויות ייצור המים, וכל חיסכון בעלויות אלו, מיתרגם לרווח של המתפיל"</w:t>
      </w:r>
      <w:r>
        <w:rPr>
          <w:rStyle w:val="FootnoteReference"/>
          <w:rtl/>
        </w:rPr>
        <w:footnoteReference w:id="169"/>
      </w:r>
      <w:r>
        <w:rPr>
          <w:rFonts w:hint="cs"/>
          <w:rtl/>
        </w:rPr>
        <w:t xml:space="preserve">. </w:t>
      </w:r>
    </w:p>
    <w:p w14:paraId="031E856A" w14:textId="1877FA9C" w:rsidR="00823E3A" w:rsidRDefault="00823E3A" w:rsidP="0051671A">
      <w:pPr>
        <w:pStyle w:val="100"/>
        <w:rPr>
          <w:rtl/>
        </w:rPr>
      </w:pPr>
      <w:r>
        <w:rPr>
          <w:rFonts w:hint="cs"/>
          <w:rtl/>
        </w:rPr>
        <w:t xml:space="preserve">ממסקנות הוועדה עולה כי המדינה פעלה מתוך הנחת מוצא שגויה שהזכיין לא יפעל להטעייתה במכוון ולא פעלה במידה מספקת באמצעות כלים העומדים לרשותה כדי לבקר את </w:t>
      </w:r>
      <w:r>
        <w:rPr>
          <w:rFonts w:hint="cs"/>
          <w:rtl/>
        </w:rPr>
        <w:lastRenderedPageBreak/>
        <w:t xml:space="preserve">איכות המים, לא הצליבה נתונים מגורמים שונים, לא הגבירה את תדירות הבדיקות ולא ביצעה די בדיקות יזומות ואקראיות. לפיכך סוכם על שיפור הליכי הבקרה במתקני ההתפלה, לרבות באמצעות הגדלת מספרן של בדיקות המעבדה ושל הבדיקות היזומות, שדרוג המערכות לניטור מידע חריג והרחבת שיתוף הפעולה עם החברה </w:t>
      </w:r>
      <w:r w:rsidR="0051671A">
        <w:rPr>
          <w:rFonts w:hint="cs"/>
          <w:rtl/>
        </w:rPr>
        <w:t>הממשלתית "מקורות" בהעברת המידע.</w:t>
      </w:r>
    </w:p>
    <w:p w14:paraId="6A894FD2" w14:textId="4DD5ED0A" w:rsidR="00823E3A" w:rsidRDefault="00823E3A" w:rsidP="0051671A">
      <w:pPr>
        <w:pStyle w:val="af5"/>
        <w:rPr>
          <w:rtl/>
        </w:rPr>
      </w:pPr>
      <w:r w:rsidRPr="00E55EBF">
        <w:rPr>
          <w:rFonts w:hint="eastAsia"/>
          <w:rtl/>
        </w:rPr>
        <w:t>ממצאים</w:t>
      </w:r>
      <w:r w:rsidRPr="00F363C4">
        <w:rPr>
          <w:rtl/>
        </w:rPr>
        <w:t xml:space="preserve"> </w:t>
      </w:r>
      <w:r w:rsidRPr="00F363C4">
        <w:rPr>
          <w:rFonts w:hint="eastAsia"/>
          <w:rtl/>
        </w:rPr>
        <w:t>אלו</w:t>
      </w:r>
      <w:r w:rsidRPr="006252D5">
        <w:rPr>
          <w:rtl/>
        </w:rPr>
        <w:t xml:space="preserve"> </w:t>
      </w:r>
      <w:r w:rsidRPr="006252D5">
        <w:rPr>
          <w:rFonts w:hint="eastAsia"/>
          <w:rtl/>
        </w:rPr>
        <w:t>מדגישים</w:t>
      </w:r>
      <w:r w:rsidRPr="006252D5">
        <w:rPr>
          <w:rtl/>
        </w:rPr>
        <w:t xml:space="preserve"> </w:t>
      </w:r>
      <w:r w:rsidRPr="00E55EBF">
        <w:rPr>
          <w:rFonts w:hint="eastAsia"/>
          <w:rtl/>
        </w:rPr>
        <w:t>את</w:t>
      </w:r>
      <w:r w:rsidRPr="00E55EBF">
        <w:rPr>
          <w:rtl/>
        </w:rPr>
        <w:t xml:space="preserve"> </w:t>
      </w:r>
      <w:r w:rsidRPr="00E55EBF">
        <w:rPr>
          <w:rFonts w:hint="eastAsia"/>
          <w:rtl/>
        </w:rPr>
        <w:t>הצורך</w:t>
      </w:r>
      <w:r w:rsidRPr="00E55EBF">
        <w:rPr>
          <w:rtl/>
        </w:rPr>
        <w:t xml:space="preserve"> </w:t>
      </w:r>
      <w:r w:rsidRPr="00E55EBF">
        <w:rPr>
          <w:rFonts w:hint="eastAsia"/>
          <w:rtl/>
        </w:rPr>
        <w:t>ב</w:t>
      </w:r>
      <w:r>
        <w:rPr>
          <w:rFonts w:hint="cs"/>
          <w:rtl/>
        </w:rPr>
        <w:t>כינון</w:t>
      </w:r>
      <w:r w:rsidRPr="00E55EBF">
        <w:rPr>
          <w:rtl/>
        </w:rPr>
        <w:t xml:space="preserve"> </w:t>
      </w:r>
      <w:r w:rsidRPr="00E55EBF">
        <w:rPr>
          <w:rFonts w:hint="eastAsia"/>
          <w:rtl/>
        </w:rPr>
        <w:t>מנגנוני</w:t>
      </w:r>
      <w:r w:rsidRPr="00E55EBF">
        <w:rPr>
          <w:rtl/>
        </w:rPr>
        <w:t xml:space="preserve"> </w:t>
      </w:r>
      <w:r w:rsidRPr="00E55EBF">
        <w:rPr>
          <w:rFonts w:hint="eastAsia"/>
          <w:rtl/>
        </w:rPr>
        <w:t>בקרה</w:t>
      </w:r>
      <w:r w:rsidRPr="00E55EBF">
        <w:rPr>
          <w:rtl/>
        </w:rPr>
        <w:t xml:space="preserve"> </w:t>
      </w:r>
      <w:r w:rsidRPr="00E55EBF">
        <w:rPr>
          <w:rFonts w:hint="eastAsia"/>
          <w:rtl/>
        </w:rPr>
        <w:t>ישימים</w:t>
      </w:r>
      <w:r w:rsidRPr="00E55EBF">
        <w:rPr>
          <w:rtl/>
        </w:rPr>
        <w:t xml:space="preserve"> </w:t>
      </w:r>
      <w:r w:rsidRPr="00E55EBF">
        <w:rPr>
          <w:rFonts w:hint="eastAsia"/>
          <w:rtl/>
        </w:rPr>
        <w:t>ואפקטיביים</w:t>
      </w:r>
      <w:r w:rsidRPr="00E55EBF">
        <w:rPr>
          <w:rtl/>
        </w:rPr>
        <w:t xml:space="preserve"> </w:t>
      </w:r>
      <w:r w:rsidRPr="00E55EBF">
        <w:rPr>
          <w:rFonts w:hint="eastAsia"/>
          <w:rtl/>
        </w:rPr>
        <w:t>שיעוגנו</w:t>
      </w:r>
      <w:r w:rsidRPr="00E55EBF">
        <w:rPr>
          <w:rtl/>
        </w:rPr>
        <w:t xml:space="preserve"> </w:t>
      </w:r>
      <w:r w:rsidRPr="00E55EBF">
        <w:rPr>
          <w:rFonts w:hint="eastAsia"/>
          <w:rtl/>
        </w:rPr>
        <w:t>בהסכמי</w:t>
      </w:r>
      <w:r w:rsidRPr="00E55EBF">
        <w:rPr>
          <w:rtl/>
        </w:rPr>
        <w:t xml:space="preserve"> </w:t>
      </w:r>
      <w:r w:rsidRPr="00E55EBF">
        <w:rPr>
          <w:rFonts w:hint="eastAsia"/>
          <w:rtl/>
        </w:rPr>
        <w:t>הזיכיון</w:t>
      </w:r>
      <w:r w:rsidRPr="00E55EBF">
        <w:rPr>
          <w:rtl/>
        </w:rPr>
        <w:t xml:space="preserve"> </w:t>
      </w:r>
      <w:r>
        <w:rPr>
          <w:rFonts w:hint="cs"/>
          <w:rtl/>
        </w:rPr>
        <w:t>ו</w:t>
      </w:r>
      <w:r w:rsidRPr="00E55EBF">
        <w:rPr>
          <w:rFonts w:hint="eastAsia"/>
          <w:rtl/>
        </w:rPr>
        <w:t>את</w:t>
      </w:r>
      <w:r w:rsidRPr="00E55EBF">
        <w:rPr>
          <w:rtl/>
        </w:rPr>
        <w:t xml:space="preserve"> </w:t>
      </w:r>
      <w:r>
        <w:rPr>
          <w:rFonts w:hint="cs"/>
          <w:rtl/>
        </w:rPr>
        <w:t xml:space="preserve">ההכרח ברמה </w:t>
      </w:r>
      <w:r w:rsidRPr="00E55EBF">
        <w:rPr>
          <w:rFonts w:hint="eastAsia"/>
          <w:rtl/>
        </w:rPr>
        <w:t>מקצועית</w:t>
      </w:r>
      <w:r w:rsidRPr="00E55EBF">
        <w:rPr>
          <w:rtl/>
        </w:rPr>
        <w:t xml:space="preserve"> </w:t>
      </w:r>
      <w:r w:rsidRPr="00E55EBF">
        <w:rPr>
          <w:rFonts w:hint="eastAsia"/>
          <w:rtl/>
        </w:rPr>
        <w:t>גבוהה</w:t>
      </w:r>
      <w:r w:rsidRPr="00E55EBF">
        <w:rPr>
          <w:rtl/>
        </w:rPr>
        <w:t xml:space="preserve"> </w:t>
      </w:r>
      <w:r w:rsidRPr="00E55EBF">
        <w:rPr>
          <w:rFonts w:hint="eastAsia"/>
          <w:rtl/>
        </w:rPr>
        <w:t>ו</w:t>
      </w:r>
      <w:r>
        <w:rPr>
          <w:rFonts w:hint="cs"/>
          <w:rtl/>
        </w:rPr>
        <w:t>ב</w:t>
      </w:r>
      <w:r w:rsidRPr="00E55EBF">
        <w:rPr>
          <w:rFonts w:hint="eastAsia"/>
          <w:rtl/>
        </w:rPr>
        <w:t>אי</w:t>
      </w:r>
      <w:r w:rsidRPr="00E55EBF">
        <w:rPr>
          <w:rtl/>
        </w:rPr>
        <w:t xml:space="preserve">-התלות </w:t>
      </w:r>
      <w:r>
        <w:rPr>
          <w:rFonts w:hint="cs"/>
          <w:rtl/>
        </w:rPr>
        <w:t>של</w:t>
      </w:r>
      <w:r w:rsidRPr="00E55EBF">
        <w:rPr>
          <w:rtl/>
        </w:rPr>
        <w:t xml:space="preserve"> </w:t>
      </w:r>
      <w:r w:rsidRPr="00E55EBF">
        <w:rPr>
          <w:rFonts w:hint="eastAsia"/>
          <w:rtl/>
        </w:rPr>
        <w:t>גורמי</w:t>
      </w:r>
      <w:r w:rsidRPr="00E55EBF">
        <w:rPr>
          <w:rtl/>
        </w:rPr>
        <w:t xml:space="preserve"> </w:t>
      </w:r>
      <w:r w:rsidRPr="00E55EBF">
        <w:rPr>
          <w:rFonts w:hint="eastAsia"/>
          <w:rtl/>
        </w:rPr>
        <w:t>הפיקוח</w:t>
      </w:r>
      <w:r w:rsidRPr="00E55EBF">
        <w:rPr>
          <w:rtl/>
        </w:rPr>
        <w:t xml:space="preserve"> </w:t>
      </w:r>
      <w:r w:rsidRPr="00E55EBF">
        <w:rPr>
          <w:rFonts w:hint="eastAsia"/>
          <w:rtl/>
        </w:rPr>
        <w:t>והבקרה</w:t>
      </w:r>
      <w:r w:rsidRPr="00E55EBF">
        <w:rPr>
          <w:rtl/>
        </w:rPr>
        <w:t xml:space="preserve"> </w:t>
      </w:r>
      <w:r w:rsidRPr="00E55EBF">
        <w:rPr>
          <w:rFonts w:hint="eastAsia"/>
          <w:rtl/>
        </w:rPr>
        <w:t>בביצוע</w:t>
      </w:r>
      <w:r w:rsidRPr="00E55EBF">
        <w:rPr>
          <w:rtl/>
        </w:rPr>
        <w:t xml:space="preserve"> </w:t>
      </w:r>
      <w:r w:rsidRPr="00E55EBF">
        <w:rPr>
          <w:rFonts w:hint="eastAsia"/>
          <w:rtl/>
        </w:rPr>
        <w:t>עבודתם</w:t>
      </w:r>
      <w:r w:rsidRPr="00E55EBF">
        <w:rPr>
          <w:rtl/>
        </w:rPr>
        <w:t xml:space="preserve">, </w:t>
      </w:r>
      <w:r w:rsidRPr="00E55EBF">
        <w:rPr>
          <w:rFonts w:hint="eastAsia"/>
          <w:rtl/>
        </w:rPr>
        <w:t>לרבות</w:t>
      </w:r>
      <w:r w:rsidRPr="00E55EBF">
        <w:rPr>
          <w:rtl/>
        </w:rPr>
        <w:t xml:space="preserve"> </w:t>
      </w:r>
      <w:r w:rsidRPr="00E55EBF">
        <w:rPr>
          <w:rFonts w:hint="eastAsia"/>
          <w:rtl/>
        </w:rPr>
        <w:t>בבדיקות</w:t>
      </w:r>
      <w:r w:rsidRPr="00E55EBF">
        <w:rPr>
          <w:rtl/>
        </w:rPr>
        <w:t xml:space="preserve"> </w:t>
      </w:r>
      <w:r w:rsidRPr="00E55EBF">
        <w:rPr>
          <w:rFonts w:hint="eastAsia"/>
          <w:rtl/>
        </w:rPr>
        <w:t>יזומות</w:t>
      </w:r>
      <w:r w:rsidRPr="00E55EBF">
        <w:rPr>
          <w:rtl/>
        </w:rPr>
        <w:t xml:space="preserve"> </w:t>
      </w:r>
      <w:r w:rsidRPr="00E55EBF">
        <w:rPr>
          <w:rFonts w:hint="eastAsia"/>
          <w:rtl/>
        </w:rPr>
        <w:t>ואקראיות</w:t>
      </w:r>
      <w:r w:rsidRPr="00E55EBF">
        <w:rPr>
          <w:rtl/>
        </w:rPr>
        <w:t xml:space="preserve"> </w:t>
      </w:r>
      <w:r w:rsidRPr="00E55EBF">
        <w:rPr>
          <w:rFonts w:hint="eastAsia"/>
          <w:rtl/>
        </w:rPr>
        <w:t>המצליבות</w:t>
      </w:r>
      <w:r w:rsidRPr="00E55EBF">
        <w:rPr>
          <w:rtl/>
        </w:rPr>
        <w:t xml:space="preserve"> </w:t>
      </w:r>
      <w:r w:rsidRPr="00E55EBF">
        <w:rPr>
          <w:rFonts w:hint="eastAsia"/>
          <w:rtl/>
        </w:rPr>
        <w:t>נתונים</w:t>
      </w:r>
      <w:r w:rsidRPr="00E55EBF">
        <w:rPr>
          <w:rtl/>
        </w:rPr>
        <w:t xml:space="preserve"> </w:t>
      </w:r>
      <w:r w:rsidRPr="00E55EBF">
        <w:rPr>
          <w:rFonts w:hint="eastAsia"/>
          <w:rtl/>
        </w:rPr>
        <w:t>מגורמים</w:t>
      </w:r>
      <w:r w:rsidRPr="00E55EBF">
        <w:rPr>
          <w:rtl/>
        </w:rPr>
        <w:t xml:space="preserve"> </w:t>
      </w:r>
      <w:r w:rsidRPr="00E55EBF">
        <w:rPr>
          <w:rFonts w:hint="eastAsia"/>
          <w:rtl/>
        </w:rPr>
        <w:t>שונים</w:t>
      </w:r>
      <w:r w:rsidRPr="00E55EBF">
        <w:rPr>
          <w:rtl/>
        </w:rPr>
        <w:t xml:space="preserve"> </w:t>
      </w:r>
      <w:r w:rsidRPr="00E55EBF">
        <w:rPr>
          <w:rFonts w:hint="eastAsia"/>
          <w:rtl/>
        </w:rPr>
        <w:t>כדי</w:t>
      </w:r>
      <w:r w:rsidRPr="00E55EBF">
        <w:rPr>
          <w:rtl/>
        </w:rPr>
        <w:t xml:space="preserve"> </w:t>
      </w:r>
      <w:r w:rsidRPr="00E55EBF">
        <w:rPr>
          <w:rFonts w:hint="eastAsia"/>
          <w:rtl/>
        </w:rPr>
        <w:t>ל</w:t>
      </w:r>
      <w:r>
        <w:rPr>
          <w:rFonts w:hint="cs"/>
          <w:rtl/>
        </w:rPr>
        <w:t>וודא</w:t>
      </w:r>
      <w:r w:rsidRPr="00E55EBF">
        <w:rPr>
          <w:rtl/>
        </w:rPr>
        <w:t xml:space="preserve"> </w:t>
      </w:r>
      <w:r w:rsidRPr="003A0C9F">
        <w:rPr>
          <w:rFonts w:hint="eastAsia"/>
          <w:rtl/>
        </w:rPr>
        <w:t>ש</w:t>
      </w:r>
      <w:r>
        <w:rPr>
          <w:rFonts w:hint="cs"/>
          <w:rtl/>
        </w:rPr>
        <w:t xml:space="preserve">מולאו </w:t>
      </w:r>
      <w:r w:rsidRPr="003A0C9F">
        <w:rPr>
          <w:rFonts w:hint="eastAsia"/>
          <w:rtl/>
        </w:rPr>
        <w:t>הדרישות</w:t>
      </w:r>
      <w:r w:rsidRPr="003A0C9F">
        <w:rPr>
          <w:rtl/>
        </w:rPr>
        <w:t xml:space="preserve"> </w:t>
      </w:r>
      <w:r>
        <w:rPr>
          <w:rFonts w:hint="cs"/>
          <w:rtl/>
        </w:rPr>
        <w:t xml:space="preserve">המופיעות </w:t>
      </w:r>
      <w:r w:rsidRPr="003A0C9F">
        <w:rPr>
          <w:rFonts w:hint="eastAsia"/>
          <w:rtl/>
        </w:rPr>
        <w:t>בחוזים</w:t>
      </w:r>
      <w:r>
        <w:rPr>
          <w:rFonts w:hint="cs"/>
          <w:rtl/>
        </w:rPr>
        <w:t>.</w:t>
      </w:r>
      <w:r w:rsidRPr="003A0C9F">
        <w:rPr>
          <w:rtl/>
        </w:rPr>
        <w:t xml:space="preserve"> </w:t>
      </w:r>
    </w:p>
    <w:p w14:paraId="30C81756" w14:textId="77777777" w:rsidR="00823E3A" w:rsidRDefault="00823E3A" w:rsidP="0051671A">
      <w:pPr>
        <w:pStyle w:val="5115"/>
        <w:rPr>
          <w:rtl/>
        </w:rPr>
      </w:pPr>
      <w:r w:rsidRPr="008848A1">
        <w:rPr>
          <w:rFonts w:hint="cs"/>
          <w:rtl/>
        </w:rPr>
        <w:t>תמריצים ו</w:t>
      </w:r>
      <w:r>
        <w:rPr>
          <w:rFonts w:hint="cs"/>
          <w:rtl/>
        </w:rPr>
        <w:t>קנסות</w:t>
      </w:r>
    </w:p>
    <w:p w14:paraId="75BA3E84" w14:textId="6123ED72" w:rsidR="00823E3A" w:rsidRDefault="00823E3A" w:rsidP="0051671A">
      <w:pPr>
        <w:pStyle w:val="100"/>
        <w:rPr>
          <w:rtl/>
        </w:rPr>
      </w:pPr>
      <w:r>
        <w:rPr>
          <w:rFonts w:hint="cs"/>
          <w:rtl/>
        </w:rPr>
        <w:t>עורכיהם של חוזי הזיכיון נוהגים ל</w:t>
      </w:r>
      <w:r w:rsidRPr="007D34B3">
        <w:rPr>
          <w:rtl/>
        </w:rPr>
        <w:t xml:space="preserve">קבוע תקני איכות, להשתמש במדדי ביצועים, </w:t>
      </w:r>
      <w:r>
        <w:rPr>
          <w:rFonts w:hint="cs"/>
          <w:rtl/>
        </w:rPr>
        <w:t xml:space="preserve">לעודד </w:t>
      </w:r>
      <w:r>
        <w:rPr>
          <w:rtl/>
        </w:rPr>
        <w:t>תחרות בסטנדרטים</w:t>
      </w:r>
      <w:r>
        <w:rPr>
          <w:rFonts w:hint="cs"/>
          <w:rtl/>
        </w:rPr>
        <w:t xml:space="preserve"> להספקת טיב השירות</w:t>
      </w:r>
      <w:r>
        <w:rPr>
          <w:rtl/>
        </w:rPr>
        <w:t xml:space="preserve"> ול</w:t>
      </w:r>
      <w:r>
        <w:rPr>
          <w:rFonts w:hint="cs"/>
          <w:rtl/>
        </w:rPr>
        <w:t>קבוע בחוזים מנגנוני</w:t>
      </w:r>
      <w:r>
        <w:rPr>
          <w:rtl/>
        </w:rPr>
        <w:t xml:space="preserve"> בונוסים וקנסות </w:t>
      </w:r>
      <w:r w:rsidRPr="007D34B3">
        <w:rPr>
          <w:rtl/>
        </w:rPr>
        <w:t xml:space="preserve">כדי לשפר את התמריצים </w:t>
      </w:r>
      <w:r>
        <w:rPr>
          <w:rFonts w:hint="cs"/>
          <w:rtl/>
        </w:rPr>
        <w:t>לזכיינים</w:t>
      </w:r>
      <w:r w:rsidRPr="007D34B3">
        <w:rPr>
          <w:rtl/>
        </w:rPr>
        <w:t xml:space="preserve"> להשקיע </w:t>
      </w:r>
      <w:r>
        <w:rPr>
          <w:rFonts w:hint="cs"/>
          <w:rtl/>
        </w:rPr>
        <w:t xml:space="preserve">בנכסים </w:t>
      </w:r>
      <w:r w:rsidRPr="007D34B3">
        <w:rPr>
          <w:rtl/>
        </w:rPr>
        <w:t xml:space="preserve">ולתחזק </w:t>
      </w:r>
      <w:r>
        <w:rPr>
          <w:rFonts w:hint="cs"/>
          <w:rtl/>
        </w:rPr>
        <w:t>אותם בדרך הטובה ביותר</w:t>
      </w:r>
      <w:r w:rsidRPr="007D34B3">
        <w:rPr>
          <w:rtl/>
        </w:rPr>
        <w:t>.</w:t>
      </w:r>
    </w:p>
    <w:p w14:paraId="00CF52C5" w14:textId="0955C0F9" w:rsidR="00823E3A" w:rsidRPr="00596212" w:rsidRDefault="00823E3A" w:rsidP="0051671A">
      <w:pPr>
        <w:pStyle w:val="100"/>
        <w:rPr>
          <w:rtl/>
        </w:rPr>
      </w:pPr>
      <w:r>
        <w:rPr>
          <w:rFonts w:hint="cs"/>
          <w:rtl/>
        </w:rPr>
        <w:t xml:space="preserve">לפי גישת ארגון </w:t>
      </w:r>
      <w:r>
        <w:rPr>
          <w:rFonts w:hint="cs"/>
        </w:rPr>
        <w:t>OECD</w:t>
      </w:r>
      <w:r>
        <w:rPr>
          <w:rFonts w:hint="cs"/>
          <w:rtl/>
        </w:rPr>
        <w:t>, מקובל גם להשתמש במנגנוני קנסות ובתנאים לפתיחת משא ומתן מחדש כדי למנוע דפוסי התנהגות של זכיינים שנועדו לנצל הזדמנויות להגדלת רווחיהם ולשיפור תנאיהם</w:t>
      </w:r>
      <w:r w:rsidRPr="005002A5">
        <w:rPr>
          <w:rtl/>
        </w:rPr>
        <w:t xml:space="preserve"> </w:t>
      </w:r>
      <w:r>
        <w:rPr>
          <w:rFonts w:hint="cs"/>
          <w:rtl/>
        </w:rPr>
        <w:t>באמצעות איומים</w:t>
      </w:r>
      <w:r w:rsidRPr="005002A5">
        <w:rPr>
          <w:rtl/>
        </w:rPr>
        <w:t xml:space="preserve"> על</w:t>
      </w:r>
      <w:r>
        <w:rPr>
          <w:rtl/>
        </w:rPr>
        <w:t xml:space="preserve"> חדלות פירעון או </w:t>
      </w:r>
      <w:r>
        <w:rPr>
          <w:rFonts w:hint="cs"/>
          <w:rtl/>
        </w:rPr>
        <w:t xml:space="preserve">באמצעות </w:t>
      </w:r>
      <w:r>
        <w:rPr>
          <w:rtl/>
        </w:rPr>
        <w:t>הפרעה ב</w:t>
      </w:r>
      <w:r>
        <w:rPr>
          <w:rFonts w:hint="cs"/>
          <w:rtl/>
        </w:rPr>
        <w:t>הספקת ה</w:t>
      </w:r>
      <w:r>
        <w:rPr>
          <w:rtl/>
        </w:rPr>
        <w:t>שירותים</w:t>
      </w:r>
      <w:r>
        <w:rPr>
          <w:rFonts w:hint="cs"/>
          <w:rtl/>
        </w:rPr>
        <w:t>.</w:t>
      </w:r>
      <w:r w:rsidRPr="005002A5">
        <w:rPr>
          <w:rtl/>
        </w:rPr>
        <w:t xml:space="preserve"> עם זאת, התמריץ לניצול מצבה </w:t>
      </w:r>
      <w:r>
        <w:rPr>
          <w:rFonts w:hint="cs"/>
          <w:rtl/>
        </w:rPr>
        <w:t>של המדינה העלולה להידרש</w:t>
      </w:r>
      <w:r>
        <w:rPr>
          <w:rtl/>
        </w:rPr>
        <w:t xml:space="preserve"> </w:t>
      </w:r>
      <w:r>
        <w:rPr>
          <w:rFonts w:hint="cs"/>
          <w:rtl/>
        </w:rPr>
        <w:t>לצאת ל</w:t>
      </w:r>
      <w:r>
        <w:rPr>
          <w:rtl/>
        </w:rPr>
        <w:t xml:space="preserve">מכרז חדש ארוך ויקר </w:t>
      </w:r>
      <w:r>
        <w:rPr>
          <w:rFonts w:hint="cs"/>
          <w:rtl/>
        </w:rPr>
        <w:t>לצד רצונה</w:t>
      </w:r>
      <w:r w:rsidRPr="005002A5">
        <w:rPr>
          <w:rtl/>
        </w:rPr>
        <w:t xml:space="preserve"> </w:t>
      </w:r>
      <w:r>
        <w:rPr>
          <w:rFonts w:hint="cs"/>
          <w:rtl/>
        </w:rPr>
        <w:t>להבטיח</w:t>
      </w:r>
      <w:r w:rsidRPr="005002A5">
        <w:rPr>
          <w:rtl/>
        </w:rPr>
        <w:t xml:space="preserve"> </w:t>
      </w:r>
      <w:r>
        <w:rPr>
          <w:rFonts w:hint="cs"/>
          <w:rtl/>
        </w:rPr>
        <w:t>ה</w:t>
      </w:r>
      <w:r w:rsidRPr="005002A5">
        <w:rPr>
          <w:rtl/>
        </w:rPr>
        <w:t>ספקת שירותים</w:t>
      </w:r>
      <w:r>
        <w:rPr>
          <w:rFonts w:hint="cs"/>
          <w:rtl/>
        </w:rPr>
        <w:t xml:space="preserve"> רציפה עודנו קיים חרף מנגנונים אלו</w:t>
      </w:r>
      <w:r>
        <w:rPr>
          <w:rStyle w:val="FootnoteReference"/>
          <w:rtl/>
        </w:rPr>
        <w:footnoteReference w:id="170"/>
      </w:r>
      <w:r w:rsidRPr="005002A5">
        <w:rPr>
          <w:rtl/>
        </w:rPr>
        <w:t>.</w:t>
      </w:r>
    </w:p>
    <w:p w14:paraId="1EE1A686" w14:textId="4B23C208" w:rsidR="00823E3A" w:rsidRDefault="00823E3A" w:rsidP="0051671A">
      <w:pPr>
        <w:pStyle w:val="100"/>
        <w:rPr>
          <w:rtl/>
        </w:rPr>
      </w:pPr>
      <w:r>
        <w:rPr>
          <w:rFonts w:hint="cs"/>
          <w:rtl/>
        </w:rPr>
        <w:t>לא זו בלבד, אלא</w:t>
      </w:r>
      <w:r w:rsidRPr="00A16F24">
        <w:rPr>
          <w:rFonts w:hint="cs"/>
          <w:rtl/>
        </w:rPr>
        <w:t xml:space="preserve"> </w:t>
      </w:r>
      <w:r>
        <w:rPr>
          <w:rFonts w:hint="cs"/>
          <w:rtl/>
        </w:rPr>
        <w:t>שב</w:t>
      </w:r>
      <w:r w:rsidRPr="00A16F24">
        <w:rPr>
          <w:rFonts w:hint="cs"/>
          <w:rtl/>
        </w:rPr>
        <w:t>שו</w:t>
      </w:r>
      <w:r>
        <w:rPr>
          <w:rFonts w:hint="cs"/>
          <w:rtl/>
        </w:rPr>
        <w:t>ו</w:t>
      </w:r>
      <w:r w:rsidRPr="00A16F24">
        <w:rPr>
          <w:rFonts w:hint="cs"/>
          <w:rtl/>
        </w:rPr>
        <w:t>ק</w:t>
      </w:r>
      <w:r>
        <w:rPr>
          <w:rFonts w:hint="cs"/>
          <w:rtl/>
        </w:rPr>
        <w:t>ים</w:t>
      </w:r>
      <w:r w:rsidRPr="00A16F24">
        <w:rPr>
          <w:rFonts w:hint="cs"/>
          <w:rtl/>
        </w:rPr>
        <w:t xml:space="preserve"> ריכוזי</w:t>
      </w:r>
      <w:r>
        <w:rPr>
          <w:rFonts w:hint="cs"/>
          <w:rtl/>
        </w:rPr>
        <w:t>ים,</w:t>
      </w:r>
      <w:r w:rsidRPr="00A16F24">
        <w:rPr>
          <w:rFonts w:hint="cs"/>
          <w:rtl/>
        </w:rPr>
        <w:t xml:space="preserve"> </w:t>
      </w:r>
      <w:r>
        <w:rPr>
          <w:rFonts w:hint="cs"/>
          <w:rtl/>
        </w:rPr>
        <w:t>שבהם מעטים ה</w:t>
      </w:r>
      <w:r w:rsidRPr="00A16F24">
        <w:rPr>
          <w:rFonts w:hint="cs"/>
          <w:rtl/>
        </w:rPr>
        <w:t xml:space="preserve">גורמים </w:t>
      </w:r>
      <w:r>
        <w:rPr>
          <w:rFonts w:hint="cs"/>
          <w:rtl/>
        </w:rPr>
        <w:t>ה</w:t>
      </w:r>
      <w:r w:rsidRPr="00A16F24">
        <w:rPr>
          <w:rFonts w:hint="cs"/>
          <w:rtl/>
        </w:rPr>
        <w:t>מממנים ו</w:t>
      </w:r>
      <w:r>
        <w:rPr>
          <w:rFonts w:hint="cs"/>
          <w:rtl/>
        </w:rPr>
        <w:t>ה</w:t>
      </w:r>
      <w:r w:rsidRPr="00A16F24">
        <w:rPr>
          <w:rFonts w:hint="cs"/>
          <w:rtl/>
        </w:rPr>
        <w:t xml:space="preserve">זכיינים </w:t>
      </w:r>
      <w:r>
        <w:rPr>
          <w:rFonts w:hint="cs"/>
          <w:rtl/>
        </w:rPr>
        <w:t>ה</w:t>
      </w:r>
      <w:r w:rsidRPr="00A16F24">
        <w:rPr>
          <w:rFonts w:hint="cs"/>
          <w:rtl/>
        </w:rPr>
        <w:t>פוטנציאליים</w:t>
      </w:r>
      <w:r>
        <w:rPr>
          <w:rFonts w:hint="cs"/>
          <w:rtl/>
        </w:rPr>
        <w:t>,</w:t>
      </w:r>
      <w:r w:rsidRPr="00A16F24">
        <w:rPr>
          <w:rFonts w:hint="cs"/>
          <w:rtl/>
        </w:rPr>
        <w:t xml:space="preserve"> </w:t>
      </w:r>
      <w:r>
        <w:rPr>
          <w:rFonts w:hint="cs"/>
          <w:rtl/>
        </w:rPr>
        <w:t>נוצרת</w:t>
      </w:r>
      <w:r w:rsidRPr="00A16F24">
        <w:rPr>
          <w:rFonts w:hint="cs"/>
          <w:rtl/>
        </w:rPr>
        <w:t xml:space="preserve"> תלות של המדינה</w:t>
      </w:r>
      <w:r>
        <w:rPr>
          <w:rFonts w:hint="cs"/>
          <w:rtl/>
        </w:rPr>
        <w:t xml:space="preserve"> בהם הפוגעת</w:t>
      </w:r>
      <w:r w:rsidRPr="00A16F24">
        <w:rPr>
          <w:rFonts w:hint="cs"/>
          <w:rtl/>
        </w:rPr>
        <w:t xml:space="preserve"> ביכולתה לאכוף את הסכמי הזיכיון. </w:t>
      </w:r>
      <w:r>
        <w:rPr>
          <w:rFonts w:hint="cs"/>
          <w:rtl/>
        </w:rPr>
        <w:t xml:space="preserve">לפיכך, אף </w:t>
      </w:r>
      <w:r w:rsidRPr="00A16F24">
        <w:rPr>
          <w:rFonts w:hint="cs"/>
          <w:rtl/>
        </w:rPr>
        <w:t>שהמדינה נוהגת להעביר את מרב הסיכונים לזכיין</w:t>
      </w:r>
      <w:r>
        <w:rPr>
          <w:rFonts w:hint="cs"/>
          <w:rtl/>
        </w:rPr>
        <w:t xml:space="preserve"> -</w:t>
      </w:r>
      <w:r w:rsidRPr="00A16F24">
        <w:rPr>
          <w:rFonts w:hint="cs"/>
          <w:rtl/>
        </w:rPr>
        <w:t xml:space="preserve"> </w:t>
      </w:r>
      <w:r>
        <w:rPr>
          <w:rFonts w:hint="cs"/>
          <w:rtl/>
        </w:rPr>
        <w:t>שמצידו מגלם את הסיכונים</w:t>
      </w:r>
      <w:r w:rsidRPr="00A16F24">
        <w:rPr>
          <w:rFonts w:hint="cs"/>
          <w:rtl/>
        </w:rPr>
        <w:t xml:space="preserve"> במחיר הפרויקט</w:t>
      </w:r>
      <w:r>
        <w:rPr>
          <w:rFonts w:hint="cs"/>
          <w:rtl/>
        </w:rPr>
        <w:t xml:space="preserve"> -</w:t>
      </w:r>
      <w:r w:rsidRPr="00A16F24">
        <w:rPr>
          <w:rFonts w:hint="cs"/>
          <w:rtl/>
        </w:rPr>
        <w:t xml:space="preserve"> </w:t>
      </w:r>
      <w:r>
        <w:rPr>
          <w:rFonts w:hint="cs"/>
          <w:rtl/>
        </w:rPr>
        <w:t>ומעגנת בחוזי הזיכיון את הכלים הדרושים לאכיפה,</w:t>
      </w:r>
      <w:r w:rsidRPr="00A16F24">
        <w:rPr>
          <w:rFonts w:hint="cs"/>
          <w:rtl/>
        </w:rPr>
        <w:t xml:space="preserve"> </w:t>
      </w:r>
      <w:r>
        <w:rPr>
          <w:rFonts w:hint="cs"/>
          <w:rtl/>
        </w:rPr>
        <w:t xml:space="preserve">בדרך כלל </w:t>
      </w:r>
      <w:r w:rsidRPr="00A16F24">
        <w:rPr>
          <w:rFonts w:hint="cs"/>
          <w:rtl/>
        </w:rPr>
        <w:t>לא נעשה</w:t>
      </w:r>
      <w:r>
        <w:rPr>
          <w:rFonts w:hint="cs"/>
          <w:rtl/>
        </w:rPr>
        <w:t xml:space="preserve"> </w:t>
      </w:r>
      <w:r w:rsidRPr="00A16F24">
        <w:rPr>
          <w:rFonts w:hint="cs"/>
          <w:rtl/>
        </w:rPr>
        <w:t xml:space="preserve">שימוש </w:t>
      </w:r>
      <w:r>
        <w:rPr>
          <w:rFonts w:hint="cs"/>
          <w:rtl/>
        </w:rPr>
        <w:t>בהם</w:t>
      </w:r>
      <w:r w:rsidRPr="00A16F24">
        <w:rPr>
          <w:rFonts w:hint="cs"/>
          <w:rtl/>
        </w:rPr>
        <w:t xml:space="preserve"> במקרים של</w:t>
      </w:r>
      <w:r>
        <w:rPr>
          <w:rFonts w:hint="cs"/>
          <w:rtl/>
        </w:rPr>
        <w:t xml:space="preserve"> הפרות החוזה מצד הזכיין.</w:t>
      </w:r>
    </w:p>
    <w:p w14:paraId="0762DBBE" w14:textId="3909E777" w:rsidR="00823E3A" w:rsidRPr="0051671A" w:rsidRDefault="00823E3A" w:rsidP="0051671A">
      <w:pPr>
        <w:pStyle w:val="100"/>
        <w:rPr>
          <w:b/>
          <w:bCs/>
          <w:rtl/>
        </w:rPr>
      </w:pPr>
      <w:r w:rsidRPr="0064129C">
        <w:rPr>
          <w:rFonts w:hint="eastAsia"/>
          <w:rtl/>
        </w:rPr>
        <w:t>נ</w:t>
      </w:r>
      <w:r w:rsidRPr="002108DB">
        <w:rPr>
          <w:rFonts w:hint="cs"/>
          <w:rtl/>
        </w:rPr>
        <w:t>מ</w:t>
      </w:r>
      <w:r w:rsidRPr="0064129C">
        <w:rPr>
          <w:rFonts w:hint="eastAsia"/>
          <w:rtl/>
        </w:rPr>
        <w:t>צא</w:t>
      </w:r>
      <w:r w:rsidRPr="0064129C">
        <w:rPr>
          <w:rtl/>
        </w:rPr>
        <w:t xml:space="preserve"> </w:t>
      </w:r>
      <w:r w:rsidRPr="0064129C">
        <w:rPr>
          <w:rFonts w:hint="eastAsia"/>
          <w:rtl/>
        </w:rPr>
        <w:t>כי</w:t>
      </w:r>
      <w:r w:rsidRPr="0064129C">
        <w:rPr>
          <w:rtl/>
        </w:rPr>
        <w:t xml:space="preserve"> </w:t>
      </w:r>
      <w:r w:rsidRPr="0064129C">
        <w:rPr>
          <w:rFonts w:hint="eastAsia"/>
          <w:rtl/>
        </w:rPr>
        <w:t>ב</w:t>
      </w:r>
      <w:r>
        <w:rPr>
          <w:rFonts w:hint="cs"/>
          <w:rtl/>
        </w:rPr>
        <w:t>כמה</w:t>
      </w:r>
      <w:r w:rsidRPr="0064129C">
        <w:rPr>
          <w:rtl/>
        </w:rPr>
        <w:t xml:space="preserve"> </w:t>
      </w:r>
      <w:r w:rsidRPr="0064129C">
        <w:rPr>
          <w:rFonts w:hint="eastAsia"/>
          <w:rtl/>
        </w:rPr>
        <w:t>פרויק</w:t>
      </w:r>
      <w:r>
        <w:rPr>
          <w:rFonts w:hint="cs"/>
          <w:rtl/>
        </w:rPr>
        <w:t>ט</w:t>
      </w:r>
      <w:r w:rsidRPr="0064129C">
        <w:rPr>
          <w:rFonts w:hint="eastAsia"/>
          <w:rtl/>
        </w:rPr>
        <w:t>ים</w:t>
      </w:r>
      <w:r w:rsidRPr="0064129C">
        <w:rPr>
          <w:rtl/>
        </w:rPr>
        <w:t xml:space="preserve"> </w:t>
      </w:r>
      <w:r w:rsidRPr="0064129C">
        <w:rPr>
          <w:rFonts w:hint="eastAsia"/>
          <w:rtl/>
        </w:rPr>
        <w:t>נמנעה</w:t>
      </w:r>
      <w:r w:rsidRPr="0064129C">
        <w:rPr>
          <w:rtl/>
        </w:rPr>
        <w:t xml:space="preserve"> </w:t>
      </w:r>
      <w:r w:rsidRPr="0064129C">
        <w:rPr>
          <w:rFonts w:hint="eastAsia"/>
          <w:rtl/>
        </w:rPr>
        <w:t>המדינה</w:t>
      </w:r>
      <w:r w:rsidRPr="0064129C">
        <w:rPr>
          <w:rtl/>
        </w:rPr>
        <w:t xml:space="preserve"> </w:t>
      </w:r>
      <w:r w:rsidRPr="0064129C">
        <w:rPr>
          <w:rFonts w:hint="eastAsia"/>
          <w:rtl/>
        </w:rPr>
        <w:t>מאכיפה</w:t>
      </w:r>
      <w:r w:rsidRPr="0064129C">
        <w:rPr>
          <w:rtl/>
        </w:rPr>
        <w:t xml:space="preserve"> </w:t>
      </w:r>
      <w:r w:rsidRPr="0064129C">
        <w:rPr>
          <w:rFonts w:hint="eastAsia"/>
          <w:rtl/>
        </w:rPr>
        <w:t>מלאה</w:t>
      </w:r>
      <w:r w:rsidRPr="0064129C">
        <w:rPr>
          <w:rtl/>
        </w:rPr>
        <w:t xml:space="preserve"> </w:t>
      </w:r>
      <w:r w:rsidRPr="0064129C">
        <w:rPr>
          <w:rFonts w:hint="eastAsia"/>
          <w:rtl/>
        </w:rPr>
        <w:t>של</w:t>
      </w:r>
      <w:r w:rsidRPr="0064129C">
        <w:rPr>
          <w:rtl/>
        </w:rPr>
        <w:t xml:space="preserve"> </w:t>
      </w:r>
      <w:r w:rsidRPr="0064129C">
        <w:rPr>
          <w:rFonts w:hint="eastAsia"/>
          <w:rtl/>
        </w:rPr>
        <w:t>הסכמי</w:t>
      </w:r>
      <w:r w:rsidRPr="0064129C">
        <w:rPr>
          <w:rtl/>
        </w:rPr>
        <w:t xml:space="preserve"> </w:t>
      </w:r>
      <w:r w:rsidRPr="0064129C">
        <w:rPr>
          <w:rFonts w:hint="eastAsia"/>
          <w:rtl/>
        </w:rPr>
        <w:t>הזיכיון</w:t>
      </w:r>
      <w:r w:rsidRPr="0064129C">
        <w:rPr>
          <w:rtl/>
        </w:rPr>
        <w:t xml:space="preserve"> </w:t>
      </w:r>
      <w:r>
        <w:rPr>
          <w:rFonts w:hint="cs"/>
          <w:rtl/>
        </w:rPr>
        <w:t>או ערכה שינויים בהסכמים אלו שהיטיבו עם הזכיין</w:t>
      </w:r>
      <w:r w:rsidRPr="0064129C">
        <w:rPr>
          <w:rtl/>
        </w:rPr>
        <w:t xml:space="preserve">. להלן </w:t>
      </w:r>
      <w:r>
        <w:rPr>
          <w:rFonts w:hint="cs"/>
          <w:rtl/>
        </w:rPr>
        <w:t xml:space="preserve">שתי </w:t>
      </w:r>
      <w:r w:rsidRPr="0064129C">
        <w:rPr>
          <w:rtl/>
        </w:rPr>
        <w:t>דוגמאות:</w:t>
      </w:r>
    </w:p>
    <w:p w14:paraId="7694B62D" w14:textId="77777777" w:rsidR="00823E3A" w:rsidRDefault="00823E3A" w:rsidP="00017500">
      <w:pPr>
        <w:pStyle w:val="a1"/>
        <w:numPr>
          <w:ilvl w:val="0"/>
          <w:numId w:val="43"/>
        </w:numPr>
      </w:pPr>
      <w:r w:rsidRPr="00017500">
        <w:rPr>
          <w:rStyle w:val="Heading6Char"/>
          <w:rFonts w:hint="eastAsia"/>
          <w:color w:val="387026"/>
          <w:spacing w:val="0"/>
          <w:rtl/>
        </w:rPr>
        <w:t>פרויקט</w:t>
      </w:r>
      <w:r w:rsidRPr="00017500">
        <w:rPr>
          <w:rStyle w:val="Heading6Char"/>
          <w:color w:val="387026"/>
          <w:spacing w:val="0"/>
          <w:rtl/>
        </w:rPr>
        <w:t xml:space="preserve"> מתקן ההתפלה שורק:</w:t>
      </w:r>
      <w:r w:rsidRPr="00017500">
        <w:rPr>
          <w:rStyle w:val="Heading6Char"/>
          <w:color w:val="387026"/>
          <w:rtl/>
        </w:rPr>
        <w:t xml:space="preserve"> </w:t>
      </w:r>
      <w:r w:rsidRPr="00445D44">
        <w:rPr>
          <w:rFonts w:hint="cs"/>
          <w:rtl/>
        </w:rPr>
        <w:t xml:space="preserve">ועדת הבדיקה המליצה למנהלת ההתפלה לקנוס את הזכיין בגין </w:t>
      </w:r>
      <w:r w:rsidRPr="00445D44">
        <w:rPr>
          <w:rFonts w:hint="eastAsia"/>
          <w:rtl/>
        </w:rPr>
        <w:t>הפרותיו</w:t>
      </w:r>
      <w:r w:rsidRPr="00445D44">
        <w:rPr>
          <w:rFonts w:hint="cs"/>
          <w:rtl/>
        </w:rPr>
        <w:t xml:space="preserve"> בסכום הנמוך בעשרות מיליוני שקלים מזה שהוגדר בהסכם הזיכיון. זאת בעקבות שקלול חלקי של סכום הפיצוי הן בגין כמות המים שסיפק המתקן והן בגין תקופת החריגה מהסכם הזיכיון. </w:t>
      </w:r>
      <w:r>
        <w:rPr>
          <w:rFonts w:hint="cs"/>
          <w:rtl/>
        </w:rPr>
        <w:t>ואולם,</w:t>
      </w:r>
      <w:r w:rsidRPr="00445D44">
        <w:rPr>
          <w:rtl/>
        </w:rPr>
        <w:t xml:space="preserve"> </w:t>
      </w:r>
      <w:r>
        <w:rPr>
          <w:rFonts w:hint="cs"/>
          <w:rtl/>
        </w:rPr>
        <w:t xml:space="preserve">לפי מסקנות </w:t>
      </w:r>
      <w:r w:rsidRPr="00445D44">
        <w:rPr>
          <w:rFonts w:hint="eastAsia"/>
          <w:rtl/>
        </w:rPr>
        <w:t>הוועדה</w:t>
      </w:r>
      <w:r>
        <w:rPr>
          <w:rFonts w:hint="cs"/>
          <w:rtl/>
        </w:rPr>
        <w:t xml:space="preserve"> עולה כי</w:t>
      </w:r>
      <w:r w:rsidRPr="00445D44">
        <w:rPr>
          <w:rtl/>
        </w:rPr>
        <w:t xml:space="preserve"> </w:t>
      </w:r>
      <w:r>
        <w:rPr>
          <w:rFonts w:hint="cs"/>
          <w:rtl/>
        </w:rPr>
        <w:t xml:space="preserve">ברוב שעות היום הייתה </w:t>
      </w:r>
      <w:r w:rsidRPr="00445D44">
        <w:rPr>
          <w:rtl/>
        </w:rPr>
        <w:t xml:space="preserve">חריגה שיטתית, מהסכם הזיכיון בכמות המים שסיפק המתקן, וכן חריגה </w:t>
      </w:r>
      <w:r>
        <w:rPr>
          <w:rFonts w:hint="cs"/>
          <w:rtl/>
        </w:rPr>
        <w:t>מפעם לפעם</w:t>
      </w:r>
      <w:r w:rsidRPr="00445D44">
        <w:rPr>
          <w:rtl/>
        </w:rPr>
        <w:t xml:space="preserve"> עוד קודם</w:t>
      </w:r>
      <w:r>
        <w:rPr>
          <w:rFonts w:hint="cs"/>
          <w:rtl/>
        </w:rPr>
        <w:t xml:space="preserve"> לכן</w:t>
      </w:r>
      <w:r w:rsidRPr="00445D44">
        <w:rPr>
          <w:rtl/>
        </w:rPr>
        <w:t>.</w:t>
      </w:r>
    </w:p>
    <w:p w14:paraId="79E98692" w14:textId="70C912AD" w:rsidR="00823E3A" w:rsidRDefault="00823E3A" w:rsidP="00017500">
      <w:pPr>
        <w:pStyle w:val="af4"/>
      </w:pPr>
      <w:r>
        <w:rPr>
          <w:rFonts w:hint="cs"/>
          <w:rtl/>
        </w:rPr>
        <w:t xml:space="preserve">בתשובתה של חטיבת תשתיות ופרויקטים נאמר: "ועדת הבדיקה </w:t>
      </w:r>
      <w:r w:rsidRPr="00CC4CB9">
        <w:rPr>
          <w:rFonts w:hint="eastAsia"/>
          <w:rtl/>
        </w:rPr>
        <w:t>המליצה</w:t>
      </w:r>
      <w:r w:rsidRPr="00CC4CB9">
        <w:rPr>
          <w:rtl/>
        </w:rPr>
        <w:t xml:space="preserve"> להטיל על הזכיין סנקציה כספית משמעותית, בשים לב לאומדן התועלת הכספית שנוצרה למתפיל </w:t>
      </w:r>
      <w:r w:rsidRPr="00CC4CB9">
        <w:rPr>
          <w:rtl/>
        </w:rPr>
        <w:lastRenderedPageBreak/>
        <w:t>ולממצאי הוועדה בכלל</w:t>
      </w:r>
      <w:r w:rsidRPr="002E5312">
        <w:rPr>
          <w:rtl/>
        </w:rPr>
        <w:t>ותם. חישוב הקנס</w:t>
      </w:r>
      <w:r>
        <w:rPr>
          <w:rFonts w:hint="cs"/>
          <w:rtl/>
        </w:rPr>
        <w:t xml:space="preserve">... </w:t>
      </w:r>
      <w:r w:rsidRPr="00CC4CB9">
        <w:rPr>
          <w:rtl/>
        </w:rPr>
        <w:t>נעשה לפי כמויות המים לגביהן קיימות בדיקות מעבדה של מקורות.</w:t>
      </w:r>
      <w:r>
        <w:rPr>
          <w:rFonts w:hint="cs"/>
          <w:rtl/>
        </w:rPr>
        <w:t>"</w:t>
      </w:r>
    </w:p>
    <w:p w14:paraId="3EAF4C6D" w14:textId="45D9540E" w:rsidR="00823E3A" w:rsidRDefault="00823E3A" w:rsidP="00017500">
      <w:pPr>
        <w:pStyle w:val="a1"/>
        <w:rPr>
          <w:rtl/>
        </w:rPr>
      </w:pPr>
      <w:r w:rsidRPr="00017500">
        <w:rPr>
          <w:rStyle w:val="Heading6Char"/>
          <w:rFonts w:hint="eastAsia"/>
          <w:color w:val="387026"/>
          <w:spacing w:val="0"/>
          <w:rtl/>
        </w:rPr>
        <w:t>פרויקט</w:t>
      </w:r>
      <w:r w:rsidRPr="00017500">
        <w:rPr>
          <w:rStyle w:val="Heading6Char"/>
          <w:color w:val="387026"/>
          <w:spacing w:val="0"/>
          <w:rtl/>
        </w:rPr>
        <w:t xml:space="preserve"> הרכבת הקלה בירושלים:</w:t>
      </w:r>
      <w:r w:rsidRPr="00017500">
        <w:rPr>
          <w:rStyle w:val="Heading6Char"/>
          <w:color w:val="387026"/>
          <w:rtl/>
        </w:rPr>
        <w:t xml:space="preserve"> </w:t>
      </w:r>
      <w:r>
        <w:rPr>
          <w:rFonts w:hint="cs"/>
          <w:rtl/>
        </w:rPr>
        <w:t>דוח מבקר המדינה משנת 2019 הצביע על שינויים שבוצעו במנגנון הטלת הקנסות ובתדירות ההגעה של הרכבות אשר הקלו על הזכיין. לפי הנתונים של מנהל יחידת המהנדס</w:t>
      </w:r>
      <w:r>
        <w:rPr>
          <w:rStyle w:val="FootnoteReference"/>
          <w:rtl/>
        </w:rPr>
        <w:footnoteReference w:id="171"/>
      </w:r>
      <w:r>
        <w:rPr>
          <w:rFonts w:hint="cs"/>
          <w:rtl/>
        </w:rPr>
        <w:t>, מנגנון הקנס שעודכן לא קנס כלל את הזכיין בגין חריגה מהתדירות שנקבעה בין הצדדים</w:t>
      </w:r>
      <w:r>
        <w:rPr>
          <w:rStyle w:val="FootnoteReference"/>
          <w:rtl/>
        </w:rPr>
        <w:footnoteReference w:id="172"/>
      </w:r>
      <w:r>
        <w:rPr>
          <w:rFonts w:hint="cs"/>
          <w:rtl/>
        </w:rPr>
        <w:t xml:space="preserve"> ביחס להסכם הזיכיון המקורי, זאת אף שלפיו היה על הזכיין לשלם למדינה קנס בסך של 687,000 ש"ח עבור החודשים ינואר-יולי 2017.</w:t>
      </w:r>
    </w:p>
    <w:p w14:paraId="1F53C62A" w14:textId="1DCC984C" w:rsidR="00823E3A" w:rsidRPr="00487B4E" w:rsidRDefault="00823E3A" w:rsidP="00017500">
      <w:pPr>
        <w:pStyle w:val="af5"/>
        <w:rPr>
          <w:rtl/>
        </w:rPr>
      </w:pPr>
      <w:r>
        <w:rPr>
          <w:rFonts w:hint="cs"/>
          <w:rtl/>
        </w:rPr>
        <w:t>מוצע כי ש</w:t>
      </w:r>
      <w:r w:rsidRPr="0064129C">
        <w:rPr>
          <w:rFonts w:hint="eastAsia"/>
          <w:rtl/>
        </w:rPr>
        <w:t>ימוש</w:t>
      </w:r>
      <w:r w:rsidRPr="0064129C">
        <w:rPr>
          <w:rtl/>
        </w:rPr>
        <w:t xml:space="preserve"> </w:t>
      </w:r>
      <w:r w:rsidRPr="0064129C">
        <w:rPr>
          <w:rFonts w:hint="eastAsia"/>
          <w:rtl/>
        </w:rPr>
        <w:t>מופחת</w:t>
      </w:r>
      <w:r w:rsidRPr="0064129C">
        <w:rPr>
          <w:rtl/>
        </w:rPr>
        <w:t xml:space="preserve"> </w:t>
      </w:r>
      <w:r w:rsidRPr="0064129C">
        <w:rPr>
          <w:rFonts w:hint="eastAsia"/>
          <w:rtl/>
        </w:rPr>
        <w:t>במנגנוני</w:t>
      </w:r>
      <w:r w:rsidRPr="0064129C">
        <w:rPr>
          <w:rtl/>
        </w:rPr>
        <w:t xml:space="preserve"> </w:t>
      </w:r>
      <w:r w:rsidRPr="0064129C">
        <w:rPr>
          <w:rFonts w:hint="eastAsia"/>
          <w:rtl/>
        </w:rPr>
        <w:t>הענישה</w:t>
      </w:r>
      <w:r w:rsidRPr="0064129C">
        <w:rPr>
          <w:rtl/>
        </w:rPr>
        <w:t xml:space="preserve"> </w:t>
      </w:r>
      <w:r w:rsidRPr="0064129C">
        <w:rPr>
          <w:rFonts w:hint="eastAsia"/>
          <w:rtl/>
        </w:rPr>
        <w:t>הקבועים</w:t>
      </w:r>
      <w:r w:rsidRPr="0064129C">
        <w:rPr>
          <w:rtl/>
        </w:rPr>
        <w:t xml:space="preserve"> </w:t>
      </w:r>
      <w:r w:rsidRPr="0064129C">
        <w:rPr>
          <w:rFonts w:hint="eastAsia"/>
          <w:rtl/>
        </w:rPr>
        <w:t>בהסכמי</w:t>
      </w:r>
      <w:r w:rsidRPr="0064129C">
        <w:rPr>
          <w:rtl/>
        </w:rPr>
        <w:t xml:space="preserve"> </w:t>
      </w:r>
      <w:r w:rsidRPr="0064129C">
        <w:rPr>
          <w:rFonts w:hint="eastAsia"/>
          <w:rtl/>
        </w:rPr>
        <w:t>הזיכיון</w:t>
      </w:r>
      <w:r>
        <w:rPr>
          <w:rFonts w:hint="cs"/>
          <w:rtl/>
        </w:rPr>
        <w:t xml:space="preserve"> ובכלל זה </w:t>
      </w:r>
      <w:r w:rsidRPr="0064129C">
        <w:rPr>
          <w:rFonts w:hint="eastAsia"/>
          <w:rtl/>
        </w:rPr>
        <w:t>הפחתת</w:t>
      </w:r>
      <w:r w:rsidRPr="0064129C">
        <w:rPr>
          <w:rtl/>
        </w:rPr>
        <w:t xml:space="preserve"> </w:t>
      </w:r>
      <w:r w:rsidRPr="0064129C">
        <w:rPr>
          <w:rFonts w:hint="eastAsia"/>
          <w:rtl/>
        </w:rPr>
        <w:t>התשלומים</w:t>
      </w:r>
      <w:r w:rsidRPr="0064129C">
        <w:rPr>
          <w:rtl/>
        </w:rPr>
        <w:t xml:space="preserve"> </w:t>
      </w:r>
      <w:r w:rsidRPr="0064129C">
        <w:rPr>
          <w:rFonts w:hint="eastAsia"/>
          <w:rtl/>
        </w:rPr>
        <w:t>על</w:t>
      </w:r>
      <w:r w:rsidRPr="0064129C">
        <w:rPr>
          <w:rtl/>
        </w:rPr>
        <w:t xml:space="preserve"> </w:t>
      </w:r>
      <w:r w:rsidRPr="0064129C">
        <w:rPr>
          <w:rFonts w:hint="eastAsia"/>
          <w:rtl/>
        </w:rPr>
        <w:t>פי</w:t>
      </w:r>
      <w:r w:rsidRPr="0064129C">
        <w:rPr>
          <w:rtl/>
        </w:rPr>
        <w:t xml:space="preserve"> </w:t>
      </w:r>
      <w:r w:rsidRPr="0064129C">
        <w:rPr>
          <w:rFonts w:hint="eastAsia"/>
          <w:rtl/>
        </w:rPr>
        <w:t>מנגנון</w:t>
      </w:r>
      <w:r w:rsidRPr="0064129C">
        <w:rPr>
          <w:rtl/>
        </w:rPr>
        <w:t xml:space="preserve"> </w:t>
      </w:r>
      <w:r w:rsidRPr="0064129C">
        <w:rPr>
          <w:rFonts w:hint="eastAsia"/>
          <w:rtl/>
        </w:rPr>
        <w:t>הקנסות</w:t>
      </w:r>
      <w:r>
        <w:rPr>
          <w:rFonts w:hint="cs"/>
          <w:rtl/>
        </w:rPr>
        <w:t xml:space="preserve"> יעשה בדרך שלא תתמרץ הפרת הסכמים על ידי הזכיינים.</w:t>
      </w:r>
    </w:p>
    <w:p w14:paraId="724CB0B6" w14:textId="6462BF21" w:rsidR="00823E3A" w:rsidRPr="00487B4E" w:rsidRDefault="00823E3A" w:rsidP="00017500">
      <w:pPr>
        <w:pStyle w:val="100"/>
        <w:rPr>
          <w:rtl/>
        </w:rPr>
      </w:pPr>
      <w:r w:rsidRPr="00487B4E">
        <w:rPr>
          <w:rFonts w:hint="cs"/>
          <w:rtl/>
        </w:rPr>
        <w:t>בפסיקה</w:t>
      </w:r>
      <w:r w:rsidRPr="00487B4E">
        <w:rPr>
          <w:rtl/>
        </w:rPr>
        <w:t xml:space="preserve"> </w:t>
      </w:r>
      <w:r w:rsidRPr="00487B4E">
        <w:rPr>
          <w:rFonts w:hint="cs"/>
          <w:rtl/>
        </w:rPr>
        <w:t>נקבע</w:t>
      </w:r>
      <w:r w:rsidRPr="00487B4E">
        <w:rPr>
          <w:rtl/>
        </w:rPr>
        <w:t xml:space="preserve"> </w:t>
      </w:r>
      <w:r w:rsidRPr="00487B4E">
        <w:rPr>
          <w:rFonts w:hint="cs"/>
          <w:rtl/>
        </w:rPr>
        <w:t>כי</w:t>
      </w:r>
      <w:r w:rsidRPr="00487B4E">
        <w:rPr>
          <w:rtl/>
        </w:rPr>
        <w:t xml:space="preserve"> </w:t>
      </w:r>
      <w:r w:rsidRPr="00487B4E">
        <w:rPr>
          <w:rFonts w:hint="cs"/>
          <w:rtl/>
        </w:rPr>
        <w:t>יש</w:t>
      </w:r>
      <w:r w:rsidRPr="00487B4E">
        <w:rPr>
          <w:rtl/>
        </w:rPr>
        <w:t xml:space="preserve"> </w:t>
      </w:r>
      <w:r w:rsidRPr="00487B4E">
        <w:rPr>
          <w:rFonts w:hint="cs"/>
          <w:rtl/>
        </w:rPr>
        <w:t>נסיבות</w:t>
      </w:r>
      <w:r w:rsidRPr="00487B4E">
        <w:rPr>
          <w:rtl/>
        </w:rPr>
        <w:t xml:space="preserve"> </w:t>
      </w:r>
      <w:r w:rsidRPr="00487B4E">
        <w:rPr>
          <w:rFonts w:hint="cs"/>
          <w:rtl/>
        </w:rPr>
        <w:t>חריגות</w:t>
      </w:r>
      <w:r w:rsidRPr="00487B4E">
        <w:rPr>
          <w:rtl/>
        </w:rPr>
        <w:t xml:space="preserve"> </w:t>
      </w:r>
      <w:r w:rsidRPr="00487B4E">
        <w:rPr>
          <w:rFonts w:hint="cs"/>
          <w:rtl/>
        </w:rPr>
        <w:t>אשר</w:t>
      </w:r>
      <w:r w:rsidRPr="00487B4E">
        <w:rPr>
          <w:rtl/>
        </w:rPr>
        <w:t xml:space="preserve"> </w:t>
      </w:r>
      <w:r w:rsidRPr="00487B4E">
        <w:rPr>
          <w:rFonts w:hint="cs"/>
          <w:rtl/>
        </w:rPr>
        <w:t>מצדיקות</w:t>
      </w:r>
      <w:r w:rsidRPr="00487B4E">
        <w:rPr>
          <w:rtl/>
        </w:rPr>
        <w:t xml:space="preserve"> </w:t>
      </w:r>
      <w:r w:rsidRPr="00487B4E">
        <w:rPr>
          <w:rFonts w:hint="cs"/>
          <w:rtl/>
        </w:rPr>
        <w:t>פסילה</w:t>
      </w:r>
      <w:r w:rsidRPr="00487B4E">
        <w:rPr>
          <w:rtl/>
        </w:rPr>
        <w:t xml:space="preserve"> </w:t>
      </w:r>
      <w:r w:rsidRPr="00487B4E">
        <w:rPr>
          <w:rFonts w:hint="cs"/>
          <w:rtl/>
        </w:rPr>
        <w:t>אוטומטית</w:t>
      </w:r>
      <w:r w:rsidRPr="00487B4E">
        <w:rPr>
          <w:rtl/>
        </w:rPr>
        <w:t xml:space="preserve"> </w:t>
      </w:r>
      <w:r w:rsidRPr="00487B4E">
        <w:rPr>
          <w:rFonts w:hint="cs"/>
          <w:rtl/>
        </w:rPr>
        <w:t>של</w:t>
      </w:r>
      <w:r w:rsidRPr="00487B4E">
        <w:rPr>
          <w:rtl/>
        </w:rPr>
        <w:t xml:space="preserve"> </w:t>
      </w:r>
      <w:r w:rsidRPr="00487B4E">
        <w:rPr>
          <w:rFonts w:hint="cs"/>
          <w:rtl/>
        </w:rPr>
        <w:t>מציע</w:t>
      </w:r>
      <w:r w:rsidRPr="00487B4E">
        <w:rPr>
          <w:rtl/>
        </w:rPr>
        <w:t xml:space="preserve"> </w:t>
      </w:r>
      <w:r w:rsidRPr="00487B4E">
        <w:rPr>
          <w:rFonts w:hint="cs"/>
          <w:rtl/>
        </w:rPr>
        <w:t>מלהשתתף</w:t>
      </w:r>
      <w:r w:rsidRPr="00487B4E">
        <w:rPr>
          <w:rtl/>
        </w:rPr>
        <w:t xml:space="preserve"> </w:t>
      </w:r>
      <w:r w:rsidRPr="00487B4E">
        <w:rPr>
          <w:rFonts w:hint="cs"/>
          <w:rtl/>
        </w:rPr>
        <w:t>במכרז</w:t>
      </w:r>
      <w:r w:rsidRPr="00487B4E">
        <w:rPr>
          <w:rtl/>
        </w:rPr>
        <w:t xml:space="preserve">. </w:t>
      </w:r>
      <w:r w:rsidRPr="00487B4E">
        <w:rPr>
          <w:rFonts w:hint="cs"/>
          <w:rtl/>
        </w:rPr>
        <w:t>כך</w:t>
      </w:r>
      <w:r w:rsidRPr="00487B4E">
        <w:rPr>
          <w:rtl/>
        </w:rPr>
        <w:t xml:space="preserve"> </w:t>
      </w:r>
      <w:r w:rsidRPr="00487B4E">
        <w:rPr>
          <w:rFonts w:hint="cs"/>
          <w:rtl/>
        </w:rPr>
        <w:t>גם</w:t>
      </w:r>
      <w:r w:rsidRPr="00487B4E">
        <w:rPr>
          <w:rtl/>
        </w:rPr>
        <w:t xml:space="preserve"> </w:t>
      </w:r>
      <w:r>
        <w:rPr>
          <w:rFonts w:hint="cs"/>
          <w:rtl/>
        </w:rPr>
        <w:t>התנסות שלילית</w:t>
      </w:r>
      <w:r w:rsidRPr="00487B4E">
        <w:rPr>
          <w:rtl/>
        </w:rPr>
        <w:t xml:space="preserve"> </w:t>
      </w:r>
      <w:r w:rsidRPr="00487B4E">
        <w:rPr>
          <w:rFonts w:hint="cs"/>
          <w:rtl/>
        </w:rPr>
        <w:t>שה</w:t>
      </w:r>
      <w:r>
        <w:rPr>
          <w:rFonts w:hint="cs"/>
          <w:rtl/>
        </w:rPr>
        <w:t>י</w:t>
      </w:r>
      <w:r w:rsidRPr="00487B4E">
        <w:rPr>
          <w:rFonts w:hint="cs"/>
          <w:rtl/>
        </w:rPr>
        <w:t>י</w:t>
      </w:r>
      <w:r>
        <w:rPr>
          <w:rFonts w:hint="cs"/>
          <w:rtl/>
        </w:rPr>
        <w:t>ת</w:t>
      </w:r>
      <w:r w:rsidRPr="00487B4E">
        <w:rPr>
          <w:rFonts w:hint="cs"/>
          <w:rtl/>
        </w:rPr>
        <w:t>ה</w:t>
      </w:r>
      <w:r w:rsidRPr="00487B4E">
        <w:rPr>
          <w:rtl/>
        </w:rPr>
        <w:t xml:space="preserve"> </w:t>
      </w:r>
      <w:r w:rsidRPr="00487B4E">
        <w:rPr>
          <w:rFonts w:hint="cs"/>
          <w:rtl/>
        </w:rPr>
        <w:t>למפרסם</w:t>
      </w:r>
      <w:r w:rsidRPr="00487B4E">
        <w:rPr>
          <w:rtl/>
        </w:rPr>
        <w:t xml:space="preserve"> </w:t>
      </w:r>
      <w:r w:rsidRPr="00487B4E">
        <w:rPr>
          <w:rFonts w:hint="cs"/>
          <w:rtl/>
        </w:rPr>
        <w:t>המכרז</w:t>
      </w:r>
      <w:r w:rsidRPr="00487B4E">
        <w:rPr>
          <w:rtl/>
        </w:rPr>
        <w:t xml:space="preserve"> </w:t>
      </w:r>
      <w:r>
        <w:rPr>
          <w:rFonts w:hint="cs"/>
          <w:rtl/>
        </w:rPr>
        <w:t xml:space="preserve">בקשריו </w:t>
      </w:r>
      <w:r w:rsidRPr="00487B4E">
        <w:rPr>
          <w:rFonts w:hint="cs"/>
          <w:rtl/>
        </w:rPr>
        <w:t>עם</w:t>
      </w:r>
      <w:r w:rsidRPr="00487B4E">
        <w:rPr>
          <w:rtl/>
        </w:rPr>
        <w:t xml:space="preserve"> </w:t>
      </w:r>
      <w:r w:rsidRPr="00487B4E">
        <w:rPr>
          <w:rFonts w:hint="cs"/>
          <w:rtl/>
        </w:rPr>
        <w:t>מציע</w:t>
      </w:r>
      <w:r w:rsidRPr="00487B4E">
        <w:rPr>
          <w:rtl/>
        </w:rPr>
        <w:t xml:space="preserve"> </w:t>
      </w:r>
      <w:r w:rsidRPr="00487B4E">
        <w:rPr>
          <w:rFonts w:hint="cs"/>
          <w:rtl/>
        </w:rPr>
        <w:t>הוכר</w:t>
      </w:r>
      <w:r>
        <w:rPr>
          <w:rFonts w:hint="cs"/>
          <w:rtl/>
        </w:rPr>
        <w:t>ה</w:t>
      </w:r>
      <w:r w:rsidRPr="00487B4E">
        <w:rPr>
          <w:rtl/>
        </w:rPr>
        <w:t xml:space="preserve"> </w:t>
      </w:r>
      <w:r w:rsidRPr="00487B4E">
        <w:rPr>
          <w:rFonts w:hint="cs"/>
          <w:rtl/>
        </w:rPr>
        <w:t>בבתי</w:t>
      </w:r>
      <w:r w:rsidRPr="00487B4E">
        <w:rPr>
          <w:rtl/>
        </w:rPr>
        <w:t xml:space="preserve"> </w:t>
      </w:r>
      <w:r w:rsidRPr="00487B4E">
        <w:rPr>
          <w:rFonts w:hint="cs"/>
          <w:rtl/>
        </w:rPr>
        <w:t>המשפט</w:t>
      </w:r>
      <w:r w:rsidRPr="00487B4E">
        <w:rPr>
          <w:rtl/>
        </w:rPr>
        <w:t xml:space="preserve"> </w:t>
      </w:r>
      <w:r w:rsidRPr="00487B4E">
        <w:rPr>
          <w:rFonts w:hint="cs"/>
          <w:rtl/>
        </w:rPr>
        <w:t>כ</w:t>
      </w:r>
      <w:r>
        <w:rPr>
          <w:rFonts w:hint="cs"/>
          <w:rtl/>
        </w:rPr>
        <w:t>עילה ה</w:t>
      </w:r>
      <w:r w:rsidRPr="00487B4E">
        <w:rPr>
          <w:rFonts w:hint="cs"/>
          <w:rtl/>
        </w:rPr>
        <w:t>מצדיק</w:t>
      </w:r>
      <w:r>
        <w:rPr>
          <w:rFonts w:hint="cs"/>
          <w:rtl/>
        </w:rPr>
        <w:t>ה</w:t>
      </w:r>
      <w:r w:rsidRPr="00487B4E">
        <w:rPr>
          <w:rtl/>
        </w:rPr>
        <w:t xml:space="preserve"> </w:t>
      </w:r>
      <w:r>
        <w:rPr>
          <w:rFonts w:hint="cs"/>
          <w:rtl/>
        </w:rPr>
        <w:t xml:space="preserve">את </w:t>
      </w:r>
      <w:r w:rsidRPr="00487B4E">
        <w:rPr>
          <w:rFonts w:hint="cs"/>
          <w:rtl/>
        </w:rPr>
        <w:t>פסילת</w:t>
      </w:r>
      <w:r w:rsidRPr="00487B4E">
        <w:rPr>
          <w:rtl/>
        </w:rPr>
        <w:t xml:space="preserve"> </w:t>
      </w:r>
      <w:r w:rsidRPr="00487B4E">
        <w:rPr>
          <w:rFonts w:hint="cs"/>
          <w:rtl/>
        </w:rPr>
        <w:t>הצעה</w:t>
      </w:r>
      <w:r w:rsidRPr="00487B4E">
        <w:rPr>
          <w:rtl/>
        </w:rPr>
        <w:t xml:space="preserve"> </w:t>
      </w:r>
      <w:r w:rsidRPr="00487B4E">
        <w:rPr>
          <w:rFonts w:hint="cs"/>
          <w:rtl/>
        </w:rPr>
        <w:t>ו</w:t>
      </w:r>
      <w:r>
        <w:rPr>
          <w:rFonts w:hint="cs"/>
          <w:rtl/>
        </w:rPr>
        <w:t>את ה</w:t>
      </w:r>
      <w:r w:rsidRPr="00487B4E">
        <w:rPr>
          <w:rFonts w:hint="cs"/>
          <w:rtl/>
        </w:rPr>
        <w:t>השתתפות</w:t>
      </w:r>
      <w:r w:rsidRPr="00487B4E">
        <w:rPr>
          <w:rtl/>
        </w:rPr>
        <w:t xml:space="preserve"> </w:t>
      </w:r>
      <w:r w:rsidRPr="00487B4E">
        <w:rPr>
          <w:rFonts w:hint="cs"/>
          <w:rtl/>
        </w:rPr>
        <w:t>במכרז</w:t>
      </w:r>
      <w:r w:rsidRPr="00487B4E">
        <w:rPr>
          <w:rtl/>
        </w:rPr>
        <w:t xml:space="preserve">. </w:t>
      </w:r>
      <w:r w:rsidRPr="00487B4E">
        <w:rPr>
          <w:rFonts w:hint="cs"/>
          <w:rtl/>
        </w:rPr>
        <w:t>עם</w:t>
      </w:r>
      <w:r w:rsidRPr="00487B4E">
        <w:rPr>
          <w:rtl/>
        </w:rPr>
        <w:t xml:space="preserve"> </w:t>
      </w:r>
      <w:r w:rsidRPr="00487B4E">
        <w:rPr>
          <w:rFonts w:hint="cs"/>
          <w:rtl/>
        </w:rPr>
        <w:t>זאת</w:t>
      </w:r>
      <w:r w:rsidRPr="00487B4E">
        <w:rPr>
          <w:rtl/>
        </w:rPr>
        <w:t xml:space="preserve">, </w:t>
      </w:r>
      <w:r w:rsidRPr="00487B4E">
        <w:rPr>
          <w:rFonts w:hint="cs"/>
          <w:rtl/>
        </w:rPr>
        <w:t>החלטה</w:t>
      </w:r>
      <w:r w:rsidRPr="00487B4E">
        <w:rPr>
          <w:rtl/>
        </w:rPr>
        <w:t xml:space="preserve"> </w:t>
      </w:r>
      <w:r>
        <w:rPr>
          <w:rFonts w:hint="cs"/>
          <w:rtl/>
        </w:rPr>
        <w:t>כ</w:t>
      </w:r>
      <w:r w:rsidRPr="00487B4E">
        <w:rPr>
          <w:rFonts w:hint="cs"/>
          <w:rtl/>
        </w:rPr>
        <w:t>זו</w:t>
      </w:r>
      <w:r w:rsidRPr="00487B4E">
        <w:rPr>
          <w:rtl/>
        </w:rPr>
        <w:t xml:space="preserve"> </w:t>
      </w:r>
      <w:r w:rsidRPr="00487B4E">
        <w:rPr>
          <w:rFonts w:hint="cs"/>
          <w:rtl/>
        </w:rPr>
        <w:t>הי</w:t>
      </w:r>
      <w:r>
        <w:rPr>
          <w:rFonts w:hint="cs"/>
          <w:rtl/>
        </w:rPr>
        <w:t>א</w:t>
      </w:r>
      <w:r w:rsidRPr="00487B4E">
        <w:rPr>
          <w:rtl/>
        </w:rPr>
        <w:t xml:space="preserve"> </w:t>
      </w:r>
      <w:r w:rsidRPr="00487B4E">
        <w:rPr>
          <w:rFonts w:hint="cs"/>
          <w:rtl/>
        </w:rPr>
        <w:t>צעד</w:t>
      </w:r>
      <w:r w:rsidRPr="00487B4E">
        <w:rPr>
          <w:rtl/>
        </w:rPr>
        <w:t xml:space="preserve"> </w:t>
      </w:r>
      <w:r w:rsidRPr="00487B4E">
        <w:rPr>
          <w:rFonts w:hint="cs"/>
          <w:rtl/>
        </w:rPr>
        <w:t>חריג</w:t>
      </w:r>
      <w:r w:rsidRPr="00487B4E">
        <w:rPr>
          <w:rtl/>
        </w:rPr>
        <w:t xml:space="preserve"> </w:t>
      </w:r>
      <w:r w:rsidRPr="00487B4E">
        <w:rPr>
          <w:rFonts w:hint="cs"/>
          <w:rtl/>
        </w:rPr>
        <w:t>ביותר</w:t>
      </w:r>
      <w:r w:rsidRPr="00487B4E">
        <w:rPr>
          <w:rtl/>
        </w:rPr>
        <w:t xml:space="preserve"> </w:t>
      </w:r>
      <w:r>
        <w:rPr>
          <w:rFonts w:hint="cs"/>
          <w:rtl/>
        </w:rPr>
        <w:t xml:space="preserve">הפוגע </w:t>
      </w:r>
      <w:r w:rsidRPr="00487B4E">
        <w:rPr>
          <w:rFonts w:hint="cs"/>
          <w:rtl/>
        </w:rPr>
        <w:t>בעקרון</w:t>
      </w:r>
      <w:r w:rsidRPr="00487B4E">
        <w:rPr>
          <w:rtl/>
        </w:rPr>
        <w:t xml:space="preserve"> </w:t>
      </w:r>
      <w:r w:rsidRPr="00487B4E">
        <w:rPr>
          <w:rFonts w:hint="cs"/>
          <w:rtl/>
        </w:rPr>
        <w:t>השוויון</w:t>
      </w:r>
      <w:r w:rsidRPr="00487B4E">
        <w:rPr>
          <w:rtl/>
        </w:rPr>
        <w:t xml:space="preserve">, </w:t>
      </w:r>
      <w:r w:rsidRPr="00487B4E">
        <w:rPr>
          <w:rFonts w:hint="cs"/>
          <w:rtl/>
        </w:rPr>
        <w:t>בתחרות</w:t>
      </w:r>
      <w:r w:rsidRPr="00487B4E">
        <w:rPr>
          <w:rtl/>
        </w:rPr>
        <w:t xml:space="preserve"> </w:t>
      </w:r>
      <w:r w:rsidRPr="00487B4E">
        <w:rPr>
          <w:rFonts w:hint="cs"/>
          <w:rtl/>
        </w:rPr>
        <w:t>ובחופש</w:t>
      </w:r>
      <w:r w:rsidRPr="00487B4E">
        <w:rPr>
          <w:rtl/>
        </w:rPr>
        <w:t xml:space="preserve"> </w:t>
      </w:r>
      <w:r w:rsidRPr="00487B4E">
        <w:rPr>
          <w:rFonts w:hint="cs"/>
          <w:rtl/>
        </w:rPr>
        <w:t>העיסוק</w:t>
      </w:r>
      <w:r w:rsidRPr="00487B4E">
        <w:rPr>
          <w:rtl/>
        </w:rPr>
        <w:t xml:space="preserve"> </w:t>
      </w:r>
      <w:r w:rsidRPr="00487B4E">
        <w:rPr>
          <w:rFonts w:hint="cs"/>
          <w:rtl/>
        </w:rPr>
        <w:t>של</w:t>
      </w:r>
      <w:r w:rsidRPr="00487B4E">
        <w:rPr>
          <w:rtl/>
        </w:rPr>
        <w:t xml:space="preserve"> </w:t>
      </w:r>
      <w:r w:rsidRPr="00487B4E">
        <w:rPr>
          <w:rFonts w:hint="cs"/>
          <w:rtl/>
        </w:rPr>
        <w:t>המציע</w:t>
      </w:r>
      <w:r w:rsidRPr="00487B4E">
        <w:rPr>
          <w:rtl/>
        </w:rPr>
        <w:t xml:space="preserve"> </w:t>
      </w:r>
      <w:r w:rsidRPr="00487B4E">
        <w:rPr>
          <w:rFonts w:hint="cs"/>
          <w:rtl/>
        </w:rPr>
        <w:t>ולכן</w:t>
      </w:r>
      <w:r w:rsidRPr="00487B4E">
        <w:rPr>
          <w:rtl/>
        </w:rPr>
        <w:t xml:space="preserve"> </w:t>
      </w:r>
      <w:r>
        <w:rPr>
          <w:rFonts w:hint="cs"/>
          <w:rtl/>
        </w:rPr>
        <w:t xml:space="preserve">עליה </w:t>
      </w:r>
      <w:r w:rsidRPr="00487B4E">
        <w:rPr>
          <w:rFonts w:hint="cs"/>
          <w:rtl/>
        </w:rPr>
        <w:t>לעמוד</w:t>
      </w:r>
      <w:r w:rsidRPr="00487B4E">
        <w:rPr>
          <w:rtl/>
        </w:rPr>
        <w:t xml:space="preserve"> </w:t>
      </w:r>
      <w:r w:rsidRPr="00487B4E">
        <w:rPr>
          <w:rFonts w:hint="cs"/>
          <w:rtl/>
        </w:rPr>
        <w:t>במבחני</w:t>
      </w:r>
      <w:r w:rsidRPr="00487B4E">
        <w:rPr>
          <w:rtl/>
        </w:rPr>
        <w:t xml:space="preserve"> </w:t>
      </w:r>
      <w:r w:rsidRPr="00487B4E">
        <w:rPr>
          <w:rFonts w:hint="cs"/>
          <w:rtl/>
        </w:rPr>
        <w:t>הענייניות</w:t>
      </w:r>
      <w:r w:rsidRPr="00487B4E">
        <w:rPr>
          <w:rtl/>
        </w:rPr>
        <w:t xml:space="preserve">, </w:t>
      </w:r>
      <w:r w:rsidRPr="00487B4E">
        <w:rPr>
          <w:rFonts w:hint="cs"/>
          <w:rtl/>
        </w:rPr>
        <w:t>הסבירות</w:t>
      </w:r>
      <w:r w:rsidRPr="00487B4E">
        <w:rPr>
          <w:rtl/>
        </w:rPr>
        <w:t xml:space="preserve"> </w:t>
      </w:r>
      <w:r w:rsidRPr="00487B4E">
        <w:rPr>
          <w:rFonts w:hint="cs"/>
          <w:rtl/>
        </w:rPr>
        <w:t>והמידתיות</w:t>
      </w:r>
      <w:r w:rsidRPr="00487B4E">
        <w:rPr>
          <w:rtl/>
        </w:rPr>
        <w:t xml:space="preserve">, </w:t>
      </w:r>
      <w:r w:rsidRPr="00487B4E">
        <w:rPr>
          <w:rFonts w:hint="cs"/>
          <w:rtl/>
        </w:rPr>
        <w:t>בדומה</w:t>
      </w:r>
      <w:r w:rsidRPr="00487B4E">
        <w:rPr>
          <w:rtl/>
        </w:rPr>
        <w:t xml:space="preserve"> </w:t>
      </w:r>
      <w:r w:rsidRPr="00487B4E">
        <w:rPr>
          <w:rFonts w:hint="cs"/>
          <w:rtl/>
        </w:rPr>
        <w:t>לכל</w:t>
      </w:r>
      <w:r w:rsidRPr="00487B4E">
        <w:rPr>
          <w:rtl/>
        </w:rPr>
        <w:t xml:space="preserve"> </w:t>
      </w:r>
      <w:r>
        <w:rPr>
          <w:rFonts w:hint="cs"/>
          <w:rtl/>
        </w:rPr>
        <w:t>תנאי</w:t>
      </w:r>
      <w:r w:rsidRPr="00487B4E">
        <w:rPr>
          <w:rtl/>
        </w:rPr>
        <w:t xml:space="preserve"> </w:t>
      </w:r>
      <w:r w:rsidRPr="00487B4E">
        <w:rPr>
          <w:rFonts w:hint="cs"/>
          <w:rtl/>
        </w:rPr>
        <w:t>הסף</w:t>
      </w:r>
      <w:r w:rsidRPr="00487B4E">
        <w:rPr>
          <w:rtl/>
        </w:rPr>
        <w:t xml:space="preserve"> </w:t>
      </w:r>
      <w:r w:rsidRPr="00487B4E">
        <w:rPr>
          <w:rFonts w:hint="cs"/>
          <w:rtl/>
        </w:rPr>
        <w:t>להשתתפות</w:t>
      </w:r>
      <w:r w:rsidRPr="00487B4E">
        <w:rPr>
          <w:rtl/>
        </w:rPr>
        <w:t xml:space="preserve"> </w:t>
      </w:r>
      <w:r w:rsidRPr="00487B4E">
        <w:rPr>
          <w:rFonts w:hint="cs"/>
          <w:rtl/>
        </w:rPr>
        <w:t>במכרז</w:t>
      </w:r>
      <w:r w:rsidRPr="00487B4E">
        <w:rPr>
          <w:rtl/>
        </w:rPr>
        <w:t xml:space="preserve">. </w:t>
      </w:r>
      <w:r w:rsidRPr="00487B4E">
        <w:rPr>
          <w:rFonts w:hint="cs"/>
          <w:rtl/>
        </w:rPr>
        <w:t>בשל</w:t>
      </w:r>
      <w:r w:rsidRPr="00487B4E">
        <w:rPr>
          <w:rtl/>
        </w:rPr>
        <w:t xml:space="preserve"> </w:t>
      </w:r>
      <w:r w:rsidRPr="00487B4E">
        <w:rPr>
          <w:rFonts w:hint="cs"/>
          <w:rtl/>
        </w:rPr>
        <w:t>חומרת</w:t>
      </w:r>
      <w:r>
        <w:rPr>
          <w:rFonts w:hint="cs"/>
          <w:rtl/>
        </w:rPr>
        <w:t>ו של</w:t>
      </w:r>
      <w:r w:rsidRPr="00487B4E">
        <w:rPr>
          <w:rtl/>
        </w:rPr>
        <w:t xml:space="preserve"> </w:t>
      </w:r>
      <w:r w:rsidRPr="00487B4E">
        <w:rPr>
          <w:rFonts w:hint="cs"/>
          <w:rtl/>
        </w:rPr>
        <w:t>צעד</w:t>
      </w:r>
      <w:r w:rsidRPr="00487B4E">
        <w:rPr>
          <w:rtl/>
        </w:rPr>
        <w:t xml:space="preserve"> </w:t>
      </w:r>
      <w:r w:rsidRPr="00487B4E">
        <w:rPr>
          <w:rFonts w:hint="cs"/>
          <w:rtl/>
        </w:rPr>
        <w:t>זה</w:t>
      </w:r>
      <w:r w:rsidRPr="00487B4E">
        <w:rPr>
          <w:rtl/>
        </w:rPr>
        <w:t xml:space="preserve"> </w:t>
      </w:r>
      <w:r w:rsidRPr="00487B4E">
        <w:rPr>
          <w:rFonts w:hint="cs"/>
          <w:rtl/>
        </w:rPr>
        <w:t>של</w:t>
      </w:r>
      <w:r w:rsidRPr="00487B4E">
        <w:rPr>
          <w:rtl/>
        </w:rPr>
        <w:t xml:space="preserve"> </w:t>
      </w:r>
      <w:r w:rsidRPr="00487B4E">
        <w:rPr>
          <w:rFonts w:hint="cs"/>
          <w:rtl/>
        </w:rPr>
        <w:t>פסילה</w:t>
      </w:r>
      <w:r w:rsidRPr="00487B4E">
        <w:rPr>
          <w:rtl/>
        </w:rPr>
        <w:t xml:space="preserve">, </w:t>
      </w:r>
      <w:r w:rsidRPr="00487B4E">
        <w:rPr>
          <w:rFonts w:hint="cs"/>
          <w:rtl/>
        </w:rPr>
        <w:t>ציין</w:t>
      </w:r>
      <w:r w:rsidRPr="00487B4E">
        <w:rPr>
          <w:rtl/>
        </w:rPr>
        <w:t xml:space="preserve"> </w:t>
      </w:r>
      <w:r w:rsidRPr="00487B4E">
        <w:rPr>
          <w:rFonts w:hint="cs"/>
          <w:rtl/>
        </w:rPr>
        <w:t>בי</w:t>
      </w:r>
      <w:r>
        <w:rPr>
          <w:rFonts w:hint="cs"/>
          <w:rtl/>
        </w:rPr>
        <w:t xml:space="preserve">ת המשפט </w:t>
      </w:r>
      <w:r w:rsidRPr="00487B4E">
        <w:rPr>
          <w:rFonts w:hint="cs"/>
          <w:rtl/>
        </w:rPr>
        <w:t>כי</w:t>
      </w:r>
      <w:r w:rsidRPr="00487B4E">
        <w:rPr>
          <w:rtl/>
        </w:rPr>
        <w:t xml:space="preserve"> </w:t>
      </w:r>
      <w:r w:rsidRPr="00487B4E">
        <w:rPr>
          <w:rFonts w:hint="cs"/>
          <w:rtl/>
        </w:rPr>
        <w:t>על</w:t>
      </w:r>
      <w:r w:rsidRPr="00487B4E">
        <w:rPr>
          <w:rtl/>
        </w:rPr>
        <w:t xml:space="preserve"> </w:t>
      </w:r>
      <w:r w:rsidRPr="00487B4E">
        <w:rPr>
          <w:rFonts w:hint="cs"/>
          <w:rtl/>
        </w:rPr>
        <w:t>פי</w:t>
      </w:r>
      <w:r w:rsidRPr="00487B4E">
        <w:rPr>
          <w:rtl/>
        </w:rPr>
        <w:t xml:space="preserve"> </w:t>
      </w:r>
      <w:r w:rsidRPr="00487B4E">
        <w:rPr>
          <w:rFonts w:hint="cs"/>
          <w:rtl/>
        </w:rPr>
        <w:t>רוב</w:t>
      </w:r>
      <w:r w:rsidRPr="00487B4E">
        <w:rPr>
          <w:rtl/>
        </w:rPr>
        <w:t xml:space="preserve"> </w:t>
      </w:r>
      <w:r w:rsidRPr="00487B4E">
        <w:rPr>
          <w:rFonts w:hint="cs"/>
          <w:rtl/>
        </w:rPr>
        <w:t>ייבחן</w:t>
      </w:r>
      <w:r w:rsidRPr="00487B4E">
        <w:rPr>
          <w:rtl/>
        </w:rPr>
        <w:t xml:space="preserve"> </w:t>
      </w:r>
      <w:r w:rsidRPr="00487B4E">
        <w:rPr>
          <w:rFonts w:hint="cs"/>
          <w:rtl/>
        </w:rPr>
        <w:t>ניסיונו</w:t>
      </w:r>
      <w:r w:rsidRPr="00487B4E">
        <w:rPr>
          <w:rtl/>
        </w:rPr>
        <w:t xml:space="preserve"> </w:t>
      </w:r>
      <w:r w:rsidRPr="00487B4E">
        <w:rPr>
          <w:rFonts w:hint="cs"/>
          <w:rtl/>
        </w:rPr>
        <w:t>הקודם</w:t>
      </w:r>
      <w:r w:rsidRPr="00487B4E">
        <w:rPr>
          <w:rtl/>
        </w:rPr>
        <w:t xml:space="preserve"> </w:t>
      </w:r>
      <w:r w:rsidRPr="00487B4E">
        <w:rPr>
          <w:rFonts w:hint="cs"/>
          <w:rtl/>
        </w:rPr>
        <w:t>של</w:t>
      </w:r>
      <w:r w:rsidRPr="00487B4E">
        <w:rPr>
          <w:rtl/>
        </w:rPr>
        <w:t xml:space="preserve"> </w:t>
      </w:r>
      <w:r w:rsidRPr="00487B4E">
        <w:rPr>
          <w:rFonts w:hint="cs"/>
          <w:rtl/>
        </w:rPr>
        <w:t>המציע</w:t>
      </w:r>
      <w:r w:rsidRPr="00487B4E">
        <w:rPr>
          <w:rtl/>
        </w:rPr>
        <w:t xml:space="preserve"> </w:t>
      </w:r>
      <w:r w:rsidRPr="00487B4E">
        <w:rPr>
          <w:rFonts w:hint="cs"/>
          <w:rtl/>
        </w:rPr>
        <w:t>במסגרת</w:t>
      </w:r>
      <w:r w:rsidRPr="00487B4E">
        <w:rPr>
          <w:rtl/>
        </w:rPr>
        <w:t xml:space="preserve"> </w:t>
      </w:r>
      <w:r w:rsidRPr="00487B4E">
        <w:rPr>
          <w:rFonts w:hint="cs"/>
          <w:rtl/>
        </w:rPr>
        <w:t>אמות</w:t>
      </w:r>
      <w:r w:rsidRPr="00487B4E">
        <w:rPr>
          <w:rtl/>
        </w:rPr>
        <w:t xml:space="preserve"> </w:t>
      </w:r>
      <w:r w:rsidRPr="00487B4E">
        <w:rPr>
          <w:rFonts w:hint="cs"/>
          <w:rtl/>
        </w:rPr>
        <w:t>המידה</w:t>
      </w:r>
      <w:r w:rsidRPr="00487B4E">
        <w:rPr>
          <w:rtl/>
        </w:rPr>
        <w:t xml:space="preserve"> </w:t>
      </w:r>
      <w:r w:rsidRPr="00487B4E">
        <w:rPr>
          <w:rFonts w:hint="cs"/>
          <w:rtl/>
        </w:rPr>
        <w:t>לבחירת</w:t>
      </w:r>
      <w:r w:rsidRPr="00487B4E">
        <w:rPr>
          <w:rtl/>
        </w:rPr>
        <w:t xml:space="preserve"> </w:t>
      </w:r>
      <w:r w:rsidRPr="00487B4E">
        <w:rPr>
          <w:rFonts w:hint="cs"/>
          <w:rtl/>
        </w:rPr>
        <w:t>הזוכה</w:t>
      </w:r>
      <w:r w:rsidRPr="00487B4E">
        <w:rPr>
          <w:rtl/>
        </w:rPr>
        <w:t xml:space="preserve"> </w:t>
      </w:r>
      <w:r w:rsidRPr="00487B4E">
        <w:rPr>
          <w:rFonts w:hint="cs"/>
          <w:rtl/>
        </w:rPr>
        <w:t>במכרז</w:t>
      </w:r>
      <w:r>
        <w:rPr>
          <w:rStyle w:val="FootnoteReference"/>
          <w:rtl/>
        </w:rPr>
        <w:footnoteReference w:id="173"/>
      </w:r>
      <w:r w:rsidRPr="00487B4E">
        <w:rPr>
          <w:rtl/>
        </w:rPr>
        <w:t>.</w:t>
      </w:r>
    </w:p>
    <w:p w14:paraId="1DAC8BE7" w14:textId="532CF4B0" w:rsidR="00823E3A" w:rsidRPr="00487B4E" w:rsidRDefault="00823E3A" w:rsidP="00017500">
      <w:pPr>
        <w:pStyle w:val="100"/>
        <w:rPr>
          <w:rtl/>
        </w:rPr>
      </w:pPr>
      <w:r w:rsidRPr="00487B4E">
        <w:rPr>
          <w:rFonts w:hint="cs"/>
          <w:rtl/>
        </w:rPr>
        <w:t>בית</w:t>
      </w:r>
      <w:r w:rsidRPr="00487B4E">
        <w:rPr>
          <w:rtl/>
        </w:rPr>
        <w:t xml:space="preserve"> המשפט העליון דן בעבר במקרים</w:t>
      </w:r>
      <w:r>
        <w:rPr>
          <w:rFonts w:hint="cs"/>
          <w:rtl/>
        </w:rPr>
        <w:t xml:space="preserve"> אחדים</w:t>
      </w:r>
      <w:r w:rsidRPr="00487B4E">
        <w:rPr>
          <w:rtl/>
        </w:rPr>
        <w:t xml:space="preserve"> </w:t>
      </w:r>
      <w:r>
        <w:rPr>
          <w:rFonts w:hint="cs"/>
          <w:rtl/>
        </w:rPr>
        <w:t>ש</w:t>
      </w:r>
      <w:r w:rsidRPr="00487B4E">
        <w:rPr>
          <w:rtl/>
        </w:rPr>
        <w:t xml:space="preserve">בהם </w:t>
      </w:r>
      <w:r>
        <w:rPr>
          <w:rFonts w:hint="cs"/>
          <w:rtl/>
        </w:rPr>
        <w:t xml:space="preserve">לא בחרה </w:t>
      </w:r>
      <w:r w:rsidRPr="00487B4E">
        <w:rPr>
          <w:rtl/>
        </w:rPr>
        <w:t xml:space="preserve">ועדת המכרזים במציע בשל ניסיון שלילי שנצבר </w:t>
      </w:r>
      <w:r>
        <w:rPr>
          <w:rFonts w:hint="cs"/>
          <w:rtl/>
        </w:rPr>
        <w:t xml:space="preserve">בעבודה </w:t>
      </w:r>
      <w:r w:rsidRPr="00487B4E">
        <w:rPr>
          <w:rFonts w:hint="cs"/>
          <w:rtl/>
        </w:rPr>
        <w:t>עימו</w:t>
      </w:r>
      <w:r w:rsidRPr="00487B4E">
        <w:rPr>
          <w:rtl/>
        </w:rPr>
        <w:t xml:space="preserve"> ותמך בהחלטתה לבחור בהצעה יקרה יותר כדי להבטיח </w:t>
      </w:r>
      <w:r>
        <w:rPr>
          <w:rFonts w:hint="cs"/>
          <w:rtl/>
        </w:rPr>
        <w:t>ש</w:t>
      </w:r>
      <w:r w:rsidRPr="00487B4E">
        <w:rPr>
          <w:rtl/>
        </w:rPr>
        <w:t>העבודות נשוא המכרז</w:t>
      </w:r>
      <w:r>
        <w:rPr>
          <w:rFonts w:hint="cs"/>
          <w:rtl/>
        </w:rPr>
        <w:t xml:space="preserve"> תבוצענה</w:t>
      </w:r>
      <w:r w:rsidRPr="00487B4E">
        <w:rPr>
          <w:rtl/>
        </w:rPr>
        <w:t xml:space="preserve">. עם זאת </w:t>
      </w:r>
      <w:r>
        <w:rPr>
          <w:rFonts w:hint="cs"/>
          <w:rtl/>
        </w:rPr>
        <w:t xml:space="preserve">הדגיש </w:t>
      </w:r>
      <w:r w:rsidRPr="00487B4E">
        <w:rPr>
          <w:rtl/>
        </w:rPr>
        <w:t>ב</w:t>
      </w:r>
      <w:r>
        <w:rPr>
          <w:rFonts w:hint="cs"/>
          <w:rtl/>
        </w:rPr>
        <w:t xml:space="preserve">ית המשפט </w:t>
      </w:r>
      <w:r w:rsidRPr="00487B4E">
        <w:rPr>
          <w:rtl/>
        </w:rPr>
        <w:t>כי על עורכי המכרזים להישמר מעשיית שימוש באמת מידה זו כדי להדוף הצעות של מציעים</w:t>
      </w:r>
      <w:r>
        <w:rPr>
          <w:rStyle w:val="FootnoteReference"/>
          <w:rtl/>
        </w:rPr>
        <w:footnoteReference w:id="174"/>
      </w:r>
      <w:r w:rsidRPr="00487B4E">
        <w:rPr>
          <w:rtl/>
        </w:rPr>
        <w:t>. עליהם לבחון את מכלול הנסיבות ו</w:t>
      </w:r>
      <w:r>
        <w:rPr>
          <w:rFonts w:hint="cs"/>
          <w:rtl/>
        </w:rPr>
        <w:t xml:space="preserve">את </w:t>
      </w:r>
      <w:r w:rsidRPr="00487B4E">
        <w:rPr>
          <w:rtl/>
        </w:rPr>
        <w:t>מידת הרל</w:t>
      </w:r>
      <w:r>
        <w:rPr>
          <w:rFonts w:hint="cs"/>
          <w:rtl/>
        </w:rPr>
        <w:t>וו</w:t>
      </w:r>
      <w:r w:rsidRPr="00487B4E">
        <w:rPr>
          <w:rtl/>
        </w:rPr>
        <w:t xml:space="preserve">נטיות למכרז החדש, </w:t>
      </w:r>
      <w:r>
        <w:rPr>
          <w:rFonts w:hint="cs"/>
          <w:rtl/>
        </w:rPr>
        <w:t xml:space="preserve">וכן לבדוק </w:t>
      </w:r>
      <w:r w:rsidRPr="00487B4E">
        <w:rPr>
          <w:rtl/>
        </w:rPr>
        <w:t>אם ננקטו פעולות למניעת הישנותן, מ</w:t>
      </w:r>
      <w:r>
        <w:rPr>
          <w:rtl/>
        </w:rPr>
        <w:t>הו טיב הכישלון ו</w:t>
      </w:r>
      <w:r>
        <w:rPr>
          <w:rFonts w:hint="cs"/>
          <w:rtl/>
        </w:rPr>
        <w:t xml:space="preserve">מה אורכו של </w:t>
      </w:r>
      <w:r>
        <w:rPr>
          <w:rtl/>
        </w:rPr>
        <w:t>פרק הזמן שחלף.</w:t>
      </w:r>
    </w:p>
    <w:p w14:paraId="67DA5F4D" w14:textId="7EB3EFFB" w:rsidR="00823E3A" w:rsidRDefault="00823E3A" w:rsidP="00017500">
      <w:pPr>
        <w:pStyle w:val="af5"/>
        <w:rPr>
          <w:rtl/>
        </w:rPr>
      </w:pPr>
      <w:r w:rsidRPr="00487B4E">
        <w:rPr>
          <w:rFonts w:hint="cs"/>
          <w:rtl/>
        </w:rPr>
        <w:t>נמצא</w:t>
      </w:r>
      <w:r w:rsidRPr="00487B4E">
        <w:rPr>
          <w:rtl/>
        </w:rPr>
        <w:t xml:space="preserve"> כי </w:t>
      </w:r>
      <w:r w:rsidRPr="00487B4E">
        <w:rPr>
          <w:rFonts w:hint="cs"/>
          <w:rtl/>
        </w:rPr>
        <w:t>המדינה</w:t>
      </w:r>
      <w:r w:rsidRPr="00487B4E">
        <w:rPr>
          <w:rtl/>
        </w:rPr>
        <w:t xml:space="preserve"> לא גיבשה מנגנון </w:t>
      </w:r>
      <w:r w:rsidRPr="00487B4E">
        <w:rPr>
          <w:rFonts w:hint="cs"/>
          <w:rtl/>
        </w:rPr>
        <w:t>אשר</w:t>
      </w:r>
      <w:r w:rsidRPr="00487B4E">
        <w:rPr>
          <w:rtl/>
        </w:rPr>
        <w:t xml:space="preserve"> ישקלל את ניסיון העבר </w:t>
      </w:r>
      <w:r w:rsidRPr="00487B4E">
        <w:rPr>
          <w:rFonts w:hint="cs"/>
          <w:rtl/>
        </w:rPr>
        <w:t>שנצבר</w:t>
      </w:r>
      <w:r w:rsidRPr="00487B4E">
        <w:rPr>
          <w:rtl/>
        </w:rPr>
        <w:t xml:space="preserve"> </w:t>
      </w:r>
      <w:r>
        <w:rPr>
          <w:rFonts w:hint="cs"/>
          <w:rtl/>
        </w:rPr>
        <w:t xml:space="preserve">בעבודה </w:t>
      </w:r>
      <w:r w:rsidRPr="00487B4E">
        <w:rPr>
          <w:rFonts w:hint="cs"/>
          <w:rtl/>
        </w:rPr>
        <w:t>עם</w:t>
      </w:r>
      <w:r w:rsidRPr="00487B4E">
        <w:rPr>
          <w:rtl/>
        </w:rPr>
        <w:t xml:space="preserve"> הזכיינים </w:t>
      </w:r>
      <w:r>
        <w:rPr>
          <w:rFonts w:hint="cs"/>
          <w:rtl/>
        </w:rPr>
        <w:t>כדי</w:t>
      </w:r>
      <w:r w:rsidRPr="00487B4E">
        <w:rPr>
          <w:rtl/>
        </w:rPr>
        <w:t xml:space="preserve"> למגר </w:t>
      </w:r>
      <w:r w:rsidRPr="00487B4E">
        <w:rPr>
          <w:rFonts w:hint="cs"/>
          <w:rtl/>
        </w:rPr>
        <w:t>התנהגויות</w:t>
      </w:r>
      <w:r w:rsidRPr="00487B4E">
        <w:rPr>
          <w:rtl/>
        </w:rPr>
        <w:t xml:space="preserve"> </w:t>
      </w:r>
      <w:r w:rsidRPr="00487B4E">
        <w:rPr>
          <w:rFonts w:hint="cs"/>
          <w:rtl/>
        </w:rPr>
        <w:t>לא</w:t>
      </w:r>
      <w:r w:rsidRPr="00487B4E">
        <w:rPr>
          <w:rtl/>
        </w:rPr>
        <w:t xml:space="preserve"> </w:t>
      </w:r>
      <w:r w:rsidRPr="00487B4E">
        <w:rPr>
          <w:rFonts w:hint="cs"/>
          <w:rtl/>
        </w:rPr>
        <w:t>רצויות</w:t>
      </w:r>
      <w:r w:rsidRPr="00487B4E">
        <w:rPr>
          <w:rtl/>
        </w:rPr>
        <w:t xml:space="preserve"> </w:t>
      </w:r>
      <w:r>
        <w:rPr>
          <w:rFonts w:hint="cs"/>
          <w:rtl/>
        </w:rPr>
        <w:t>מצידם</w:t>
      </w:r>
      <w:r w:rsidRPr="00487B4E">
        <w:rPr>
          <w:rtl/>
        </w:rPr>
        <w:t xml:space="preserve"> ב</w:t>
      </w:r>
      <w:r w:rsidRPr="00487B4E">
        <w:rPr>
          <w:rFonts w:hint="cs"/>
          <w:rtl/>
        </w:rPr>
        <w:t>הקמתם</w:t>
      </w:r>
      <w:r w:rsidRPr="00487B4E">
        <w:rPr>
          <w:rtl/>
        </w:rPr>
        <w:t xml:space="preserve"> </w:t>
      </w:r>
      <w:r w:rsidRPr="00487B4E">
        <w:rPr>
          <w:rFonts w:hint="cs"/>
          <w:rtl/>
        </w:rPr>
        <w:t>של</w:t>
      </w:r>
      <w:r w:rsidRPr="00487B4E">
        <w:rPr>
          <w:rtl/>
        </w:rPr>
        <w:t xml:space="preserve"> </w:t>
      </w:r>
      <w:r w:rsidRPr="00487B4E">
        <w:rPr>
          <w:rFonts w:hint="cs"/>
          <w:rtl/>
        </w:rPr>
        <w:t>פרויקטים</w:t>
      </w:r>
      <w:r w:rsidRPr="00487B4E">
        <w:rPr>
          <w:rtl/>
        </w:rPr>
        <w:t xml:space="preserve"> </w:t>
      </w:r>
      <w:r w:rsidRPr="00487B4E">
        <w:rPr>
          <w:rFonts w:hint="cs"/>
          <w:rtl/>
        </w:rPr>
        <w:t>עתידיים</w:t>
      </w:r>
      <w:r w:rsidRPr="00487B4E">
        <w:rPr>
          <w:rtl/>
        </w:rPr>
        <w:t xml:space="preserve"> </w:t>
      </w:r>
      <w:r w:rsidRPr="00487B4E">
        <w:rPr>
          <w:rFonts w:hint="cs"/>
          <w:rtl/>
        </w:rPr>
        <w:t>ו</w:t>
      </w:r>
      <w:r>
        <w:rPr>
          <w:rFonts w:hint="cs"/>
          <w:rtl/>
        </w:rPr>
        <w:t xml:space="preserve">כדי </w:t>
      </w:r>
      <w:r w:rsidRPr="00487B4E">
        <w:rPr>
          <w:rFonts w:hint="cs"/>
          <w:rtl/>
        </w:rPr>
        <w:t>להגדיל</w:t>
      </w:r>
      <w:r w:rsidRPr="00487B4E">
        <w:rPr>
          <w:rtl/>
        </w:rPr>
        <w:t xml:space="preserve"> את </w:t>
      </w:r>
      <w:r>
        <w:rPr>
          <w:rFonts w:hint="cs"/>
          <w:rtl/>
        </w:rPr>
        <w:t>ה</w:t>
      </w:r>
      <w:r w:rsidRPr="00487B4E">
        <w:rPr>
          <w:rtl/>
        </w:rPr>
        <w:t xml:space="preserve">סבירות </w:t>
      </w:r>
      <w:r>
        <w:rPr>
          <w:rFonts w:hint="cs"/>
          <w:rtl/>
        </w:rPr>
        <w:t xml:space="preserve">שיעמדו </w:t>
      </w:r>
      <w:r w:rsidRPr="00487B4E">
        <w:rPr>
          <w:rFonts w:hint="cs"/>
          <w:rtl/>
        </w:rPr>
        <w:t>בלוחות</w:t>
      </w:r>
      <w:r w:rsidRPr="00487B4E">
        <w:rPr>
          <w:rtl/>
        </w:rPr>
        <w:t xml:space="preserve"> </w:t>
      </w:r>
      <w:r w:rsidRPr="00487B4E">
        <w:rPr>
          <w:rFonts w:hint="cs"/>
          <w:rtl/>
        </w:rPr>
        <w:t>הזמנים</w:t>
      </w:r>
      <w:r w:rsidRPr="00487B4E">
        <w:rPr>
          <w:rtl/>
        </w:rPr>
        <w:t xml:space="preserve"> </w:t>
      </w:r>
      <w:r w:rsidRPr="00487B4E">
        <w:rPr>
          <w:rFonts w:hint="cs"/>
          <w:rtl/>
        </w:rPr>
        <w:t>ובתקציבים</w:t>
      </w:r>
      <w:r w:rsidRPr="00487B4E">
        <w:rPr>
          <w:rtl/>
        </w:rPr>
        <w:t xml:space="preserve"> </w:t>
      </w:r>
      <w:r>
        <w:rPr>
          <w:rFonts w:hint="cs"/>
          <w:rtl/>
        </w:rPr>
        <w:t>כפי ש</w:t>
      </w:r>
      <w:r w:rsidRPr="00487B4E">
        <w:rPr>
          <w:rtl/>
        </w:rPr>
        <w:t>התחייב</w:t>
      </w:r>
      <w:r w:rsidRPr="00487B4E">
        <w:rPr>
          <w:rFonts w:hint="cs"/>
          <w:rtl/>
        </w:rPr>
        <w:t>ו</w:t>
      </w:r>
      <w:r w:rsidRPr="00487B4E">
        <w:rPr>
          <w:rtl/>
        </w:rPr>
        <w:t>.</w:t>
      </w:r>
      <w:r>
        <w:rPr>
          <w:rFonts w:hint="cs"/>
          <w:rtl/>
        </w:rPr>
        <w:t xml:space="preserve"> לפיכך ראוי לבחון גיבוש של מנגנון מסוג זה שיבוא לידי ביטוי במכרזים בעתיד.</w:t>
      </w:r>
      <w:r>
        <w:rPr>
          <w:rtl/>
        </w:rPr>
        <w:t xml:space="preserve"> </w:t>
      </w:r>
    </w:p>
    <w:p w14:paraId="37E0EDC0" w14:textId="23191CA1" w:rsidR="00823E3A" w:rsidRPr="00DE68A9" w:rsidRDefault="00823E3A" w:rsidP="00017500">
      <w:pPr>
        <w:pStyle w:val="316"/>
        <w:rPr>
          <w:rtl/>
        </w:rPr>
      </w:pPr>
      <w:r w:rsidRPr="00DE68A9">
        <w:rPr>
          <w:rFonts w:hint="cs"/>
          <w:rtl/>
        </w:rPr>
        <w:lastRenderedPageBreak/>
        <w:t>סיכום</w:t>
      </w:r>
    </w:p>
    <w:p w14:paraId="4B0DA542" w14:textId="77777777" w:rsidR="00823E3A" w:rsidRPr="000779AD" w:rsidRDefault="00823E3A" w:rsidP="00B07ADF">
      <w:pPr>
        <w:pStyle w:val="af5"/>
        <w:rPr>
          <w:rtl/>
        </w:rPr>
      </w:pPr>
      <w:r w:rsidRPr="000779AD">
        <w:rPr>
          <w:rtl/>
        </w:rPr>
        <w:t xml:space="preserve">לפרויקטים בשיתוף המגזר הפרטי </w:t>
      </w:r>
      <w:r w:rsidRPr="000779AD">
        <w:rPr>
          <w:rFonts w:hint="cs"/>
          <w:rtl/>
        </w:rPr>
        <w:t xml:space="preserve">נודעת </w:t>
      </w:r>
      <w:r w:rsidRPr="000779AD">
        <w:rPr>
          <w:rtl/>
        </w:rPr>
        <w:t xml:space="preserve">חשיבות רבה בקידום תשתיות המדינה בתחומים השונים. הממצאים שעלו בדוח מלמדים </w:t>
      </w:r>
      <w:r w:rsidRPr="000779AD">
        <w:rPr>
          <w:rFonts w:hint="eastAsia"/>
          <w:rtl/>
        </w:rPr>
        <w:t>על</w:t>
      </w:r>
      <w:r w:rsidRPr="000779AD">
        <w:rPr>
          <w:rtl/>
        </w:rPr>
        <w:t xml:space="preserve"> </w:t>
      </w:r>
      <w:r w:rsidRPr="000779AD">
        <w:rPr>
          <w:rFonts w:hint="eastAsia"/>
          <w:rtl/>
        </w:rPr>
        <w:t>הצורך</w:t>
      </w:r>
      <w:r w:rsidRPr="000779AD">
        <w:rPr>
          <w:rtl/>
        </w:rPr>
        <w:t xml:space="preserve"> </w:t>
      </w:r>
      <w:r w:rsidRPr="000779AD">
        <w:rPr>
          <w:rFonts w:hint="eastAsia"/>
          <w:rtl/>
        </w:rPr>
        <w:t>בהגדרת</w:t>
      </w:r>
      <w:r w:rsidRPr="000779AD">
        <w:rPr>
          <w:rtl/>
        </w:rPr>
        <w:t xml:space="preserve"> </w:t>
      </w:r>
      <w:r w:rsidRPr="000779AD">
        <w:rPr>
          <w:rFonts w:hint="eastAsia"/>
          <w:rtl/>
        </w:rPr>
        <w:t>הגורם</w:t>
      </w:r>
      <w:r w:rsidRPr="000779AD">
        <w:rPr>
          <w:rtl/>
        </w:rPr>
        <w:t xml:space="preserve"> </w:t>
      </w:r>
      <w:r w:rsidRPr="000779AD">
        <w:rPr>
          <w:rFonts w:hint="eastAsia"/>
          <w:rtl/>
        </w:rPr>
        <w:t>המתכלל</w:t>
      </w:r>
      <w:r w:rsidRPr="000779AD">
        <w:rPr>
          <w:rtl/>
        </w:rPr>
        <w:t xml:space="preserve"> </w:t>
      </w:r>
      <w:r w:rsidRPr="000779AD">
        <w:rPr>
          <w:rFonts w:hint="eastAsia"/>
          <w:rtl/>
        </w:rPr>
        <w:t>ברמה</w:t>
      </w:r>
      <w:r w:rsidRPr="000779AD">
        <w:rPr>
          <w:rtl/>
        </w:rPr>
        <w:t xml:space="preserve"> </w:t>
      </w:r>
      <w:r w:rsidRPr="000779AD">
        <w:rPr>
          <w:rFonts w:hint="eastAsia"/>
          <w:rtl/>
        </w:rPr>
        <w:t>הממשלתית</w:t>
      </w:r>
      <w:r w:rsidRPr="000779AD">
        <w:rPr>
          <w:rtl/>
        </w:rPr>
        <w:t xml:space="preserve"> </w:t>
      </w:r>
      <w:r w:rsidRPr="000779AD">
        <w:rPr>
          <w:rFonts w:hint="eastAsia"/>
          <w:rtl/>
        </w:rPr>
        <w:t>לצורך</w:t>
      </w:r>
      <w:r w:rsidRPr="000779AD">
        <w:rPr>
          <w:rtl/>
        </w:rPr>
        <w:t xml:space="preserve"> </w:t>
      </w:r>
      <w:r w:rsidRPr="000779AD">
        <w:rPr>
          <w:rFonts w:hint="eastAsia"/>
          <w:rtl/>
        </w:rPr>
        <w:t>מימוש</w:t>
      </w:r>
      <w:r w:rsidRPr="000779AD">
        <w:rPr>
          <w:rtl/>
        </w:rPr>
        <w:t xml:space="preserve"> יתרונות </w:t>
      </w:r>
      <w:r w:rsidRPr="000779AD">
        <w:rPr>
          <w:rFonts w:hint="eastAsia"/>
          <w:rtl/>
        </w:rPr>
        <w:t>מרביים</w:t>
      </w:r>
      <w:r w:rsidRPr="000779AD">
        <w:rPr>
          <w:rtl/>
        </w:rPr>
        <w:t xml:space="preserve"> ברמה הלאומית ובטיוב פעילות </w:t>
      </w:r>
      <w:r w:rsidRPr="000779AD">
        <w:rPr>
          <w:rFonts w:hint="eastAsia"/>
          <w:rtl/>
        </w:rPr>
        <w:t>ה</w:t>
      </w:r>
      <w:r w:rsidRPr="000779AD">
        <w:rPr>
          <w:rtl/>
        </w:rPr>
        <w:t xml:space="preserve">גופים האמונים על ההתקשרויות. גיבוש עקרונות עבודה מוסדרים לביצוע פרויקטים במתווה זה, יאפשר </w:t>
      </w:r>
      <w:r w:rsidRPr="000779AD">
        <w:rPr>
          <w:rFonts w:hint="cs"/>
          <w:rtl/>
        </w:rPr>
        <w:t>להגדיל את ה</w:t>
      </w:r>
      <w:r w:rsidRPr="000779AD">
        <w:rPr>
          <w:rtl/>
        </w:rPr>
        <w:t xml:space="preserve">השקעה </w:t>
      </w:r>
      <w:r w:rsidRPr="000779AD">
        <w:rPr>
          <w:rFonts w:hint="cs"/>
          <w:rtl/>
        </w:rPr>
        <w:t>ב</w:t>
      </w:r>
      <w:r w:rsidRPr="000779AD">
        <w:rPr>
          <w:rtl/>
        </w:rPr>
        <w:t xml:space="preserve">פרויקטי תשתית תוך יצירת אפיקי השקעה מגוונים במשק ויסייע </w:t>
      </w:r>
      <w:r w:rsidRPr="000779AD">
        <w:rPr>
          <w:rFonts w:hint="cs"/>
          <w:rtl/>
        </w:rPr>
        <w:t>ל</w:t>
      </w:r>
      <w:r w:rsidRPr="000779AD">
        <w:rPr>
          <w:rtl/>
        </w:rPr>
        <w:t xml:space="preserve">צמיחה הכלכלית של המדינה לאורך שנים. עיגון פעולות שיבטיחו כי </w:t>
      </w:r>
      <w:r w:rsidRPr="000779AD">
        <w:rPr>
          <w:rFonts w:hint="cs"/>
          <w:rtl/>
        </w:rPr>
        <w:t>המתווה יושם</w:t>
      </w:r>
      <w:r w:rsidRPr="000779AD">
        <w:rPr>
          <w:rtl/>
        </w:rPr>
        <w:t xml:space="preserve"> לאחר בחינת תועלות ההתקשרות ביחס לחלופות אפשריות יביא למיצוי יתרונם היחסי של השותפים ו</w:t>
      </w:r>
      <w:r w:rsidRPr="000779AD">
        <w:rPr>
          <w:rFonts w:hint="cs"/>
          <w:rtl/>
        </w:rPr>
        <w:t>ל</w:t>
      </w:r>
      <w:r w:rsidRPr="000779AD">
        <w:rPr>
          <w:rtl/>
        </w:rPr>
        <w:t>הקצאה יעילה של הסיכונים והמקורות</w:t>
      </w:r>
      <w:r w:rsidRPr="000779AD">
        <w:rPr>
          <w:rFonts w:hint="cs"/>
          <w:rtl/>
        </w:rPr>
        <w:t>. כמו כן</w:t>
      </w:r>
      <w:r w:rsidRPr="000779AD">
        <w:rPr>
          <w:rtl/>
        </w:rPr>
        <w:t xml:space="preserve"> </w:t>
      </w:r>
      <w:r w:rsidRPr="000779AD">
        <w:rPr>
          <w:rFonts w:hint="cs"/>
          <w:rtl/>
        </w:rPr>
        <w:t>הוא</w:t>
      </w:r>
      <w:r w:rsidRPr="000779AD">
        <w:rPr>
          <w:rtl/>
        </w:rPr>
        <w:t xml:space="preserve"> </w:t>
      </w:r>
      <w:r w:rsidRPr="000779AD">
        <w:rPr>
          <w:rFonts w:hint="cs"/>
          <w:rtl/>
        </w:rPr>
        <w:t>יבטיח ש</w:t>
      </w:r>
      <w:r w:rsidRPr="000779AD">
        <w:rPr>
          <w:rtl/>
        </w:rPr>
        <w:t>התמורה להון הציבורי המושקע ביישום פרויקטים אלה</w:t>
      </w:r>
      <w:r w:rsidRPr="000779AD">
        <w:rPr>
          <w:rFonts w:hint="cs"/>
          <w:rtl/>
        </w:rPr>
        <w:t xml:space="preserve"> תהיה מרבית</w:t>
      </w:r>
      <w:r w:rsidRPr="000779AD">
        <w:rPr>
          <w:rtl/>
        </w:rPr>
        <w:t>.</w:t>
      </w:r>
    </w:p>
    <w:bookmarkEnd w:id="1"/>
    <w:bookmarkEnd w:id="2"/>
    <w:bookmarkEnd w:id="3"/>
    <w:bookmarkEnd w:id="4"/>
    <w:bookmarkEnd w:id="5"/>
    <w:sectPr w:rsidR="00823E3A" w:rsidRPr="000779AD" w:rsidSect="00CA4D91">
      <w:footerReference w:type="default" r:id="rId35"/>
      <w:headerReference w:type="first" r:id="rId36"/>
      <w:footerReference w:type="first" r:id="rId37"/>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B10E6B" w:rsidRDefault="00B10E6B">
      <w:pPr>
        <w:spacing w:line="240" w:lineRule="auto"/>
      </w:pPr>
      <w:r>
        <w:separator/>
      </w:r>
    </w:p>
    <w:p w14:paraId="7FDB7CBE" w14:textId="77777777" w:rsidR="00B10E6B" w:rsidRDefault="00B10E6B"/>
  </w:endnote>
  <w:endnote w:type="continuationSeparator" w:id="0">
    <w:p w14:paraId="6956BE62" w14:textId="77777777" w:rsidR="00B10E6B" w:rsidRDefault="00B10E6B">
      <w:pPr>
        <w:spacing w:line="240" w:lineRule="auto"/>
      </w:pPr>
      <w:r>
        <w:continuationSeparator/>
      </w:r>
    </w:p>
    <w:p w14:paraId="2BC251DF" w14:textId="77777777" w:rsidR="00B10E6B" w:rsidRDefault="00B10E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5FA29E6A" w:rsidR="00B10E6B" w:rsidRPr="00B72467" w:rsidRDefault="00B10E6B" w:rsidP="00B72467">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 xml:space="preserve">מאזן המדינה ליום 31.12.18 </w:t>
    </w:r>
    <w:r>
      <w:rPr>
        <w:rFonts w:ascii="Tahoma" w:hAnsi="Tahoma" w:cs="Tahoma"/>
        <w:color w:val="002060"/>
        <w:sz w:val="18"/>
        <w:szCs w:val="18"/>
        <w:rtl/>
      </w:rPr>
      <w:t>–</w:t>
    </w:r>
    <w:r>
      <w:rPr>
        <w:rFonts w:ascii="Tahoma" w:hAnsi="Tahoma" w:cs="Tahoma" w:hint="cs"/>
        <w:color w:val="002060"/>
        <w:sz w:val="18"/>
        <w:szCs w:val="18"/>
        <w:rtl/>
      </w:rPr>
      <w:t xml:space="preserve"> השקעות בפרויקטים בשיתוף המגזר הפרטי</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3D5BFE45" w:rsidR="00B10E6B" w:rsidRPr="008C0B8B" w:rsidRDefault="00B10E6B" w:rsidP="008C0B8B">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 xml:space="preserve">מאזן המדינה ליום 31.12.18 </w:t>
    </w:r>
    <w:r>
      <w:rPr>
        <w:rFonts w:ascii="Tahoma" w:hAnsi="Tahoma" w:cs="Tahoma"/>
        <w:color w:val="002060"/>
        <w:sz w:val="18"/>
        <w:szCs w:val="18"/>
        <w:rtl/>
      </w:rPr>
      <w:t>–</w:t>
    </w:r>
    <w:r>
      <w:rPr>
        <w:rFonts w:ascii="Tahoma" w:hAnsi="Tahoma" w:cs="Tahoma" w:hint="cs"/>
        <w:color w:val="002060"/>
        <w:sz w:val="18"/>
        <w:szCs w:val="18"/>
        <w:rtl/>
      </w:rPr>
      <w:t xml:space="preserve"> השקעות בפרויקטים בשיתוף המגזר הפרטי</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B10E6B" w:rsidRPr="00D15500" w:rsidRDefault="00B10E6B" w:rsidP="00D15500">
    <w:pPr>
      <w:pStyle w:val="Footer"/>
      <w:spacing w:after="120" w:line="312" w:lineRule="auto"/>
      <w:jc w:val="right"/>
      <w:rPr>
        <w:rFonts w:ascii="Tahoma" w:hAnsi="Tahoma" w:cs="Tahoma"/>
        <w:color w:val="002060"/>
        <w:sz w:val="18"/>
        <w:szCs w:val="18"/>
      </w:rPr>
    </w:pPr>
    <w:bookmarkStart w:id="6" w:name="tempMark"/>
    <w:bookmarkEnd w:id="6"/>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B10E6B" w:rsidRDefault="00B10E6B" w:rsidP="00C23CC9">
      <w:pPr>
        <w:spacing w:line="240" w:lineRule="auto"/>
      </w:pPr>
      <w:r>
        <w:separator/>
      </w:r>
    </w:p>
  </w:footnote>
  <w:footnote w:type="continuationSeparator" w:id="0">
    <w:p w14:paraId="10B5AFA0" w14:textId="77777777" w:rsidR="00B10E6B" w:rsidRDefault="00B10E6B" w:rsidP="00C23CC9">
      <w:pPr>
        <w:spacing w:line="240" w:lineRule="auto"/>
      </w:pPr>
      <w:r>
        <w:continuationSeparator/>
      </w:r>
    </w:p>
    <w:p w14:paraId="095B6F42" w14:textId="77777777" w:rsidR="00B10E6B" w:rsidRDefault="00B10E6B"/>
  </w:footnote>
  <w:footnote w:id="1">
    <w:p w14:paraId="18F94CF4" w14:textId="77777777" w:rsidR="00B10E6B" w:rsidRPr="00BC7178" w:rsidRDefault="00B10E6B" w:rsidP="00BC7178">
      <w:pPr>
        <w:pStyle w:val="a9"/>
        <w:rPr>
          <w:rtl/>
        </w:rPr>
      </w:pPr>
      <w:r w:rsidRPr="00BC7178">
        <w:rPr>
          <w:rStyle w:val="FootnoteReference"/>
          <w:vertAlign w:val="baseline"/>
        </w:rPr>
        <w:footnoteRef/>
      </w:r>
      <w:r w:rsidRPr="00BC7178">
        <w:rPr>
          <w:rtl/>
        </w:rPr>
        <w:t xml:space="preserve"> </w:t>
      </w:r>
      <w:r w:rsidRPr="00BC7178">
        <w:rPr>
          <w:rtl/>
        </w:rPr>
        <w:tab/>
      </w:r>
      <w:r w:rsidRPr="00BC7178">
        <w:rPr>
          <w:rFonts w:hint="cs"/>
          <w:rtl/>
        </w:rPr>
        <w:t>הדוחות הכספיים המאוחדים והדוחות הכספיים הנפרדים של הממשלה.</w:t>
      </w:r>
    </w:p>
  </w:footnote>
  <w:footnote w:id="2">
    <w:p w14:paraId="2F09E955" w14:textId="77777777" w:rsidR="00B10E6B" w:rsidRPr="00BC7178" w:rsidRDefault="00B10E6B" w:rsidP="00BC7178">
      <w:pPr>
        <w:pStyle w:val="a9"/>
      </w:pPr>
      <w:r w:rsidRPr="00BC7178">
        <w:rPr>
          <w:rStyle w:val="FootnoteReference"/>
          <w:vertAlign w:val="baseline"/>
        </w:rPr>
        <w:footnoteRef/>
      </w:r>
      <w:r w:rsidRPr="00BC7178">
        <w:rPr>
          <w:rtl/>
        </w:rPr>
        <w:t xml:space="preserve"> </w:t>
      </w:r>
      <w:r w:rsidRPr="00BC7178">
        <w:rPr>
          <w:rtl/>
        </w:rPr>
        <w:tab/>
      </w:r>
      <w:r w:rsidRPr="00BC7178">
        <w:rPr>
          <w:rFonts w:hint="cs"/>
          <w:rtl/>
        </w:rPr>
        <w:t>דוחות אלה כוללים את הדוחות של הגופים הממשלתיים שלממשלה יש שליטה בהם.</w:t>
      </w:r>
    </w:p>
  </w:footnote>
  <w:footnote w:id="3">
    <w:p w14:paraId="2A4940AA" w14:textId="77777777" w:rsidR="00B10E6B" w:rsidRPr="00BC7178" w:rsidRDefault="00B10E6B" w:rsidP="00BC7178">
      <w:pPr>
        <w:pStyle w:val="a9"/>
      </w:pPr>
      <w:r w:rsidRPr="00BC7178">
        <w:rPr>
          <w:rStyle w:val="FootnoteReference"/>
          <w:vertAlign w:val="baseline"/>
        </w:rPr>
        <w:footnoteRef/>
      </w:r>
      <w:r w:rsidRPr="00BC7178">
        <w:rPr>
          <w:rtl/>
        </w:rPr>
        <w:t xml:space="preserve"> </w:t>
      </w:r>
      <w:r w:rsidRPr="00BC7178">
        <w:rPr>
          <w:rtl/>
        </w:rPr>
        <w:tab/>
      </w:r>
      <w:r w:rsidRPr="00BC7178">
        <w:rPr>
          <w:rFonts w:hint="cs"/>
          <w:rtl/>
        </w:rPr>
        <w:t>בדוחות הכספיים הנפרדים של הממשלה (הדוחות הכספיים סולו של הממשלה הכוללים את דוחות משרדי הממשלה ויחידות הסמך שלהם) לאותו מועד מוצגות יתרות דומות.</w:t>
      </w:r>
    </w:p>
  </w:footnote>
  <w:footnote w:id="4">
    <w:p w14:paraId="57428AFB" w14:textId="77777777" w:rsidR="00B10E6B" w:rsidRPr="00BC7178" w:rsidRDefault="00B10E6B" w:rsidP="00BC7178">
      <w:pPr>
        <w:pStyle w:val="a9"/>
        <w:rPr>
          <w:rtl/>
        </w:rPr>
      </w:pPr>
      <w:r w:rsidRPr="00BC7178">
        <w:rPr>
          <w:rStyle w:val="FootnoteReference"/>
          <w:vertAlign w:val="baseline"/>
        </w:rPr>
        <w:footnoteRef/>
      </w:r>
      <w:r w:rsidRPr="00BC7178">
        <w:rPr>
          <w:rtl/>
        </w:rPr>
        <w:t xml:space="preserve"> </w:t>
      </w:r>
      <w:r w:rsidRPr="00BC7178">
        <w:rPr>
          <w:rtl/>
        </w:rPr>
        <w:tab/>
      </w:r>
      <w:r w:rsidRPr="00BC7178">
        <w:rPr>
          <w:rFonts w:hint="cs"/>
          <w:rtl/>
        </w:rPr>
        <w:t xml:space="preserve">מדידה ראשונה ורישום של נכס הזיכיון למתן שירות נערכים לפי שווי הוגן בד בבד עם רישום התחייבות על פי אופי התשלום שמקבל המפעיל. על פי התקן, המעניק יכיר בנכס זיכיון למתן שירות "אם: (א) המעניק שולט או מסדיר אילו שירותים המפעיל חייב לספק באמצעות הנכס, למי הוא חייב לספק אותם ובאיזה מחיר; וכן (ב) המעניק שולט בזכות </w:t>
      </w:r>
      <w:r w:rsidRPr="00BC7178">
        <w:rPr>
          <w:rFonts w:hint="eastAsia"/>
          <w:rtl/>
        </w:rPr>
        <w:t>שייר</w:t>
      </w:r>
      <w:r w:rsidRPr="00BC7178">
        <w:rPr>
          <w:rFonts w:hint="cs"/>
          <w:rtl/>
        </w:rPr>
        <w:t xml:space="preserve"> משמעותית כלשהי בנכס בתום תקופת ההסדר באמצעות בעלות, זכות מוטב או בדרך אחרת". יתר על כן, התקן קובע כי המעניק יכיר בהתחייבות בהתאם לאופי התשלום שמקבל המפעיל: (א) על פי מודל ההתחייבות הפיננסית, כאשר המעניק משלם למפעיל עבור הקמת נכס הזיכיון למתן שירות, פיתוחו, רכישתו או שדרוגו, והתשלום נעשה בסדרת תשלומים שנקבעו מראש, ההתחייבות תטופל כהתחייבות פיננסית; (ב) על פי מודל הענקת זכות למפעיל - כאשר המעניק מפצה את המפעיל עבור הקמת נכס הזיכיון למתן שירות, פיתוחו, רכישתו או שדרוגו, באמצעות הענקת הזכות למפעיל להפיק הכנסות ממשתמשים שהם צדדים שלישיים או מנכס אחר מניב הכנסות, המעניק יכיר בהתחייבות עבור כל חלק של ההכנסה שטרם הוכר, הנובע מהחלפת הנכסים בינו לבין המפעיל.</w:t>
      </w:r>
    </w:p>
  </w:footnote>
  <w:footnote w:id="5">
    <w:p w14:paraId="2EDA9521" w14:textId="77777777" w:rsidR="00B10E6B" w:rsidRPr="00BC7178" w:rsidRDefault="00B10E6B" w:rsidP="00BC7178">
      <w:pPr>
        <w:pStyle w:val="a9"/>
        <w:rPr>
          <w:rtl/>
        </w:rPr>
      </w:pPr>
      <w:r w:rsidRPr="00BC7178">
        <w:rPr>
          <w:rStyle w:val="FootnoteReference"/>
          <w:vertAlign w:val="baseline"/>
        </w:rPr>
        <w:footnoteRef/>
      </w:r>
      <w:r w:rsidRPr="00BC7178">
        <w:rPr>
          <w:rtl/>
        </w:rPr>
        <w:t xml:space="preserve"> </w:t>
      </w:r>
      <w:r w:rsidRPr="00BC7178">
        <w:rPr>
          <w:rtl/>
        </w:rPr>
        <w:tab/>
      </w:r>
      <w:r w:rsidRPr="00BC7178">
        <w:rPr>
          <w:rFonts w:hint="cs"/>
        </w:rPr>
        <w:t>PPP</w:t>
      </w:r>
      <w:r w:rsidRPr="00BC7178">
        <w:rPr>
          <w:rFonts w:hint="cs"/>
          <w:rtl/>
        </w:rPr>
        <w:t xml:space="preserve"> - </w:t>
      </w:r>
      <w:r w:rsidRPr="00BC7178">
        <w:rPr>
          <w:rFonts w:hint="cs"/>
        </w:rPr>
        <w:t>P</w:t>
      </w:r>
      <w:r w:rsidRPr="00BC7178">
        <w:t>ublic Private Partnerships</w:t>
      </w:r>
      <w:r w:rsidRPr="00BC7178">
        <w:rPr>
          <w:rFonts w:hint="cs"/>
          <w:rtl/>
        </w:rPr>
        <w:t>.</w:t>
      </w:r>
    </w:p>
  </w:footnote>
  <w:footnote w:id="6">
    <w:p w14:paraId="1297D394" w14:textId="77777777" w:rsidR="00B10E6B" w:rsidRPr="00BC7178" w:rsidRDefault="00B10E6B" w:rsidP="00BC7178">
      <w:pPr>
        <w:pStyle w:val="a9"/>
      </w:pPr>
      <w:r w:rsidRPr="00BC7178">
        <w:rPr>
          <w:rStyle w:val="FootnoteReference"/>
          <w:vertAlign w:val="baseline"/>
        </w:rPr>
        <w:footnoteRef/>
      </w:r>
      <w:r w:rsidRPr="00BC7178">
        <w:rPr>
          <w:rtl/>
        </w:rPr>
        <w:t xml:space="preserve"> </w:t>
      </w:r>
      <w:r w:rsidRPr="00BC7178">
        <w:rPr>
          <w:rtl/>
        </w:rPr>
        <w:tab/>
      </w:r>
      <w:r w:rsidRPr="00BC7178">
        <w:rPr>
          <w:rFonts w:hint="cs"/>
          <w:rtl/>
        </w:rPr>
        <w:t>מתוך מצגת של חטיבת המחקר בבנק ישראל בנושא "פיתוח תשתיות בישראל: שיתוף המגזר העסקי".</w:t>
      </w:r>
    </w:p>
  </w:footnote>
  <w:footnote w:id="7">
    <w:p w14:paraId="659C9E45" w14:textId="77777777" w:rsidR="00B10E6B" w:rsidRDefault="00B10E6B" w:rsidP="00BC7178">
      <w:pPr>
        <w:pStyle w:val="a9"/>
        <w:rPr>
          <w:rtl/>
        </w:rPr>
      </w:pPr>
      <w:r w:rsidRPr="00BC7178">
        <w:rPr>
          <w:rStyle w:val="FootnoteReference"/>
          <w:vertAlign w:val="baseline"/>
        </w:rPr>
        <w:footnoteRef/>
      </w:r>
      <w:r w:rsidRPr="00BC7178">
        <w:rPr>
          <w:rtl/>
        </w:rPr>
        <w:t xml:space="preserve"> </w:t>
      </w:r>
      <w:r w:rsidRPr="00BC7178">
        <w:rPr>
          <w:rtl/>
        </w:rPr>
        <w:tab/>
      </w:r>
      <w:r w:rsidRPr="00BC7178">
        <w:rPr>
          <w:rFonts w:hint="cs"/>
          <w:rtl/>
        </w:rPr>
        <w:t xml:space="preserve">ראו: </w:t>
      </w:r>
      <w:r w:rsidRPr="00BC7178">
        <w:t>United Nations Department of Economic and Social Affairs, Public-Private Partnerships and the 2030 Agenda for Sustainable Development: Fit for Purpose? (2016)</w:t>
      </w:r>
      <w:r w:rsidRPr="00BC7178">
        <w:rPr>
          <w:rFonts w:hint="cs"/>
          <w:rtl/>
        </w:rPr>
        <w:t>, עמ</w:t>
      </w:r>
      <w:r w:rsidRPr="00BC7178">
        <w:rPr>
          <w:rtl/>
        </w:rPr>
        <w:t>'</w:t>
      </w:r>
      <w:r w:rsidRPr="00BC7178">
        <w:rPr>
          <w:rFonts w:hint="cs"/>
          <w:rtl/>
        </w:rPr>
        <w:t xml:space="preserve"> 6. ראו גם </w:t>
      </w:r>
      <w:r w:rsidRPr="00BC7178">
        <w:t>International Monetary Fund, World Economic Outlook (2014)</w:t>
      </w:r>
      <w:r w:rsidRPr="00BC7178">
        <w:rPr>
          <w:rFonts w:hint="cs"/>
          <w:rtl/>
        </w:rPr>
        <w:t>, עמ</w:t>
      </w:r>
      <w:r w:rsidRPr="00BC7178">
        <w:rPr>
          <w:rtl/>
        </w:rPr>
        <w:t>'</w:t>
      </w:r>
      <w:r w:rsidRPr="00BC7178">
        <w:rPr>
          <w:rFonts w:hint="cs"/>
          <w:rtl/>
        </w:rPr>
        <w:t xml:space="preserve"> 79, שם צוין כי שיעור</w:t>
      </w:r>
      <w:r>
        <w:rPr>
          <w:rFonts w:hint="cs"/>
          <w:rtl/>
        </w:rPr>
        <w:t xml:space="preserve"> ההשקעה בשיטת </w:t>
      </w:r>
      <w:r>
        <w:rPr>
          <w:rFonts w:hint="cs"/>
        </w:rPr>
        <w:t>PPP</w:t>
      </w:r>
      <w:r>
        <w:rPr>
          <w:rFonts w:hint="cs"/>
          <w:rtl/>
        </w:rPr>
        <w:t xml:space="preserve"> עומד על פחות מ-10% מסך ההשקעה הציבורית במדינות המפותחות.</w:t>
      </w:r>
    </w:p>
  </w:footnote>
  <w:footnote w:id="8">
    <w:p w14:paraId="44709E2C" w14:textId="77777777" w:rsidR="00B10E6B" w:rsidRDefault="00B10E6B" w:rsidP="00BC7178">
      <w:pPr>
        <w:pStyle w:val="a9"/>
      </w:pPr>
      <w:r w:rsidRPr="00752433">
        <w:footnoteRef/>
      </w:r>
      <w:r w:rsidRPr="00752433">
        <w:rPr>
          <w:rtl/>
        </w:rPr>
        <w:t xml:space="preserve"> </w:t>
      </w:r>
      <w:r w:rsidRPr="00752433">
        <w:tab/>
      </w:r>
      <w:r w:rsidRPr="00752433">
        <w:rPr>
          <w:rFonts w:hint="cs"/>
          <w:rtl/>
        </w:rPr>
        <w:t>אתר המרכז</w:t>
      </w:r>
      <w:r>
        <w:rPr>
          <w:rFonts w:hint="cs"/>
          <w:rtl/>
        </w:rPr>
        <w:t xml:space="preserve"> האירופי המקצועי למיזמים בשיתוף המגזר הפרטי. ראו באתר </w:t>
      </w:r>
      <w:hyperlink r:id="rId1" w:history="1">
        <w:r w:rsidRPr="00600B2B">
          <w:rPr>
            <w:rStyle w:val="Hyperlink"/>
          </w:rPr>
          <w:t>https://data.eib.org/epec</w:t>
        </w:r>
      </w:hyperlink>
      <w:r>
        <w:rPr>
          <w:rFonts w:hint="cs"/>
          <w:rtl/>
        </w:rPr>
        <w:t xml:space="preserve"> </w:t>
      </w:r>
    </w:p>
  </w:footnote>
  <w:footnote w:id="9">
    <w:p w14:paraId="2F70E769" w14:textId="77777777" w:rsidR="00B10E6B" w:rsidRDefault="00B10E6B" w:rsidP="00BC7178">
      <w:pPr>
        <w:pStyle w:val="a9"/>
      </w:pPr>
      <w:r w:rsidRPr="00752433">
        <w:footnoteRef/>
      </w:r>
      <w:r w:rsidRPr="00752433">
        <w:rPr>
          <w:rtl/>
        </w:rPr>
        <w:t xml:space="preserve"> </w:t>
      </w:r>
      <w:r w:rsidRPr="00752433">
        <w:rPr>
          <w:rtl/>
        </w:rPr>
        <w:tab/>
      </w:r>
      <w:r w:rsidRPr="00752433">
        <w:rPr>
          <w:rFonts w:hint="cs"/>
          <w:rtl/>
        </w:rPr>
        <w:t>ראו</w:t>
      </w:r>
      <w:r>
        <w:rPr>
          <w:rFonts w:hint="cs"/>
          <w:rtl/>
        </w:rPr>
        <w:t xml:space="preserve"> באתר </w:t>
      </w:r>
      <w:hyperlink r:id="rId2" w:history="1">
        <w:r w:rsidRPr="000D7B23">
          <w:rPr>
            <w:rStyle w:val="Hyperlink"/>
          </w:rPr>
          <w:t>https://stats.oecd.org</w:t>
        </w:r>
      </w:hyperlink>
      <w:r>
        <w:t xml:space="preserve"> </w:t>
      </w:r>
    </w:p>
  </w:footnote>
  <w:footnote w:id="10">
    <w:p w14:paraId="196A706D" w14:textId="77777777" w:rsidR="00B10E6B" w:rsidRDefault="00B10E6B" w:rsidP="00BC7178">
      <w:pPr>
        <w:pStyle w:val="a9"/>
        <w:rPr>
          <w:rtl/>
        </w:rPr>
      </w:pPr>
      <w:r w:rsidRPr="00752433">
        <w:footnoteRef/>
      </w:r>
      <w:r w:rsidRPr="00752433">
        <w:rPr>
          <w:rtl/>
        </w:rPr>
        <w:t xml:space="preserve"> </w:t>
      </w:r>
      <w:r w:rsidRPr="00752433">
        <w:rPr>
          <w:rtl/>
        </w:rPr>
        <w:tab/>
      </w:r>
      <w:r w:rsidRPr="00752433">
        <w:rPr>
          <w:rFonts w:hint="cs"/>
          <w:rtl/>
        </w:rPr>
        <w:t>ראו</w:t>
      </w:r>
      <w:r>
        <w:rPr>
          <w:rFonts w:hint="cs"/>
          <w:rtl/>
        </w:rPr>
        <w:t xml:space="preserve"> להלן, פרק "הליך הסגירה הפיננסית".</w:t>
      </w:r>
    </w:p>
  </w:footnote>
  <w:footnote w:id="11">
    <w:p w14:paraId="2367D1CD" w14:textId="77777777" w:rsidR="00B10E6B" w:rsidRPr="00752433" w:rsidRDefault="00B10E6B" w:rsidP="00752433">
      <w:pPr>
        <w:pStyle w:val="a9"/>
      </w:pPr>
      <w:r w:rsidRPr="00752433">
        <w:rPr>
          <w:rStyle w:val="FootnoteReference"/>
          <w:vertAlign w:val="baseline"/>
        </w:rPr>
        <w:footnoteRef/>
      </w:r>
      <w:r w:rsidRPr="00752433">
        <w:rPr>
          <w:rtl/>
        </w:rPr>
        <w:t xml:space="preserve"> </w:t>
      </w:r>
      <w:r w:rsidRPr="00752433">
        <w:rPr>
          <w:rtl/>
        </w:rPr>
        <w:tab/>
      </w:r>
      <w:r w:rsidRPr="00752433">
        <w:rPr>
          <w:rFonts w:hint="cs"/>
          <w:rtl/>
        </w:rPr>
        <w:t>קיימים פרויקטים מסוגים נוספים בתחום התשתיות בישראל: (א) פרויקטים תקציביים (</w:t>
      </w:r>
      <w:r w:rsidRPr="00752433">
        <w:rPr>
          <w:rFonts w:hint="cs"/>
        </w:rPr>
        <w:t>DB</w:t>
      </w:r>
      <w:r w:rsidRPr="00752433">
        <w:rPr>
          <w:rFonts w:hint="cs"/>
          <w:rtl/>
        </w:rPr>
        <w:t>/כתב כמויות) שבהם השותפות עם המגזר הפרטי מוגבלת. בפרויקטים אלו המגזר הציבורי מבצע תכנון ראשוני ומעביר למגזר הפרטי את התכנון המפורט ואת הביצוע; (ב) פרויקטים הפועלים ברישיונות, בפרט בתחומי האחריות של משרד האנרגיה, רשות החשמל ורשות המים.</w:t>
      </w:r>
    </w:p>
  </w:footnote>
  <w:footnote w:id="12">
    <w:p w14:paraId="60E874E5" w14:textId="77777777" w:rsidR="00B10E6B" w:rsidRPr="00752433" w:rsidRDefault="00B10E6B" w:rsidP="00752433">
      <w:pPr>
        <w:pStyle w:val="a9"/>
        <w:rPr>
          <w:rtl/>
        </w:rPr>
      </w:pPr>
      <w:r w:rsidRPr="00752433">
        <w:rPr>
          <w:rStyle w:val="FootnoteReference"/>
          <w:vertAlign w:val="baseline"/>
        </w:rPr>
        <w:footnoteRef/>
      </w:r>
      <w:r w:rsidRPr="00752433">
        <w:rPr>
          <w:rtl/>
        </w:rPr>
        <w:t xml:space="preserve"> </w:t>
      </w:r>
      <w:r w:rsidRPr="00752433">
        <w:rPr>
          <w:rtl/>
        </w:rPr>
        <w:tab/>
      </w:r>
      <w:r w:rsidRPr="00752433">
        <w:rPr>
          <w:rFonts w:hint="cs"/>
          <w:rtl/>
        </w:rPr>
        <w:t>ההשקעה מוצגת בניכוי הפחת שנצבר.</w:t>
      </w:r>
    </w:p>
  </w:footnote>
  <w:footnote w:id="13">
    <w:p w14:paraId="50D963B6" w14:textId="77777777" w:rsidR="00B10E6B" w:rsidRDefault="00B10E6B" w:rsidP="00752433">
      <w:pPr>
        <w:pStyle w:val="a9"/>
        <w:rPr>
          <w:rtl/>
        </w:rPr>
      </w:pPr>
      <w:r w:rsidRPr="00752433">
        <w:rPr>
          <w:rStyle w:val="FootnoteReference"/>
          <w:vertAlign w:val="baseline"/>
        </w:rPr>
        <w:footnoteRef/>
      </w:r>
      <w:r w:rsidRPr="00752433">
        <w:rPr>
          <w:rtl/>
        </w:rPr>
        <w:t xml:space="preserve"> </w:t>
      </w:r>
      <w:r w:rsidRPr="00752433">
        <w:rPr>
          <w:rtl/>
        </w:rPr>
        <w:tab/>
      </w:r>
      <w:r w:rsidRPr="00752433">
        <w:rPr>
          <w:rFonts w:hint="cs"/>
          <w:rtl/>
        </w:rPr>
        <w:t>בנוסף יש 32 פרויקטים שהקמתם טרם הושלמה (פרויקטים המצויים לפני הסגירה הפיננסית, בשלבי מכרז שונים</w:t>
      </w:r>
      <w:r>
        <w:rPr>
          <w:rFonts w:hint="cs"/>
          <w:rtl/>
        </w:rPr>
        <w:t xml:space="preserve"> ובשלב טרום המכרז). אומדן עלות ההקמה הכוללת בפרויקטים אלה מוערכת בכ-48 מיליארדי שקלים, בהם כביש 16, רכבת קלה (להלן - רק"ל) ת"א, רק"ל חיפה-נצרת ורק"ל ירושלים (קו המשך), נתיבים מהירים בגוש דן, מתקני התפלה בשורק ב' ובגליל המערבי. פרויקטים אלה מנוהלים בידי הגופים השונים המוזכרים לעיל.</w:t>
      </w:r>
    </w:p>
  </w:footnote>
  <w:footnote w:id="14">
    <w:p w14:paraId="3ED313E2" w14:textId="77777777" w:rsidR="00B10E6B" w:rsidRPr="00752433" w:rsidRDefault="00B10E6B" w:rsidP="00752433">
      <w:pPr>
        <w:pStyle w:val="a9"/>
        <w:rPr>
          <w:rtl/>
        </w:rPr>
      </w:pPr>
      <w:r w:rsidRPr="00752433">
        <w:rPr>
          <w:rStyle w:val="FootnoteReference"/>
          <w:vertAlign w:val="baseline"/>
        </w:rPr>
        <w:footnoteRef/>
      </w:r>
      <w:r w:rsidRPr="00752433">
        <w:rPr>
          <w:rtl/>
        </w:rPr>
        <w:t xml:space="preserve"> </w:t>
      </w:r>
      <w:r w:rsidRPr="00752433">
        <w:rPr>
          <w:rtl/>
        </w:rPr>
        <w:tab/>
      </w:r>
      <w:r w:rsidRPr="00752433">
        <w:rPr>
          <w:rFonts w:hint="cs"/>
          <w:rtl/>
        </w:rPr>
        <w:t>מספר הפרויקטים (24) המוצג הוא כפי שמופיע בדוחות הכספיים, אולם הושלמו שלושה פרויקטים נוספים (פרויקט תחבורתי ושני פרויקטים בתחום המים) שאינם מצוינים בדוחות הכספיים. פרויקטים תחבורתיים כוללים כבישים ורכבות, פרויקטי מים כוללים מתקני התפלה, פרויקטי בינוי ציבורי כוללים מתקני הדרכה, בתי משפט, חניונים, קריות ומשרדים ממשלתיים, ופרויקטי אנרגיה סולארית כוללים תחנות כוח סולאריות.</w:t>
      </w:r>
    </w:p>
  </w:footnote>
  <w:footnote w:id="15">
    <w:p w14:paraId="42AEABFA" w14:textId="77777777" w:rsidR="00B10E6B" w:rsidRPr="00752433" w:rsidRDefault="00B10E6B" w:rsidP="00752433">
      <w:pPr>
        <w:pStyle w:val="a9"/>
      </w:pPr>
      <w:r w:rsidRPr="00752433">
        <w:rPr>
          <w:rStyle w:val="FootnoteReference"/>
          <w:vertAlign w:val="baseline"/>
        </w:rPr>
        <w:footnoteRef/>
      </w:r>
      <w:r w:rsidRPr="00752433">
        <w:rPr>
          <w:rtl/>
        </w:rPr>
        <w:t xml:space="preserve"> </w:t>
      </w:r>
      <w:r w:rsidRPr="00752433">
        <w:rPr>
          <w:rtl/>
        </w:rPr>
        <w:tab/>
      </w:r>
      <w:r w:rsidRPr="00752433">
        <w:rPr>
          <w:rFonts w:hint="cs"/>
          <w:rtl/>
        </w:rPr>
        <w:t>לתקופה קצובה של 20 – 35 שנה.</w:t>
      </w:r>
    </w:p>
  </w:footnote>
  <w:footnote w:id="16">
    <w:p w14:paraId="5AF23E12" w14:textId="500C1D87" w:rsidR="00B10E6B" w:rsidRDefault="00B10E6B" w:rsidP="00A40C6E">
      <w:pPr>
        <w:pStyle w:val="a9"/>
      </w:pPr>
      <w:r w:rsidRPr="00752433">
        <w:rPr>
          <w:rStyle w:val="FootnoteReference"/>
          <w:vertAlign w:val="baseline"/>
        </w:rPr>
        <w:footnoteRef/>
      </w:r>
      <w:r w:rsidRPr="00752433">
        <w:rPr>
          <w:rtl/>
        </w:rPr>
        <w:t xml:space="preserve"> </w:t>
      </w:r>
      <w:r w:rsidRPr="00752433">
        <w:rPr>
          <w:rtl/>
        </w:rPr>
        <w:tab/>
      </w:r>
      <w:r w:rsidRPr="00752433">
        <w:rPr>
          <w:rFonts w:hint="cs"/>
          <w:rtl/>
        </w:rPr>
        <w:t>ראו באתר</w:t>
      </w:r>
      <w:r>
        <w:rPr>
          <w:rFonts w:hint="cs"/>
          <w:rtl/>
        </w:rPr>
        <w:t xml:space="preserve"> משרד האוצר: </w:t>
      </w:r>
      <w:hyperlink r:id="rId3" w:history="1">
        <w:r w:rsidRPr="004D0FD4">
          <w:rPr>
            <w:rStyle w:val="Hyperlink"/>
          </w:rPr>
          <w:t>https://mof.gov.il/AG/Projects/ProjectsPrivateSector/Pages/PresentationPPP.aspx</w:t>
        </w:r>
      </w:hyperlink>
    </w:p>
  </w:footnote>
  <w:footnote w:id="17">
    <w:p w14:paraId="1A442197" w14:textId="77777777" w:rsidR="00B10E6B" w:rsidRDefault="00B10E6B" w:rsidP="003972E8">
      <w:pPr>
        <w:pStyle w:val="a9"/>
        <w:rPr>
          <w:rtl/>
        </w:rPr>
      </w:pPr>
      <w:r w:rsidRPr="003972E8">
        <w:footnoteRef/>
      </w:r>
      <w:r w:rsidRPr="003972E8">
        <w:rPr>
          <w:rtl/>
        </w:rPr>
        <w:t xml:space="preserve"> </w:t>
      </w:r>
      <w:r>
        <w:rPr>
          <w:rtl/>
        </w:rPr>
        <w:tab/>
      </w:r>
      <w:hyperlink r:id="rId4" w:history="1">
        <w:r w:rsidRPr="00600B2B">
          <w:rPr>
            <w:rStyle w:val="Hyperlink"/>
          </w:rPr>
          <w:t>https://www.inbal.co.il/HomeWebPages/BasicConcepts.aspx</w:t>
        </w:r>
      </w:hyperlink>
      <w:r>
        <w:rPr>
          <w:rFonts w:hint="cs"/>
          <w:rtl/>
        </w:rPr>
        <w:t xml:space="preserve"> </w:t>
      </w:r>
    </w:p>
  </w:footnote>
  <w:footnote w:id="18">
    <w:p w14:paraId="42C96AA8" w14:textId="77777777" w:rsidR="00B10E6B" w:rsidRPr="003972E8" w:rsidRDefault="00B10E6B" w:rsidP="003972E8">
      <w:pPr>
        <w:pStyle w:val="a9"/>
        <w:rPr>
          <w:rtl/>
        </w:rPr>
      </w:pPr>
      <w:r w:rsidRPr="003972E8">
        <w:rPr>
          <w:rStyle w:val="FootnoteReference"/>
          <w:vertAlign w:val="baseline"/>
        </w:rPr>
        <w:footnoteRef/>
      </w:r>
      <w:r w:rsidRPr="003972E8">
        <w:rPr>
          <w:rtl/>
        </w:rPr>
        <w:t xml:space="preserve"> </w:t>
      </w:r>
      <w:r w:rsidRPr="003972E8">
        <w:rPr>
          <w:rtl/>
        </w:rPr>
        <w:tab/>
      </w:r>
      <w:r w:rsidRPr="003972E8">
        <w:rPr>
          <w:rFonts w:hint="cs"/>
        </w:rPr>
        <w:t>P.F.I</w:t>
      </w:r>
      <w:r w:rsidRPr="003972E8">
        <w:rPr>
          <w:rFonts w:hint="cs"/>
          <w:rtl/>
        </w:rPr>
        <w:t xml:space="preserve"> - </w:t>
      </w:r>
      <w:r w:rsidRPr="003972E8">
        <w:rPr>
          <w:rFonts w:hint="cs"/>
        </w:rPr>
        <w:t>P</w:t>
      </w:r>
      <w:r w:rsidRPr="003972E8">
        <w:t>rivate Finance Initiative</w:t>
      </w:r>
      <w:r w:rsidRPr="003972E8">
        <w:rPr>
          <w:rFonts w:hint="cs"/>
          <w:rtl/>
        </w:rPr>
        <w:t>, דוגמאות: מרכז ההדרכה של משטרת ישראל, קריית ההדרכה של צה"ל בנגב, כביש 431.</w:t>
      </w:r>
    </w:p>
  </w:footnote>
  <w:footnote w:id="19">
    <w:p w14:paraId="440D8FD7" w14:textId="7B3B51C9" w:rsidR="00B10E6B" w:rsidRPr="003972E8" w:rsidRDefault="00B10E6B" w:rsidP="003972E8">
      <w:pPr>
        <w:pStyle w:val="a9"/>
      </w:pPr>
      <w:r w:rsidRPr="003972E8">
        <w:rPr>
          <w:rStyle w:val="FootnoteReference"/>
          <w:vertAlign w:val="baseline"/>
        </w:rPr>
        <w:footnoteRef/>
      </w:r>
      <w:r w:rsidRPr="003972E8">
        <w:rPr>
          <w:rtl/>
        </w:rPr>
        <w:t xml:space="preserve"> </w:t>
      </w:r>
      <w:r w:rsidRPr="003972E8">
        <w:rPr>
          <w:rtl/>
        </w:rPr>
        <w:tab/>
      </w:r>
      <w:r w:rsidRPr="003972E8">
        <w:rPr>
          <w:rFonts w:hint="cs"/>
        </w:rPr>
        <w:t>B.O.</w:t>
      </w:r>
      <w:r w:rsidRPr="003972E8">
        <w:t>T</w:t>
      </w:r>
      <w:r w:rsidRPr="003972E8">
        <w:rPr>
          <w:rFonts w:hint="cs"/>
          <w:rtl/>
        </w:rPr>
        <w:t xml:space="preserve"> - </w:t>
      </w:r>
      <w:r w:rsidRPr="003972E8">
        <w:t>Build, Operate, Transfer</w:t>
      </w:r>
      <w:r w:rsidRPr="003972E8">
        <w:rPr>
          <w:rFonts w:hint="cs"/>
          <w:rtl/>
        </w:rPr>
        <w:t xml:space="preserve">. לדוג' מתקן התפלה אשקלון, כביש חוצה ישראל צפון, הנתיב המהיר </w:t>
      </w:r>
      <w:r>
        <w:rPr>
          <w:rtl/>
        </w:rPr>
        <w:br/>
      </w:r>
      <w:r w:rsidRPr="003972E8">
        <w:rPr>
          <w:rFonts w:hint="cs"/>
          <w:rtl/>
        </w:rPr>
        <w:t>בתל אביב.</w:t>
      </w:r>
    </w:p>
  </w:footnote>
  <w:footnote w:id="20">
    <w:p w14:paraId="5753F8A8" w14:textId="77777777" w:rsidR="00B10E6B" w:rsidRPr="003972E8" w:rsidRDefault="00B10E6B" w:rsidP="003972E8">
      <w:pPr>
        <w:pStyle w:val="a9"/>
      </w:pPr>
      <w:r w:rsidRPr="003972E8">
        <w:rPr>
          <w:rStyle w:val="FootnoteReference"/>
          <w:vertAlign w:val="baseline"/>
        </w:rPr>
        <w:footnoteRef/>
      </w:r>
      <w:r w:rsidRPr="003972E8">
        <w:rPr>
          <w:rtl/>
        </w:rPr>
        <w:t xml:space="preserve"> </w:t>
      </w:r>
      <w:r w:rsidRPr="003972E8">
        <w:rPr>
          <w:rtl/>
        </w:rPr>
        <w:tab/>
      </w:r>
      <w:r w:rsidRPr="003972E8">
        <w:rPr>
          <w:rFonts w:hint="cs"/>
        </w:rPr>
        <w:t>B.O.O</w:t>
      </w:r>
      <w:r w:rsidRPr="003972E8">
        <w:rPr>
          <w:rFonts w:hint="cs"/>
          <w:rtl/>
        </w:rPr>
        <w:t xml:space="preserve"> - </w:t>
      </w:r>
      <w:r w:rsidRPr="003972E8">
        <w:t>Build, Own, Operate</w:t>
      </w:r>
      <w:r w:rsidRPr="003972E8">
        <w:rPr>
          <w:rFonts w:hint="cs"/>
          <w:rtl/>
        </w:rPr>
        <w:t>, דוגמה: מתקן ההתפלה בפלמחים.</w:t>
      </w:r>
    </w:p>
  </w:footnote>
  <w:footnote w:id="21">
    <w:p w14:paraId="4B771ECC" w14:textId="77777777" w:rsidR="00B10E6B" w:rsidRDefault="00B10E6B" w:rsidP="003972E8">
      <w:pPr>
        <w:pStyle w:val="a9"/>
        <w:rPr>
          <w:rtl/>
        </w:rPr>
      </w:pPr>
      <w:r w:rsidRPr="003972E8">
        <w:rPr>
          <w:rStyle w:val="FootnoteReference"/>
          <w:vertAlign w:val="baseline"/>
        </w:rPr>
        <w:footnoteRef/>
      </w:r>
      <w:r>
        <w:rPr>
          <w:rtl/>
        </w:rPr>
        <w:t xml:space="preserve"> </w:t>
      </w:r>
      <w:r>
        <w:rPr>
          <w:rtl/>
        </w:rPr>
        <w:tab/>
      </w:r>
      <w:hyperlink r:id="rId5" w:history="1">
        <w:r w:rsidRPr="00600B2B">
          <w:rPr>
            <w:rStyle w:val="Hyperlink"/>
          </w:rPr>
          <w:t>https://www.inbal.co.il/HomeWebPages/BasicConcepts.aspx</w:t>
        </w:r>
      </w:hyperlink>
      <w:r>
        <w:rPr>
          <w:rFonts w:hint="cs"/>
          <w:rtl/>
        </w:rPr>
        <w:t xml:space="preserve"> </w:t>
      </w:r>
    </w:p>
  </w:footnote>
  <w:footnote w:id="22">
    <w:p w14:paraId="33E542D0" w14:textId="77777777" w:rsidR="00B10E6B" w:rsidRPr="003972E8" w:rsidRDefault="00B10E6B" w:rsidP="003972E8">
      <w:pPr>
        <w:pStyle w:val="a9"/>
        <w:rPr>
          <w:rtl/>
        </w:rPr>
      </w:pPr>
      <w:r w:rsidRPr="003972E8">
        <w:footnoteRef/>
      </w:r>
      <w:r w:rsidRPr="003972E8">
        <w:rPr>
          <w:rtl/>
        </w:rPr>
        <w:t xml:space="preserve"> </w:t>
      </w:r>
      <w:r w:rsidRPr="003972E8">
        <w:rPr>
          <w:rtl/>
        </w:rPr>
        <w:tab/>
      </w:r>
      <w:r w:rsidRPr="003972E8">
        <w:rPr>
          <w:rFonts w:hint="cs"/>
          <w:rtl/>
        </w:rPr>
        <w:t>ראו</w:t>
      </w:r>
      <w:r>
        <w:rPr>
          <w:rFonts w:hint="cs"/>
          <w:rtl/>
        </w:rPr>
        <w:t>:</w:t>
      </w:r>
      <w:r w:rsidRPr="00137FAE">
        <w:rPr>
          <w:rFonts w:hint="cs"/>
          <w:b/>
          <w:bCs/>
          <w:rtl/>
        </w:rPr>
        <w:t xml:space="preserve"> </w:t>
      </w:r>
      <w:r w:rsidRPr="00E93AF0">
        <w:rPr>
          <w:rFonts w:hint="eastAsia"/>
          <w:rtl/>
        </w:rPr>
        <w:t>בנק</w:t>
      </w:r>
      <w:r w:rsidRPr="00E93AF0">
        <w:rPr>
          <w:rtl/>
        </w:rPr>
        <w:t xml:space="preserve"> </w:t>
      </w:r>
      <w:r w:rsidRPr="00E93AF0">
        <w:rPr>
          <w:rFonts w:hint="eastAsia"/>
          <w:rtl/>
        </w:rPr>
        <w:t>ישראל</w:t>
      </w:r>
      <w:r>
        <w:rPr>
          <w:rFonts w:hint="cs"/>
          <w:rtl/>
        </w:rPr>
        <w:t xml:space="preserve">, </w:t>
      </w:r>
      <w:r w:rsidRPr="00E93AF0">
        <w:rPr>
          <w:rFonts w:hint="eastAsia"/>
          <w:b/>
          <w:bCs/>
          <w:rtl/>
        </w:rPr>
        <w:t>דין</w:t>
      </w:r>
      <w:r w:rsidRPr="00E93AF0">
        <w:rPr>
          <w:b/>
          <w:bCs/>
          <w:rtl/>
        </w:rPr>
        <w:t xml:space="preserve"> </w:t>
      </w:r>
      <w:r w:rsidRPr="00E93AF0">
        <w:rPr>
          <w:rFonts w:hint="eastAsia"/>
          <w:b/>
          <w:bCs/>
          <w:rtl/>
        </w:rPr>
        <w:t>וחשבון</w:t>
      </w:r>
      <w:r w:rsidRPr="00E93AF0">
        <w:rPr>
          <w:b/>
          <w:bCs/>
          <w:rtl/>
        </w:rPr>
        <w:t xml:space="preserve"> 2016</w:t>
      </w:r>
      <w:r>
        <w:rPr>
          <w:rFonts w:hint="cs"/>
          <w:b/>
          <w:bCs/>
          <w:rtl/>
        </w:rPr>
        <w:t>,</w:t>
      </w:r>
      <w:r>
        <w:rPr>
          <w:rFonts w:hint="cs"/>
          <w:rtl/>
        </w:rPr>
        <w:t xml:space="preserve"> עמ</w:t>
      </w:r>
      <w:r>
        <w:rPr>
          <w:rtl/>
        </w:rPr>
        <w:t>'</w:t>
      </w:r>
      <w:r>
        <w:rPr>
          <w:rFonts w:hint="cs"/>
          <w:rtl/>
        </w:rPr>
        <w:t xml:space="preserve"> 165. יתר על כן, אחד </w:t>
      </w:r>
      <w:r w:rsidRPr="00073A96">
        <w:rPr>
          <w:rFonts w:hint="cs"/>
          <w:rtl/>
        </w:rPr>
        <w:t xml:space="preserve">היתרונות של </w:t>
      </w:r>
      <w:r w:rsidRPr="00073A96">
        <w:t>PFI</w:t>
      </w:r>
      <w:r w:rsidRPr="00073A96">
        <w:rPr>
          <w:rFonts w:hint="cs"/>
          <w:rtl/>
        </w:rPr>
        <w:t xml:space="preserve"> הוא</w:t>
      </w:r>
      <w:r>
        <w:rPr>
          <w:rFonts w:hint="cs"/>
          <w:rtl/>
        </w:rPr>
        <w:t xml:space="preserve"> יעילות תפעולית משופרת. הזכיין אחראי להפעלת הנכס ולכן יש לו תמריץ לשקול כיצד אפשר להפחית את העלויות לטווח הארוך. ראו גם </w:t>
      </w:r>
      <w:r w:rsidRPr="00E93AF0">
        <w:t>National Audit Office (United Kingdom</w:t>
      </w:r>
      <w:r w:rsidRPr="00BD2E45">
        <w:t xml:space="preserve">), </w:t>
      </w:r>
      <w:r w:rsidRPr="00E93AF0">
        <w:rPr>
          <w:i/>
          <w:iCs/>
        </w:rPr>
        <w:t xml:space="preserve">PFI and PF2 </w:t>
      </w:r>
      <w:r>
        <w:t>(2018)</w:t>
      </w:r>
      <w:r w:rsidRPr="003972E8">
        <w:rPr>
          <w:rFonts w:hint="cs"/>
          <w:rtl/>
        </w:rPr>
        <w:t>, עמ</w:t>
      </w:r>
      <w:r w:rsidRPr="003972E8">
        <w:rPr>
          <w:rtl/>
        </w:rPr>
        <w:t>'</w:t>
      </w:r>
      <w:r w:rsidRPr="003972E8">
        <w:rPr>
          <w:rFonts w:hint="cs"/>
          <w:rtl/>
        </w:rPr>
        <w:t xml:space="preserve"> 8.</w:t>
      </w:r>
    </w:p>
  </w:footnote>
  <w:footnote w:id="23">
    <w:p w14:paraId="7D410312" w14:textId="77777777" w:rsidR="00B10E6B" w:rsidRPr="003972E8" w:rsidRDefault="00B10E6B" w:rsidP="003972E8">
      <w:pPr>
        <w:pStyle w:val="a9"/>
        <w:rPr>
          <w:rtl/>
        </w:rPr>
      </w:pPr>
      <w:r w:rsidRPr="003972E8">
        <w:rPr>
          <w:rStyle w:val="FootnoteReference"/>
          <w:vertAlign w:val="baseline"/>
        </w:rPr>
        <w:footnoteRef/>
      </w:r>
      <w:r w:rsidRPr="003972E8">
        <w:rPr>
          <w:rtl/>
        </w:rPr>
        <w:t xml:space="preserve"> </w:t>
      </w:r>
      <w:r w:rsidRPr="003972E8">
        <w:rPr>
          <w:rtl/>
        </w:rPr>
        <w:tab/>
      </w:r>
      <w:r w:rsidRPr="003972E8">
        <w:rPr>
          <w:rFonts w:hint="cs"/>
          <w:rtl/>
        </w:rPr>
        <w:t xml:space="preserve">כדי לבצע פרויקטים באופן היעיל ביותר, בפרויקטים בשיטת </w:t>
      </w:r>
      <w:r w:rsidRPr="003972E8">
        <w:rPr>
          <w:rFonts w:hint="cs"/>
        </w:rPr>
        <w:t>PPP</w:t>
      </w:r>
      <w:r w:rsidRPr="003972E8">
        <w:rPr>
          <w:rFonts w:hint="cs"/>
          <w:rtl/>
        </w:rPr>
        <w:t xml:space="preserve"> מתבצעת חלוקת סיכונים מיטבית בין המגזר הציבורי לפרטי באופן בו כל צד מקבל על עצמו את הסיכון שעימו יש ביכולתו להתמודד באופן הטוב ביותר.</w:t>
      </w:r>
    </w:p>
  </w:footnote>
  <w:footnote w:id="24">
    <w:p w14:paraId="421FBDC1" w14:textId="77777777" w:rsidR="00B10E6B" w:rsidRDefault="00B10E6B" w:rsidP="003972E8">
      <w:pPr>
        <w:pStyle w:val="a9"/>
      </w:pPr>
      <w:r w:rsidRPr="003972E8">
        <w:rPr>
          <w:rStyle w:val="FootnoteReference"/>
          <w:vertAlign w:val="baseline"/>
        </w:rPr>
        <w:footnoteRef/>
      </w:r>
      <w:r w:rsidRPr="003972E8">
        <w:rPr>
          <w:rtl/>
        </w:rPr>
        <w:t xml:space="preserve"> </w:t>
      </w:r>
      <w:r w:rsidRPr="003972E8">
        <w:rPr>
          <w:rtl/>
        </w:rPr>
        <w:tab/>
      </w:r>
      <w:r w:rsidRPr="003972E8">
        <w:rPr>
          <w:rFonts w:hint="cs"/>
          <w:rtl/>
        </w:rPr>
        <w:t xml:space="preserve">ראו: </w:t>
      </w:r>
      <w:r w:rsidRPr="003972E8">
        <w:rPr>
          <w:rFonts w:hint="eastAsia"/>
          <w:rtl/>
        </w:rPr>
        <w:t>בנק</w:t>
      </w:r>
      <w:r w:rsidRPr="003972E8">
        <w:rPr>
          <w:rtl/>
        </w:rPr>
        <w:t xml:space="preserve"> </w:t>
      </w:r>
      <w:r w:rsidRPr="00E93AF0">
        <w:rPr>
          <w:rFonts w:hint="eastAsia"/>
          <w:rtl/>
        </w:rPr>
        <w:t>ישראל</w:t>
      </w:r>
      <w:r>
        <w:rPr>
          <w:rFonts w:hint="cs"/>
          <w:rtl/>
        </w:rPr>
        <w:t xml:space="preserve">, </w:t>
      </w:r>
      <w:r w:rsidRPr="00E93AF0">
        <w:rPr>
          <w:rFonts w:hint="eastAsia"/>
          <w:b/>
          <w:bCs/>
          <w:rtl/>
        </w:rPr>
        <w:t>דין</w:t>
      </w:r>
      <w:r w:rsidRPr="00E93AF0">
        <w:rPr>
          <w:b/>
          <w:bCs/>
          <w:rtl/>
        </w:rPr>
        <w:t xml:space="preserve"> </w:t>
      </w:r>
      <w:r w:rsidRPr="00E93AF0">
        <w:rPr>
          <w:rFonts w:hint="eastAsia"/>
          <w:b/>
          <w:bCs/>
          <w:rtl/>
        </w:rPr>
        <w:t>וחשבון</w:t>
      </w:r>
      <w:r w:rsidRPr="00E93AF0">
        <w:rPr>
          <w:b/>
          <w:bCs/>
          <w:rtl/>
        </w:rPr>
        <w:t xml:space="preserve"> 2016</w:t>
      </w:r>
      <w:r>
        <w:rPr>
          <w:rFonts w:hint="cs"/>
          <w:rtl/>
        </w:rPr>
        <w:t>, עמ</w:t>
      </w:r>
      <w:r>
        <w:rPr>
          <w:rtl/>
        </w:rPr>
        <w:t>'</w:t>
      </w:r>
      <w:r>
        <w:rPr>
          <w:rFonts w:hint="cs"/>
          <w:rtl/>
        </w:rPr>
        <w:t xml:space="preserve"> 166.</w:t>
      </w:r>
    </w:p>
  </w:footnote>
  <w:footnote w:id="25">
    <w:p w14:paraId="56BF6476" w14:textId="77777777" w:rsidR="00B10E6B" w:rsidRDefault="00B10E6B" w:rsidP="003972E8">
      <w:pPr>
        <w:pStyle w:val="a9"/>
      </w:pPr>
      <w:r w:rsidRPr="003972E8">
        <w:footnoteRef/>
      </w:r>
      <w:r w:rsidRPr="003972E8">
        <w:rPr>
          <w:rtl/>
        </w:rPr>
        <w:t xml:space="preserve"> </w:t>
      </w:r>
      <w:r>
        <w:rPr>
          <w:rtl/>
        </w:rPr>
        <w:tab/>
      </w:r>
      <w:r w:rsidRPr="00A617F1">
        <w:rPr>
          <w:rStyle w:val="Hyperlink"/>
        </w:rPr>
        <w:t>https://infrastructure.pmo.gov.il/ppp-tutorial/ppp-introduction</w:t>
      </w:r>
    </w:p>
  </w:footnote>
  <w:footnote w:id="26">
    <w:p w14:paraId="077DEA6C" w14:textId="77777777" w:rsidR="00B10E6B" w:rsidRPr="00573595" w:rsidRDefault="00B10E6B" w:rsidP="00573595">
      <w:pPr>
        <w:pStyle w:val="a9"/>
        <w:rPr>
          <w:rtl/>
        </w:rPr>
      </w:pPr>
      <w:r w:rsidRPr="00573595">
        <w:rPr>
          <w:rStyle w:val="FootnoteReference"/>
          <w:vertAlign w:val="baseline"/>
        </w:rPr>
        <w:footnoteRef/>
      </w:r>
      <w:r w:rsidRPr="00573595">
        <w:rPr>
          <w:rtl/>
        </w:rPr>
        <w:t xml:space="preserve"> </w:t>
      </w:r>
      <w:r w:rsidRPr="00573595">
        <w:rPr>
          <w:rtl/>
        </w:rPr>
        <w:tab/>
      </w:r>
      <w:r w:rsidRPr="00573595">
        <w:rPr>
          <w:rFonts w:hint="cs"/>
          <w:rtl/>
        </w:rPr>
        <w:t>חברת מקינזי, "ישראל 2030 - תכנית לאומית להשקעה בתשתיות", ינואר</w:t>
      </w:r>
      <w:r w:rsidRPr="00573595">
        <w:rPr>
          <w:rtl/>
        </w:rPr>
        <w:t xml:space="preserve"> </w:t>
      </w:r>
      <w:r w:rsidRPr="00573595">
        <w:rPr>
          <w:rFonts w:hint="cs"/>
          <w:rtl/>
        </w:rPr>
        <w:t xml:space="preserve">2018. עבודה זו הוכנה עבור צוות בין-משרדי לגיבוש תוכנית כוללת להרחבת ההשקעה בפרויקטי תשתית לטווח הארוך. </w:t>
      </w:r>
    </w:p>
  </w:footnote>
  <w:footnote w:id="27">
    <w:p w14:paraId="0496E5C3" w14:textId="6E40F90A" w:rsidR="00B10E6B" w:rsidRPr="00573595" w:rsidRDefault="00B10E6B" w:rsidP="00573595">
      <w:pPr>
        <w:pStyle w:val="a9"/>
        <w:rPr>
          <w:rtl/>
        </w:rPr>
      </w:pPr>
      <w:r w:rsidRPr="00573595">
        <w:rPr>
          <w:rStyle w:val="FootnoteReference"/>
          <w:vertAlign w:val="baseline"/>
        </w:rPr>
        <w:footnoteRef/>
      </w:r>
      <w:r w:rsidRPr="00573595">
        <w:rPr>
          <w:rtl/>
        </w:rPr>
        <w:t xml:space="preserve"> </w:t>
      </w:r>
      <w:r w:rsidRPr="00573595">
        <w:rPr>
          <w:rtl/>
        </w:rPr>
        <w:tab/>
      </w:r>
      <w:r w:rsidRPr="00573595">
        <w:rPr>
          <w:rFonts w:hint="cs"/>
          <w:rtl/>
        </w:rPr>
        <w:t xml:space="preserve">ראו: </w:t>
      </w:r>
      <w:r w:rsidRPr="00573595">
        <w:t>OECD, Review of Public Governance of Public-Private Partnerships in the United Kingdom (2015)</w:t>
      </w:r>
      <w:r w:rsidR="00C633E8">
        <w:rPr>
          <w:rFonts w:hint="cs"/>
          <w:rtl/>
        </w:rPr>
        <w:t>,</w:t>
      </w:r>
      <w:r w:rsidRPr="00573595">
        <w:rPr>
          <w:rFonts w:hint="cs"/>
          <w:rtl/>
        </w:rPr>
        <w:t xml:space="preserve"> עמ</w:t>
      </w:r>
      <w:r w:rsidRPr="00573595">
        <w:rPr>
          <w:rtl/>
        </w:rPr>
        <w:t>'</w:t>
      </w:r>
      <w:r w:rsidRPr="00573595">
        <w:rPr>
          <w:rFonts w:hint="cs"/>
          <w:rtl/>
        </w:rPr>
        <w:t xml:space="preserve"> 39 סעיף 77.</w:t>
      </w:r>
    </w:p>
  </w:footnote>
  <w:footnote w:id="28">
    <w:p w14:paraId="2BF929FB" w14:textId="5012619D" w:rsidR="00B10E6B" w:rsidRPr="00573595" w:rsidRDefault="00B10E6B" w:rsidP="00573595">
      <w:pPr>
        <w:pStyle w:val="a9"/>
        <w:rPr>
          <w:rtl/>
        </w:rPr>
      </w:pPr>
      <w:r w:rsidRPr="00573595">
        <w:rPr>
          <w:rStyle w:val="FootnoteReference"/>
          <w:vertAlign w:val="baseline"/>
        </w:rPr>
        <w:footnoteRef/>
      </w:r>
      <w:r w:rsidRPr="00573595">
        <w:rPr>
          <w:rtl/>
        </w:rPr>
        <w:t xml:space="preserve"> </w:t>
      </w:r>
      <w:r w:rsidRPr="00573595">
        <w:rPr>
          <w:rtl/>
        </w:rPr>
        <w:tab/>
      </w:r>
      <w:r w:rsidRPr="00573595">
        <w:rPr>
          <w:rFonts w:hint="cs"/>
          <w:rtl/>
        </w:rPr>
        <w:t>יצוין כי שוק ה-</w:t>
      </w:r>
      <w:r w:rsidRPr="00573595">
        <w:t>PPP</w:t>
      </w:r>
      <w:r w:rsidRPr="00573595">
        <w:rPr>
          <w:rFonts w:hint="cs"/>
          <w:rtl/>
        </w:rPr>
        <w:t xml:space="preserve"> בבריטניה מוביל בהיקף ובמספר העסקאות בתחום זה כפי שניתן לראות זאת </w:t>
      </w:r>
      <w:r>
        <w:rPr>
          <w:rtl/>
        </w:rPr>
        <w:br/>
      </w:r>
      <w:r w:rsidRPr="00573595">
        <w:rPr>
          <w:rFonts w:hint="cs"/>
          <w:rtl/>
        </w:rPr>
        <w:t>בתרשים 4 לעיל.</w:t>
      </w:r>
    </w:p>
  </w:footnote>
  <w:footnote w:id="29">
    <w:p w14:paraId="10CC483F" w14:textId="5022548C" w:rsidR="00B10E6B" w:rsidRPr="00573595" w:rsidRDefault="00B10E6B" w:rsidP="00573595">
      <w:pPr>
        <w:pStyle w:val="a9"/>
        <w:rPr>
          <w:rtl/>
        </w:rPr>
      </w:pPr>
      <w:r w:rsidRPr="00573595">
        <w:rPr>
          <w:rStyle w:val="FootnoteReference"/>
          <w:vertAlign w:val="baseline"/>
        </w:rPr>
        <w:footnoteRef/>
      </w:r>
      <w:r w:rsidRPr="00573595">
        <w:rPr>
          <w:rtl/>
        </w:rPr>
        <w:t xml:space="preserve"> </w:t>
      </w:r>
      <w:r w:rsidRPr="00573595">
        <w:rPr>
          <w:rtl/>
        </w:rPr>
        <w:tab/>
      </w:r>
      <w:r w:rsidRPr="00573595">
        <w:rPr>
          <w:rFonts w:hint="cs"/>
          <w:rtl/>
        </w:rPr>
        <w:t xml:space="preserve">ראו: </w:t>
      </w:r>
      <w:r w:rsidRPr="00573595">
        <w:t>Infrastructure and Projects Authority, National Infrastructure Delivery Plan 2016-2021 (2016)</w:t>
      </w:r>
      <w:r w:rsidRPr="00573595">
        <w:rPr>
          <w:rFonts w:hint="cs"/>
          <w:rtl/>
        </w:rPr>
        <w:t xml:space="preserve">, </w:t>
      </w:r>
      <w:r>
        <w:rPr>
          <w:rtl/>
        </w:rPr>
        <w:br/>
      </w:r>
      <w:r w:rsidRPr="00573595">
        <w:rPr>
          <w:rFonts w:hint="cs"/>
          <w:rtl/>
        </w:rPr>
        <w:t>עמ</w:t>
      </w:r>
      <w:r w:rsidRPr="00573595">
        <w:rPr>
          <w:rtl/>
        </w:rPr>
        <w:t>'</w:t>
      </w:r>
      <w:r w:rsidRPr="00573595">
        <w:rPr>
          <w:rFonts w:hint="cs"/>
          <w:rtl/>
        </w:rPr>
        <w:t xml:space="preserve"> 17 - 18.</w:t>
      </w:r>
    </w:p>
  </w:footnote>
  <w:footnote w:id="30">
    <w:p w14:paraId="07FC45FF" w14:textId="77777777" w:rsidR="00B10E6B" w:rsidRDefault="00B10E6B" w:rsidP="00573595">
      <w:pPr>
        <w:pStyle w:val="a9"/>
      </w:pPr>
      <w:r w:rsidRPr="00573595">
        <w:rPr>
          <w:rStyle w:val="FootnoteReference"/>
          <w:vertAlign w:val="baseline"/>
        </w:rPr>
        <w:footnoteRef/>
      </w:r>
      <w:r w:rsidRPr="00573595">
        <w:rPr>
          <w:rtl/>
        </w:rPr>
        <w:t xml:space="preserve"> </w:t>
      </w:r>
      <w:r w:rsidRPr="00573595">
        <w:rPr>
          <w:rtl/>
        </w:rPr>
        <w:tab/>
      </w:r>
      <w:r w:rsidRPr="00573595">
        <w:rPr>
          <w:rFonts w:hint="cs"/>
          <w:rtl/>
        </w:rPr>
        <w:t>החלטת</w:t>
      </w:r>
      <w:r>
        <w:rPr>
          <w:rFonts w:hint="cs"/>
          <w:rtl/>
        </w:rPr>
        <w:t xml:space="preserve"> ממשלה 1838, "תכנית השקעה רב שנתית לפיתוח התחבורה הציבורית במטרופולינים" (11.8.16).</w:t>
      </w:r>
    </w:p>
  </w:footnote>
  <w:footnote w:id="31">
    <w:p w14:paraId="74160872" w14:textId="77777777" w:rsidR="00B10E6B" w:rsidRPr="00AA6B9A" w:rsidRDefault="00B10E6B" w:rsidP="00AA6B9A">
      <w:pPr>
        <w:pStyle w:val="a9"/>
      </w:pPr>
      <w:r w:rsidRPr="00AA6B9A">
        <w:rPr>
          <w:rStyle w:val="FootnoteReference"/>
          <w:vertAlign w:val="baseline"/>
        </w:rPr>
        <w:footnoteRef/>
      </w:r>
      <w:r w:rsidRPr="00AA6B9A">
        <w:rPr>
          <w:rtl/>
        </w:rPr>
        <w:t xml:space="preserve"> </w:t>
      </w:r>
      <w:r w:rsidRPr="00AA6B9A">
        <w:rPr>
          <w:rtl/>
        </w:rPr>
        <w:tab/>
      </w:r>
      <w:r w:rsidRPr="00AA6B9A">
        <w:rPr>
          <w:rFonts w:hint="cs"/>
          <w:rtl/>
        </w:rPr>
        <w:t>החלטת ממשלה 3012, "תכנית רב שנתית לפיתוח תשתיות בישראל" (3.9.17).</w:t>
      </w:r>
    </w:p>
  </w:footnote>
  <w:footnote w:id="32">
    <w:p w14:paraId="0C4F0231" w14:textId="77777777" w:rsidR="00B10E6B" w:rsidRDefault="00B10E6B" w:rsidP="00AA6B9A">
      <w:pPr>
        <w:pStyle w:val="a9"/>
        <w:rPr>
          <w:rtl/>
        </w:rPr>
      </w:pPr>
      <w:r w:rsidRPr="00AA6B9A">
        <w:rPr>
          <w:rStyle w:val="FootnoteReference"/>
          <w:vertAlign w:val="baseline"/>
        </w:rPr>
        <w:footnoteRef/>
      </w:r>
      <w:r w:rsidRPr="00AA6B9A">
        <w:rPr>
          <w:rtl/>
        </w:rPr>
        <w:t xml:space="preserve"> </w:t>
      </w:r>
      <w:r w:rsidRPr="00AA6B9A">
        <w:rPr>
          <w:rtl/>
        </w:rPr>
        <w:tab/>
      </w:r>
      <w:r w:rsidRPr="00AA6B9A">
        <w:rPr>
          <w:rFonts w:hint="cs"/>
          <w:rtl/>
        </w:rPr>
        <w:t>התוכנית</w:t>
      </w:r>
      <w:r>
        <w:rPr>
          <w:rFonts w:hint="cs"/>
          <w:rtl/>
        </w:rPr>
        <w:t xml:space="preserve"> כוללת 207 פרויקטים בתחום התשתיות בעלות כוללת של 196 מיליארד ש"ח.</w:t>
      </w:r>
    </w:p>
  </w:footnote>
  <w:footnote w:id="33">
    <w:p w14:paraId="4E13C02E" w14:textId="77777777" w:rsidR="00B10E6B" w:rsidRPr="00AA6B9A" w:rsidRDefault="00B10E6B" w:rsidP="00AA6B9A">
      <w:pPr>
        <w:pStyle w:val="a9"/>
      </w:pPr>
      <w:r w:rsidRPr="00AA6B9A">
        <w:rPr>
          <w:rStyle w:val="FootnoteReference"/>
          <w:vertAlign w:val="baseline"/>
        </w:rPr>
        <w:footnoteRef/>
      </w:r>
      <w:r w:rsidRPr="00AA6B9A">
        <w:rPr>
          <w:rtl/>
        </w:rPr>
        <w:t xml:space="preserve"> </w:t>
      </w:r>
      <w:r w:rsidRPr="00AA6B9A">
        <w:rPr>
          <w:rtl/>
        </w:rPr>
        <w:tab/>
      </w:r>
      <w:r w:rsidRPr="00AA6B9A">
        <w:rPr>
          <w:rFonts w:hint="cs"/>
          <w:rtl/>
        </w:rPr>
        <w:t>הדוח מבוסס על "ישראל 2030 - תכנית לאומית להשקעה בתשתיות", חברת מקינזי, ינואר</w:t>
      </w:r>
      <w:r w:rsidRPr="00AA6B9A">
        <w:rPr>
          <w:rtl/>
        </w:rPr>
        <w:t xml:space="preserve"> </w:t>
      </w:r>
      <w:r w:rsidRPr="00AA6B9A">
        <w:rPr>
          <w:rFonts w:hint="cs"/>
          <w:rtl/>
        </w:rPr>
        <w:t>2018.</w:t>
      </w:r>
    </w:p>
  </w:footnote>
  <w:footnote w:id="34">
    <w:p w14:paraId="66C08F42" w14:textId="6C08D77F" w:rsidR="00B10E6B" w:rsidRPr="00AA6B9A" w:rsidRDefault="00B10E6B" w:rsidP="00AA6B9A">
      <w:pPr>
        <w:pStyle w:val="a9"/>
      </w:pPr>
      <w:r w:rsidRPr="00AA6B9A">
        <w:rPr>
          <w:rStyle w:val="FootnoteReference"/>
          <w:vertAlign w:val="baseline"/>
        </w:rPr>
        <w:footnoteRef/>
      </w:r>
      <w:r w:rsidRPr="00AA6B9A">
        <w:rPr>
          <w:rtl/>
        </w:rPr>
        <w:t xml:space="preserve"> </w:t>
      </w:r>
      <w:r w:rsidRPr="00AA6B9A">
        <w:rPr>
          <w:rtl/>
        </w:rPr>
        <w:tab/>
      </w:r>
      <w:r w:rsidRPr="00AA6B9A">
        <w:rPr>
          <w:rFonts w:hint="cs"/>
          <w:rtl/>
        </w:rPr>
        <w:t xml:space="preserve">ראו: </w:t>
      </w:r>
      <w:r w:rsidRPr="00AA6B9A">
        <w:t>OECD, Review of Public Governance of Public-Private Partnerships in the United Kingdom ,(2015)</w:t>
      </w:r>
      <w:r w:rsidR="00A87A93">
        <w:rPr>
          <w:rFonts w:hint="cs"/>
          <w:rtl/>
        </w:rPr>
        <w:t>,</w:t>
      </w:r>
      <w:r w:rsidRPr="00AA6B9A">
        <w:rPr>
          <w:rFonts w:hint="cs"/>
          <w:rtl/>
        </w:rPr>
        <w:t xml:space="preserve"> עמ</w:t>
      </w:r>
      <w:r w:rsidRPr="00AA6B9A">
        <w:rPr>
          <w:rtl/>
        </w:rPr>
        <w:t>'</w:t>
      </w:r>
      <w:r w:rsidRPr="00AA6B9A">
        <w:rPr>
          <w:rFonts w:hint="cs"/>
          <w:rtl/>
        </w:rPr>
        <w:t xml:space="preserve"> 39 סעיף 78 ועמ</w:t>
      </w:r>
      <w:r w:rsidRPr="00AA6B9A">
        <w:rPr>
          <w:rtl/>
        </w:rPr>
        <w:t>'</w:t>
      </w:r>
      <w:r w:rsidRPr="00AA6B9A">
        <w:rPr>
          <w:rFonts w:hint="cs"/>
          <w:rtl/>
        </w:rPr>
        <w:t xml:space="preserve"> 47 סעיף 105.</w:t>
      </w:r>
    </w:p>
  </w:footnote>
  <w:footnote w:id="35">
    <w:p w14:paraId="0444BC0F" w14:textId="77777777" w:rsidR="00B10E6B" w:rsidRPr="00AA6B9A" w:rsidRDefault="00B10E6B" w:rsidP="00AA6B9A">
      <w:pPr>
        <w:pStyle w:val="a9"/>
        <w:rPr>
          <w:rtl/>
        </w:rPr>
      </w:pPr>
      <w:r w:rsidRPr="00AA6B9A">
        <w:rPr>
          <w:rStyle w:val="FootnoteReference"/>
          <w:vertAlign w:val="baseline"/>
        </w:rPr>
        <w:footnoteRef/>
      </w:r>
      <w:r w:rsidRPr="00AA6B9A">
        <w:rPr>
          <w:rtl/>
        </w:rPr>
        <w:t xml:space="preserve"> </w:t>
      </w:r>
      <w:r w:rsidRPr="00AA6B9A">
        <w:rPr>
          <w:rtl/>
        </w:rPr>
        <w:tab/>
      </w:r>
      <w:r w:rsidRPr="00AA6B9A">
        <w:t>Her Majesty's Treasury, A New Approach to Public Private Partnerships (2012)</w:t>
      </w:r>
      <w:r w:rsidRPr="00AA6B9A">
        <w:rPr>
          <w:rFonts w:hint="cs"/>
          <w:rtl/>
        </w:rPr>
        <w:t>, עמ</w:t>
      </w:r>
      <w:r w:rsidRPr="00AA6B9A">
        <w:rPr>
          <w:rtl/>
        </w:rPr>
        <w:t>'</w:t>
      </w:r>
      <w:r w:rsidRPr="00AA6B9A">
        <w:rPr>
          <w:rFonts w:hint="cs"/>
          <w:rtl/>
        </w:rPr>
        <w:t xml:space="preserve"> 58.</w:t>
      </w:r>
    </w:p>
  </w:footnote>
  <w:footnote w:id="36">
    <w:p w14:paraId="5BEF4033" w14:textId="77777777" w:rsidR="00B10E6B" w:rsidRDefault="00B10E6B" w:rsidP="00AA6B9A">
      <w:pPr>
        <w:pStyle w:val="a9"/>
        <w:rPr>
          <w:rtl/>
        </w:rPr>
      </w:pPr>
      <w:r w:rsidRPr="00AA6B9A">
        <w:rPr>
          <w:rStyle w:val="FootnoteReference"/>
          <w:vertAlign w:val="baseline"/>
        </w:rPr>
        <w:footnoteRef/>
      </w:r>
      <w:r w:rsidRPr="00AA6B9A">
        <w:rPr>
          <w:rtl/>
        </w:rPr>
        <w:t xml:space="preserve"> </w:t>
      </w:r>
      <w:r w:rsidRPr="00AA6B9A">
        <w:rPr>
          <w:rtl/>
        </w:rPr>
        <w:tab/>
      </w:r>
      <w:r w:rsidRPr="00AA6B9A">
        <w:rPr>
          <w:rFonts w:hint="cs"/>
          <w:rtl/>
        </w:rPr>
        <w:t>ראו</w:t>
      </w:r>
      <w:r>
        <w:rPr>
          <w:rFonts w:hint="cs"/>
          <w:rtl/>
        </w:rPr>
        <w:t xml:space="preserve"> גם </w:t>
      </w:r>
      <w:hyperlink r:id="rId6" w:history="1">
        <w:r w:rsidRPr="00CF5003">
          <w:rPr>
            <w:rStyle w:val="Hyperlink"/>
          </w:rPr>
          <w:t>https://www.gov.uk/government/publications/national-infrastructure-and-construction-pipeline-2018</w:t>
        </w:r>
      </w:hyperlink>
      <w:r>
        <w:rPr>
          <w:rFonts w:hint="cs"/>
          <w:rtl/>
        </w:rPr>
        <w:t xml:space="preserve">. </w:t>
      </w:r>
    </w:p>
  </w:footnote>
  <w:footnote w:id="37">
    <w:p w14:paraId="047EB993" w14:textId="77777777" w:rsidR="00B10E6B" w:rsidRDefault="00B10E6B" w:rsidP="00AA6B9A">
      <w:pPr>
        <w:pStyle w:val="a9"/>
      </w:pPr>
      <w:r w:rsidRPr="00AA6B9A">
        <w:footnoteRef/>
      </w:r>
      <w:r w:rsidRPr="00AA6B9A">
        <w:rPr>
          <w:rtl/>
        </w:rPr>
        <w:t xml:space="preserve"> </w:t>
      </w:r>
      <w:r w:rsidRPr="00AA6B9A">
        <w:rPr>
          <w:rtl/>
        </w:rPr>
        <w:tab/>
      </w:r>
      <w:r w:rsidRPr="00AA6B9A">
        <w:rPr>
          <w:rFonts w:hint="cs"/>
          <w:rtl/>
        </w:rPr>
        <w:t>ראו</w:t>
      </w:r>
      <w:r>
        <w:rPr>
          <w:rFonts w:hint="cs"/>
          <w:rtl/>
        </w:rPr>
        <w:t xml:space="preserve">: </w:t>
      </w:r>
      <w:hyperlink r:id="rId7" w:history="1">
        <w:r w:rsidRPr="00FB195F">
          <w:rPr>
            <w:rStyle w:val="Hyperlink"/>
          </w:rPr>
          <w:t>https://infrastructure.pmo.gov.il</w:t>
        </w:r>
      </w:hyperlink>
    </w:p>
  </w:footnote>
  <w:footnote w:id="38">
    <w:p w14:paraId="0CA1F61A" w14:textId="77777777" w:rsidR="00B10E6B" w:rsidRPr="00AA6B9A" w:rsidRDefault="00B10E6B" w:rsidP="00AA6B9A">
      <w:pPr>
        <w:pStyle w:val="a9"/>
      </w:pPr>
      <w:r w:rsidRPr="00AA6B9A">
        <w:rPr>
          <w:rStyle w:val="FootnoteReference"/>
          <w:vertAlign w:val="baseline"/>
        </w:rPr>
        <w:footnoteRef/>
      </w:r>
      <w:r w:rsidRPr="00AA6B9A">
        <w:rPr>
          <w:rtl/>
        </w:rPr>
        <w:t xml:space="preserve"> </w:t>
      </w:r>
      <w:r w:rsidRPr="00AA6B9A">
        <w:rPr>
          <w:rtl/>
        </w:rPr>
        <w:tab/>
      </w:r>
      <w:r w:rsidRPr="00AA6B9A">
        <w:rPr>
          <w:rFonts w:hint="cs"/>
          <w:rtl/>
        </w:rPr>
        <w:t>ובכלל זה פיתוח יחידות מקצועיות למימון פרויקטים בקרב גופי המימון שיוכלו להתמודד עם קליטת כמה פרויקטים בעת ובעונה אחת.</w:t>
      </w:r>
    </w:p>
  </w:footnote>
  <w:footnote w:id="39">
    <w:p w14:paraId="3C6AF1AD" w14:textId="77777777" w:rsidR="00B10E6B" w:rsidRPr="00AA6B9A" w:rsidRDefault="00B10E6B" w:rsidP="00AA6B9A">
      <w:pPr>
        <w:pStyle w:val="a9"/>
        <w:rPr>
          <w:rtl/>
        </w:rPr>
      </w:pPr>
      <w:r w:rsidRPr="00AA6B9A">
        <w:rPr>
          <w:rStyle w:val="FootnoteReference"/>
          <w:vertAlign w:val="baseline"/>
        </w:rPr>
        <w:footnoteRef/>
      </w:r>
      <w:r w:rsidRPr="00AA6B9A">
        <w:rPr>
          <w:rtl/>
        </w:rPr>
        <w:t xml:space="preserve"> </w:t>
      </w:r>
      <w:r w:rsidRPr="00AA6B9A">
        <w:rPr>
          <w:rtl/>
        </w:rPr>
        <w:tab/>
      </w:r>
      <w:r w:rsidRPr="00AA6B9A">
        <w:rPr>
          <w:rFonts w:hint="cs"/>
          <w:rtl/>
        </w:rPr>
        <w:t>בצוות הליווי והמעקב לתוכנית הרב-שנתית לפיתוח תשתיות (להלן - צוות ליווי ומעקב) חברים מנכ"ל משרד ראש הממשלה, ראש המועצה הלאומית לכלכלה, החשב הכללי, הממונה על התקציבים והיועץ המשפטי של משרד האוצר או נציגיהם, וכן נציג בנק ישראל המשמש כמשקיף.</w:t>
      </w:r>
    </w:p>
  </w:footnote>
  <w:footnote w:id="40">
    <w:p w14:paraId="6DC65675" w14:textId="77777777" w:rsidR="00B10E6B" w:rsidRDefault="00B10E6B" w:rsidP="00AA6B9A">
      <w:pPr>
        <w:pStyle w:val="a9"/>
        <w:rPr>
          <w:rtl/>
        </w:rPr>
      </w:pPr>
      <w:r w:rsidRPr="00AA6B9A">
        <w:rPr>
          <w:rStyle w:val="FootnoteReference"/>
          <w:vertAlign w:val="baseline"/>
        </w:rPr>
        <w:footnoteRef/>
      </w:r>
      <w:r w:rsidRPr="00AA6B9A">
        <w:rPr>
          <w:rtl/>
        </w:rPr>
        <w:t xml:space="preserve"> </w:t>
      </w:r>
      <w:r w:rsidRPr="00AA6B9A">
        <w:rPr>
          <w:rtl/>
        </w:rPr>
        <w:tab/>
      </w:r>
      <w:r w:rsidRPr="00AA6B9A">
        <w:rPr>
          <w:rFonts w:hint="cs"/>
          <w:rtl/>
        </w:rPr>
        <w:t>ראו</w:t>
      </w:r>
      <w:r>
        <w:rPr>
          <w:rFonts w:hint="cs"/>
          <w:rtl/>
        </w:rPr>
        <w:t xml:space="preserve"> תת-הפרק "בדיקות התאמה לביצוע פרויקטים בשיטת </w:t>
      </w:r>
      <w:r>
        <w:rPr>
          <w:rFonts w:hint="cs"/>
        </w:rPr>
        <w:t>PPP</w:t>
      </w:r>
      <w:r>
        <w:rPr>
          <w:rFonts w:hint="cs"/>
          <w:rtl/>
        </w:rPr>
        <w:t>".</w:t>
      </w:r>
    </w:p>
  </w:footnote>
  <w:footnote w:id="41">
    <w:p w14:paraId="6CEFB3D2" w14:textId="77777777" w:rsidR="00B10E6B" w:rsidRPr="00AA6B9A" w:rsidRDefault="00B10E6B" w:rsidP="00AA6B9A">
      <w:pPr>
        <w:pStyle w:val="a9"/>
        <w:rPr>
          <w:rtl/>
        </w:rPr>
      </w:pPr>
      <w:r w:rsidRPr="00AA6B9A">
        <w:rPr>
          <w:rStyle w:val="FootnoteReference"/>
          <w:vertAlign w:val="baseline"/>
        </w:rPr>
        <w:footnoteRef/>
      </w:r>
      <w:r w:rsidRPr="00AA6B9A">
        <w:rPr>
          <w:rtl/>
        </w:rPr>
        <w:t xml:space="preserve"> </w:t>
      </w:r>
      <w:r w:rsidRPr="00AA6B9A">
        <w:rPr>
          <w:rtl/>
        </w:rPr>
        <w:tab/>
      </w:r>
      <w:r w:rsidRPr="00AA6B9A">
        <w:rPr>
          <w:rFonts w:hint="cs"/>
          <w:rtl/>
        </w:rPr>
        <w:t xml:space="preserve">ראו: </w:t>
      </w:r>
      <w:r w:rsidRPr="00AA6B9A">
        <w:t>OECD, Review of Public Governance of Public-Private Partnerships in the United Kingdom (2015)</w:t>
      </w:r>
      <w:r w:rsidRPr="00AA6B9A">
        <w:rPr>
          <w:rFonts w:hint="cs"/>
          <w:rtl/>
        </w:rPr>
        <w:t>, עמ</w:t>
      </w:r>
      <w:r w:rsidRPr="00AA6B9A">
        <w:rPr>
          <w:rtl/>
        </w:rPr>
        <w:t>'</w:t>
      </w:r>
      <w:r w:rsidRPr="00AA6B9A">
        <w:rPr>
          <w:rFonts w:hint="cs"/>
          <w:rtl/>
        </w:rPr>
        <w:t xml:space="preserve"> 34 סעיף 64 ועמ</w:t>
      </w:r>
      <w:r w:rsidRPr="00AA6B9A">
        <w:rPr>
          <w:rtl/>
        </w:rPr>
        <w:t>'</w:t>
      </w:r>
      <w:r w:rsidRPr="00AA6B9A">
        <w:rPr>
          <w:rFonts w:hint="cs"/>
          <w:rtl/>
        </w:rPr>
        <w:t xml:space="preserve"> 35 סעיף 69. ראו גם </w:t>
      </w:r>
      <w:r w:rsidRPr="00AA6B9A">
        <w:t>Her Majesty's Treasury, Standardization of PF2 Contracts Draft (2012)</w:t>
      </w:r>
      <w:r w:rsidRPr="00AA6B9A">
        <w:rPr>
          <w:rFonts w:hint="cs"/>
          <w:rtl/>
        </w:rPr>
        <w:t>.</w:t>
      </w:r>
    </w:p>
  </w:footnote>
  <w:footnote w:id="42">
    <w:p w14:paraId="42D28017" w14:textId="77777777" w:rsidR="00B10E6B" w:rsidRPr="00AA6B9A" w:rsidRDefault="00B10E6B" w:rsidP="00AA6B9A">
      <w:pPr>
        <w:pStyle w:val="a9"/>
      </w:pPr>
      <w:r w:rsidRPr="00AA6B9A">
        <w:rPr>
          <w:rStyle w:val="FootnoteReference"/>
          <w:vertAlign w:val="baseline"/>
        </w:rPr>
        <w:footnoteRef/>
      </w:r>
      <w:r w:rsidRPr="00AA6B9A">
        <w:rPr>
          <w:rtl/>
        </w:rPr>
        <w:t xml:space="preserve"> </w:t>
      </w:r>
      <w:r w:rsidRPr="00AA6B9A">
        <w:rPr>
          <w:rtl/>
        </w:rPr>
        <w:tab/>
      </w:r>
      <w:r w:rsidRPr="00AA6B9A">
        <w:rPr>
          <w:rFonts w:hint="cs"/>
          <w:rtl/>
        </w:rPr>
        <w:t>מאחר שכל גוף מנהל מכרזים הכרוכים בסכומים גדולים וענף פרויקטי התשתית בישראל נשלט בידי מספר מצומצם של שחקנים מקומיים (בהקמתם, בתפעולם ובמימונם), נודעת חשיבות ללוחות הזמנים של המכרזים ולמספר הפרויקטים שיתנהלו בעת ובעונה אחת.</w:t>
      </w:r>
    </w:p>
  </w:footnote>
  <w:footnote w:id="43">
    <w:p w14:paraId="2088D57D" w14:textId="77777777" w:rsidR="00B10E6B" w:rsidRDefault="00B10E6B" w:rsidP="00AA6B9A">
      <w:pPr>
        <w:pStyle w:val="a9"/>
      </w:pPr>
      <w:r w:rsidRPr="00AA6B9A">
        <w:rPr>
          <w:rStyle w:val="FootnoteReference"/>
          <w:vertAlign w:val="baseline"/>
        </w:rPr>
        <w:footnoteRef/>
      </w:r>
      <w:r w:rsidRPr="00AA6B9A">
        <w:rPr>
          <w:rtl/>
        </w:rPr>
        <w:t xml:space="preserve"> </w:t>
      </w:r>
      <w:r w:rsidRPr="00AA6B9A">
        <w:rPr>
          <w:rtl/>
        </w:rPr>
        <w:tab/>
      </w:r>
      <w:r w:rsidRPr="00AA6B9A">
        <w:rPr>
          <w:rFonts w:hint="cs"/>
          <w:rtl/>
        </w:rPr>
        <w:t>ובכלל זה אופן הביצוע</w:t>
      </w:r>
      <w:r>
        <w:rPr>
          <w:rFonts w:hint="cs"/>
          <w:rtl/>
        </w:rPr>
        <w:t xml:space="preserve"> של בדיקת ההתאמה להקמת פרויקט בשיתוף המגזר הפרטי.</w:t>
      </w:r>
    </w:p>
  </w:footnote>
  <w:footnote w:id="44">
    <w:p w14:paraId="3C72DBCD" w14:textId="77777777" w:rsidR="00B10E6B" w:rsidRPr="00B005BC" w:rsidRDefault="00B10E6B" w:rsidP="00B005BC">
      <w:pPr>
        <w:pStyle w:val="a9"/>
      </w:pPr>
      <w:r w:rsidRPr="00B005BC">
        <w:rPr>
          <w:rStyle w:val="FootnoteReference"/>
          <w:vertAlign w:val="baseline"/>
        </w:rPr>
        <w:footnoteRef/>
      </w:r>
      <w:r w:rsidRPr="00B005BC">
        <w:rPr>
          <w:rtl/>
        </w:rPr>
        <w:t xml:space="preserve"> </w:t>
      </w:r>
      <w:r w:rsidRPr="00B005BC">
        <w:rPr>
          <w:rtl/>
        </w:rPr>
        <w:tab/>
      </w:r>
      <w:r w:rsidRPr="00B005BC">
        <w:rPr>
          <w:rFonts w:hint="cs"/>
          <w:rtl/>
        </w:rPr>
        <w:t xml:space="preserve">יש גם פרויקטים בשיטת </w:t>
      </w:r>
      <w:r w:rsidRPr="00B005BC">
        <w:rPr>
          <w:rFonts w:hint="cs"/>
        </w:rPr>
        <w:t>PPP</w:t>
      </w:r>
      <w:r w:rsidRPr="00B005BC">
        <w:rPr>
          <w:rFonts w:hint="cs"/>
          <w:rtl/>
        </w:rPr>
        <w:t xml:space="preserve"> בהיקפים קטנים יותר שמבצעות רשויות מקומיות המתקשרות עם הזכיינים.</w:t>
      </w:r>
    </w:p>
  </w:footnote>
  <w:footnote w:id="45">
    <w:p w14:paraId="1D671494" w14:textId="77777777" w:rsidR="00B10E6B" w:rsidRDefault="00B10E6B" w:rsidP="00B005BC">
      <w:pPr>
        <w:pStyle w:val="a9"/>
      </w:pPr>
      <w:r w:rsidRPr="00B005BC">
        <w:rPr>
          <w:rStyle w:val="FootnoteReference"/>
          <w:vertAlign w:val="baseline"/>
        </w:rPr>
        <w:footnoteRef/>
      </w:r>
      <w:r w:rsidRPr="00B005BC">
        <w:rPr>
          <w:rtl/>
        </w:rPr>
        <w:t xml:space="preserve"> </w:t>
      </w:r>
      <w:r w:rsidRPr="00B005BC">
        <w:rPr>
          <w:rtl/>
        </w:rPr>
        <w:tab/>
      </w:r>
      <w:r w:rsidRPr="00B005BC">
        <w:rPr>
          <w:rFonts w:hint="cs"/>
          <w:rtl/>
        </w:rPr>
        <w:t>ראו</w:t>
      </w:r>
      <w:r>
        <w:rPr>
          <w:rFonts w:hint="cs"/>
          <w:rtl/>
        </w:rPr>
        <w:t>:</w:t>
      </w:r>
      <w:r w:rsidRPr="00137FAE">
        <w:rPr>
          <w:rFonts w:hint="cs"/>
          <w:b/>
          <w:bCs/>
          <w:rtl/>
        </w:rPr>
        <w:t xml:space="preserve"> </w:t>
      </w:r>
      <w:r w:rsidRPr="00534CF2">
        <w:rPr>
          <w:rFonts w:hint="eastAsia"/>
          <w:rtl/>
        </w:rPr>
        <w:t>בנק</w:t>
      </w:r>
      <w:r w:rsidRPr="00534CF2">
        <w:rPr>
          <w:rtl/>
        </w:rPr>
        <w:t xml:space="preserve"> </w:t>
      </w:r>
      <w:r w:rsidRPr="00534CF2">
        <w:rPr>
          <w:rFonts w:hint="eastAsia"/>
          <w:rtl/>
        </w:rPr>
        <w:t>ישראל</w:t>
      </w:r>
      <w:r>
        <w:rPr>
          <w:rFonts w:hint="cs"/>
          <w:rtl/>
        </w:rPr>
        <w:t xml:space="preserve">, </w:t>
      </w:r>
      <w:r w:rsidRPr="00534CF2">
        <w:rPr>
          <w:rFonts w:hint="eastAsia"/>
          <w:b/>
          <w:bCs/>
          <w:rtl/>
        </w:rPr>
        <w:t>דין</w:t>
      </w:r>
      <w:r w:rsidRPr="00534CF2">
        <w:rPr>
          <w:b/>
          <w:bCs/>
          <w:rtl/>
        </w:rPr>
        <w:t xml:space="preserve"> </w:t>
      </w:r>
      <w:r w:rsidRPr="00534CF2">
        <w:rPr>
          <w:rFonts w:hint="eastAsia"/>
          <w:b/>
          <w:bCs/>
          <w:rtl/>
        </w:rPr>
        <w:t>וחשבון</w:t>
      </w:r>
      <w:r w:rsidRPr="00534CF2">
        <w:rPr>
          <w:b/>
          <w:bCs/>
          <w:rtl/>
        </w:rPr>
        <w:t xml:space="preserve"> 2016</w:t>
      </w:r>
      <w:r>
        <w:rPr>
          <w:rFonts w:hint="cs"/>
          <w:rtl/>
        </w:rPr>
        <w:t>, עמ</w:t>
      </w:r>
      <w:r>
        <w:rPr>
          <w:rtl/>
        </w:rPr>
        <w:t>'</w:t>
      </w:r>
      <w:r>
        <w:rPr>
          <w:rFonts w:hint="cs"/>
          <w:rtl/>
        </w:rPr>
        <w:t xml:space="preserve"> 166.</w:t>
      </w:r>
    </w:p>
  </w:footnote>
  <w:footnote w:id="46">
    <w:p w14:paraId="168D21B9" w14:textId="77777777" w:rsidR="00B10E6B" w:rsidRDefault="00B10E6B" w:rsidP="00B005BC">
      <w:pPr>
        <w:pStyle w:val="a9"/>
      </w:pPr>
      <w:r w:rsidRPr="00B005BC">
        <w:footnoteRef/>
      </w:r>
      <w:r w:rsidRPr="00B005BC">
        <w:rPr>
          <w:rtl/>
        </w:rPr>
        <w:t xml:space="preserve"> </w:t>
      </w:r>
      <w:r w:rsidRPr="00B005BC">
        <w:rPr>
          <w:rtl/>
        </w:rPr>
        <w:tab/>
      </w:r>
      <w:r w:rsidRPr="00B005BC">
        <w:rPr>
          <w:rFonts w:hint="cs"/>
          <w:rtl/>
        </w:rPr>
        <w:t>בתשובה</w:t>
      </w:r>
      <w:r>
        <w:rPr>
          <w:rFonts w:hint="cs"/>
          <w:rtl/>
        </w:rPr>
        <w:t xml:space="preserve"> נכתב: "מצ"ב מענה משרד התחבורה והבטיחות בדרכים כפי שאושר על ידי המנכ"לית".</w:t>
      </w:r>
    </w:p>
  </w:footnote>
  <w:footnote w:id="47">
    <w:p w14:paraId="3F537346" w14:textId="77777777" w:rsidR="00B10E6B" w:rsidRDefault="00B10E6B" w:rsidP="00B005BC">
      <w:pPr>
        <w:pStyle w:val="a9"/>
        <w:rPr>
          <w:rtl/>
        </w:rPr>
      </w:pPr>
      <w:r w:rsidRPr="00B005BC">
        <w:footnoteRef/>
      </w:r>
      <w:r w:rsidRPr="00B005BC">
        <w:rPr>
          <w:rtl/>
        </w:rPr>
        <w:t xml:space="preserve"> </w:t>
      </w:r>
      <w:r w:rsidRPr="00B005BC">
        <w:rPr>
          <w:rtl/>
        </w:rPr>
        <w:tab/>
      </w:r>
      <w:r w:rsidRPr="00B005BC">
        <w:rPr>
          <w:rFonts w:hint="cs"/>
          <w:rtl/>
        </w:rPr>
        <w:t xml:space="preserve">מבקר המדינה של ארה"ב ציין בדוח משנת 2008 כי על המגזר הציבורי חלה החובה לפעול למניעת ניגודי עניינים פוטנציאליים מסוג זה. ראו: </w:t>
      </w:r>
      <w:r w:rsidRPr="00B005BC">
        <w:t>United States Government Accountability Office (GAO), Highway Public-Private Partnerships (2008</w:t>
      </w:r>
      <w:r>
        <w:t>)</w:t>
      </w:r>
      <w:r>
        <w:rPr>
          <w:rFonts w:hint="cs"/>
          <w:rtl/>
        </w:rPr>
        <w:t>, עמ</w:t>
      </w:r>
      <w:r>
        <w:rPr>
          <w:rtl/>
        </w:rPr>
        <w:t>'</w:t>
      </w:r>
      <w:r>
        <w:rPr>
          <w:rFonts w:hint="cs"/>
          <w:rtl/>
        </w:rPr>
        <w:t xml:space="preserve"> 35.</w:t>
      </w:r>
    </w:p>
  </w:footnote>
  <w:footnote w:id="48">
    <w:p w14:paraId="7F7A1FB0" w14:textId="77777777" w:rsidR="00B10E6B" w:rsidRDefault="00B10E6B" w:rsidP="00B005BC">
      <w:pPr>
        <w:pStyle w:val="a9"/>
        <w:rPr>
          <w:rtl/>
        </w:rPr>
      </w:pPr>
      <w:r w:rsidRPr="00B005BC">
        <w:footnoteRef/>
      </w:r>
      <w:r w:rsidRPr="00B005BC">
        <w:rPr>
          <w:rtl/>
        </w:rPr>
        <w:t xml:space="preserve"> </w:t>
      </w:r>
      <w:r w:rsidRPr="00B005BC">
        <w:rPr>
          <w:rtl/>
        </w:rPr>
        <w:tab/>
      </w:r>
      <w:r w:rsidRPr="00B005BC">
        <w:rPr>
          <w:rFonts w:hint="eastAsia"/>
          <w:rtl/>
        </w:rPr>
        <w:t>הכנסת</w:t>
      </w:r>
      <w:r w:rsidRPr="00B005BC">
        <w:rPr>
          <w:rFonts w:hint="cs"/>
          <w:rtl/>
        </w:rPr>
        <w:t>, מרכז המחקר והמידע-המחלקה לפיקוח תקציבי, "הצעת חוק ההתייעלות הכלכלית (תיקוני חקיקה</w:t>
      </w:r>
      <w:r>
        <w:rPr>
          <w:rFonts w:hint="cs"/>
          <w:rtl/>
        </w:rPr>
        <w:t xml:space="preserve"> להשגת יעדי התקציב לשנות התקציב 2015 – 2016), </w:t>
      </w:r>
      <w:r w:rsidRPr="008C34BE">
        <w:rPr>
          <w:rFonts w:hint="eastAsia"/>
          <w:b/>
          <w:bCs/>
          <w:rtl/>
        </w:rPr>
        <w:t>הכנת</w:t>
      </w:r>
      <w:r w:rsidRPr="008C34BE">
        <w:rPr>
          <w:b/>
          <w:bCs/>
          <w:rtl/>
        </w:rPr>
        <w:t xml:space="preserve"> </w:t>
      </w:r>
      <w:r w:rsidRPr="008C34BE">
        <w:rPr>
          <w:rFonts w:hint="eastAsia"/>
          <w:b/>
          <w:bCs/>
          <w:rtl/>
        </w:rPr>
        <w:t>תכנית</w:t>
      </w:r>
      <w:r w:rsidRPr="008C34BE">
        <w:rPr>
          <w:b/>
          <w:bCs/>
          <w:rtl/>
        </w:rPr>
        <w:t xml:space="preserve"> </w:t>
      </w:r>
      <w:r w:rsidRPr="008C34BE">
        <w:rPr>
          <w:rFonts w:hint="eastAsia"/>
          <w:b/>
          <w:bCs/>
          <w:rtl/>
        </w:rPr>
        <w:t>תקציב</w:t>
      </w:r>
      <w:r w:rsidRPr="008C34BE">
        <w:rPr>
          <w:b/>
          <w:bCs/>
          <w:rtl/>
        </w:rPr>
        <w:t xml:space="preserve"> </w:t>
      </w:r>
      <w:r w:rsidRPr="008C34BE">
        <w:rPr>
          <w:rFonts w:hint="eastAsia"/>
          <w:b/>
          <w:bCs/>
          <w:rtl/>
        </w:rPr>
        <w:t>תלת</w:t>
      </w:r>
      <w:r w:rsidRPr="008C34BE">
        <w:rPr>
          <w:b/>
          <w:bCs/>
          <w:rtl/>
        </w:rPr>
        <w:t xml:space="preserve"> </w:t>
      </w:r>
      <w:r w:rsidRPr="008C34BE">
        <w:rPr>
          <w:rFonts w:hint="eastAsia"/>
          <w:b/>
          <w:bCs/>
          <w:rtl/>
        </w:rPr>
        <w:t>שנתית</w:t>
      </w:r>
      <w:r>
        <w:rPr>
          <w:rFonts w:hint="cs"/>
          <w:rtl/>
        </w:rPr>
        <w:t xml:space="preserve"> (נומרטור), (2015), עמ</w:t>
      </w:r>
      <w:r>
        <w:rPr>
          <w:rtl/>
        </w:rPr>
        <w:t>'</w:t>
      </w:r>
      <w:r>
        <w:rPr>
          <w:rFonts w:hint="cs"/>
          <w:rtl/>
        </w:rPr>
        <w:t xml:space="preserve"> 3.</w:t>
      </w:r>
    </w:p>
  </w:footnote>
  <w:footnote w:id="49">
    <w:p w14:paraId="0B1EAC49" w14:textId="77777777" w:rsidR="00B10E6B" w:rsidRPr="00B005BC" w:rsidRDefault="00B10E6B" w:rsidP="00B005BC">
      <w:pPr>
        <w:pStyle w:val="a9"/>
      </w:pPr>
      <w:r w:rsidRPr="00B005BC">
        <w:rPr>
          <w:rStyle w:val="FootnoteReference"/>
          <w:vertAlign w:val="baseline"/>
        </w:rPr>
        <w:footnoteRef/>
      </w:r>
      <w:r w:rsidRPr="00B005BC">
        <w:rPr>
          <w:rtl/>
        </w:rPr>
        <w:t xml:space="preserve"> </w:t>
      </w:r>
      <w:r w:rsidRPr="00B005BC">
        <w:rPr>
          <w:rtl/>
        </w:rPr>
        <w:tab/>
      </w:r>
      <w:r w:rsidRPr="00B005BC">
        <w:rPr>
          <w:rFonts w:hint="cs"/>
          <w:rtl/>
        </w:rPr>
        <w:t>שיעור הגירעון הממשלתי (ההפרש בין סך ההוצאות לסך ההכנסות בתקציב המדינה) המרבי המותר במונחי התוצר המקומי הגולמי (תמ"ג).</w:t>
      </w:r>
    </w:p>
  </w:footnote>
  <w:footnote w:id="50">
    <w:p w14:paraId="32C41E0C" w14:textId="77777777" w:rsidR="00B10E6B" w:rsidRPr="00B005BC" w:rsidRDefault="00B10E6B" w:rsidP="00B005BC">
      <w:pPr>
        <w:pStyle w:val="a9"/>
      </w:pPr>
      <w:r w:rsidRPr="00B005BC">
        <w:rPr>
          <w:rStyle w:val="FootnoteReference"/>
          <w:vertAlign w:val="baseline"/>
        </w:rPr>
        <w:footnoteRef/>
      </w:r>
      <w:r w:rsidRPr="00B005BC">
        <w:rPr>
          <w:rtl/>
        </w:rPr>
        <w:t xml:space="preserve"> </w:t>
      </w:r>
      <w:r w:rsidRPr="00B005BC">
        <w:rPr>
          <w:rtl/>
        </w:rPr>
        <w:tab/>
      </w:r>
      <w:r w:rsidRPr="00B005BC">
        <w:rPr>
          <w:rFonts w:hint="cs"/>
          <w:rtl/>
        </w:rPr>
        <w:t>שיעור הגידול המרבי הריאלי של הוצאות הממשלה ביחס להיקף ההוצאה בשנה הקודמת.</w:t>
      </w:r>
    </w:p>
  </w:footnote>
  <w:footnote w:id="51">
    <w:p w14:paraId="28C18EAC" w14:textId="77777777" w:rsidR="00B10E6B" w:rsidRDefault="00B10E6B" w:rsidP="00B005BC">
      <w:pPr>
        <w:pStyle w:val="a9"/>
        <w:rPr>
          <w:rtl/>
        </w:rPr>
      </w:pPr>
      <w:r w:rsidRPr="00B005BC">
        <w:rPr>
          <w:rStyle w:val="FootnoteReference"/>
          <w:vertAlign w:val="baseline"/>
        </w:rPr>
        <w:footnoteRef/>
      </w:r>
      <w:r w:rsidRPr="00B005BC">
        <w:rPr>
          <w:rtl/>
        </w:rPr>
        <w:t xml:space="preserve"> </w:t>
      </w:r>
      <w:r w:rsidRPr="00B005BC">
        <w:rPr>
          <w:rtl/>
        </w:rPr>
        <w:tab/>
      </w:r>
      <w:r w:rsidRPr="00B005BC">
        <w:rPr>
          <w:rFonts w:hint="eastAsia"/>
          <w:rtl/>
        </w:rPr>
        <w:t>הכנסת</w:t>
      </w:r>
      <w:r w:rsidRPr="00B005BC">
        <w:rPr>
          <w:rFonts w:hint="cs"/>
          <w:rtl/>
        </w:rPr>
        <w:t>, מרכז המחקר והמידע-המחלקה לפיקוח תקציבי, "הצעת חוק ההתייעלות הכלכלית (תיקוני חקיקה</w:t>
      </w:r>
      <w:r>
        <w:rPr>
          <w:rFonts w:hint="cs"/>
          <w:rtl/>
        </w:rPr>
        <w:t xml:space="preserve"> להשגת יעדי התקציב לשנות התקציב 2015 - 2016), </w:t>
      </w:r>
      <w:r w:rsidRPr="00AC3DC9">
        <w:rPr>
          <w:rFonts w:hint="eastAsia"/>
          <w:b/>
          <w:bCs/>
          <w:rtl/>
        </w:rPr>
        <w:t>הכנת</w:t>
      </w:r>
      <w:r w:rsidRPr="00AC3DC9">
        <w:rPr>
          <w:b/>
          <w:bCs/>
          <w:rtl/>
        </w:rPr>
        <w:t xml:space="preserve"> </w:t>
      </w:r>
      <w:r w:rsidRPr="00AC3DC9">
        <w:rPr>
          <w:rFonts w:hint="eastAsia"/>
          <w:b/>
          <w:bCs/>
          <w:rtl/>
        </w:rPr>
        <w:t>תכנית</w:t>
      </w:r>
      <w:r w:rsidRPr="00AC3DC9">
        <w:rPr>
          <w:b/>
          <w:bCs/>
          <w:rtl/>
        </w:rPr>
        <w:t xml:space="preserve"> </w:t>
      </w:r>
      <w:r w:rsidRPr="00AC3DC9">
        <w:rPr>
          <w:rFonts w:hint="eastAsia"/>
          <w:b/>
          <w:bCs/>
          <w:rtl/>
        </w:rPr>
        <w:t>תקציב</w:t>
      </w:r>
      <w:r w:rsidRPr="00AC3DC9">
        <w:rPr>
          <w:b/>
          <w:bCs/>
          <w:rtl/>
        </w:rPr>
        <w:t xml:space="preserve"> </w:t>
      </w:r>
      <w:r w:rsidRPr="00AC3DC9">
        <w:rPr>
          <w:rFonts w:hint="eastAsia"/>
          <w:b/>
          <w:bCs/>
          <w:rtl/>
        </w:rPr>
        <w:t>תלת</w:t>
      </w:r>
      <w:r w:rsidRPr="00AC3DC9">
        <w:rPr>
          <w:b/>
          <w:bCs/>
          <w:rtl/>
        </w:rPr>
        <w:t xml:space="preserve"> </w:t>
      </w:r>
      <w:r w:rsidRPr="00AC3DC9">
        <w:rPr>
          <w:rFonts w:hint="eastAsia"/>
          <w:b/>
          <w:bCs/>
          <w:rtl/>
        </w:rPr>
        <w:t>שנתית</w:t>
      </w:r>
      <w:r>
        <w:rPr>
          <w:rFonts w:hint="cs"/>
          <w:rtl/>
        </w:rPr>
        <w:t xml:space="preserve"> (נומרטור)", עמ</w:t>
      </w:r>
      <w:r>
        <w:rPr>
          <w:rtl/>
        </w:rPr>
        <w:t>'</w:t>
      </w:r>
      <w:r>
        <w:rPr>
          <w:rFonts w:hint="cs"/>
          <w:rtl/>
        </w:rPr>
        <w:t xml:space="preserve"> 4.</w:t>
      </w:r>
    </w:p>
  </w:footnote>
  <w:footnote w:id="52">
    <w:p w14:paraId="248B2DEF" w14:textId="77777777" w:rsidR="00B10E6B" w:rsidRPr="00B005BC" w:rsidRDefault="00B10E6B" w:rsidP="00B005BC">
      <w:pPr>
        <w:pStyle w:val="a9"/>
        <w:rPr>
          <w:rtl/>
        </w:rPr>
      </w:pPr>
      <w:r w:rsidRPr="00B005BC">
        <w:rPr>
          <w:rStyle w:val="FootnoteReference"/>
          <w:vertAlign w:val="baseline"/>
        </w:rPr>
        <w:footnoteRef/>
      </w:r>
      <w:r w:rsidRPr="00B005BC">
        <w:rPr>
          <w:rtl/>
        </w:rPr>
        <w:t xml:space="preserve"> </w:t>
      </w:r>
      <w:r w:rsidRPr="00B005BC">
        <w:rPr>
          <w:rtl/>
        </w:rPr>
        <w:tab/>
      </w:r>
      <w:r w:rsidRPr="00B005BC">
        <w:rPr>
          <w:rFonts w:hint="cs"/>
          <w:rtl/>
        </w:rPr>
        <w:t>תוכנית על פי הצעת שר האוצר אשר תונח על שולחן הכנסת בכל שנה יחד עם הצעת חוק התקציב השנתי, שתבחן את מצב המשק בכל אחת מהשנים הנכללות בה.</w:t>
      </w:r>
    </w:p>
  </w:footnote>
  <w:footnote w:id="53">
    <w:p w14:paraId="0A6DEE50" w14:textId="77777777" w:rsidR="00B10E6B" w:rsidRPr="002031ED" w:rsidRDefault="00B10E6B" w:rsidP="00B005BC">
      <w:pPr>
        <w:pStyle w:val="a9"/>
        <w:rPr>
          <w:rtl/>
        </w:rPr>
      </w:pPr>
      <w:r w:rsidRPr="00B005BC">
        <w:rPr>
          <w:rStyle w:val="FootnoteReference"/>
          <w:vertAlign w:val="baseline"/>
        </w:rPr>
        <w:footnoteRef/>
      </w:r>
      <w:r w:rsidRPr="00B005BC">
        <w:rPr>
          <w:rtl/>
        </w:rPr>
        <w:t xml:space="preserve"> </w:t>
      </w:r>
      <w:r w:rsidRPr="00B005BC">
        <w:rPr>
          <w:rtl/>
        </w:rPr>
        <w:tab/>
      </w:r>
      <w:r w:rsidRPr="00B005BC">
        <w:rPr>
          <w:rFonts w:hint="eastAsia"/>
          <w:rtl/>
        </w:rPr>
        <w:t>חוק</w:t>
      </w:r>
      <w:r w:rsidRPr="00B005BC">
        <w:rPr>
          <w:rtl/>
        </w:rPr>
        <w:t xml:space="preserve"> </w:t>
      </w:r>
      <w:r w:rsidRPr="00B005BC">
        <w:rPr>
          <w:rFonts w:hint="eastAsia"/>
          <w:rtl/>
        </w:rPr>
        <w:t>יסודות</w:t>
      </w:r>
      <w:r w:rsidRPr="00AC3DC9">
        <w:rPr>
          <w:rtl/>
        </w:rPr>
        <w:t xml:space="preserve"> </w:t>
      </w:r>
      <w:r w:rsidRPr="00AC3DC9">
        <w:rPr>
          <w:rFonts w:hint="eastAsia"/>
          <w:rtl/>
        </w:rPr>
        <w:t>התקציב</w:t>
      </w:r>
      <w:r>
        <w:rPr>
          <w:rFonts w:hint="cs"/>
          <w:rtl/>
        </w:rPr>
        <w:t xml:space="preserve">, התשמ"ה-1985, סעיף 40א(ג)-(ו), </w:t>
      </w:r>
      <w:r w:rsidRPr="00AC3DC9">
        <w:rPr>
          <w:rFonts w:hint="eastAsia"/>
          <w:b/>
          <w:bCs/>
          <w:rtl/>
        </w:rPr>
        <w:t>תכנית</w:t>
      </w:r>
      <w:r w:rsidRPr="00AC3DC9">
        <w:rPr>
          <w:b/>
          <w:bCs/>
          <w:rtl/>
        </w:rPr>
        <w:t xml:space="preserve"> </w:t>
      </w:r>
      <w:r w:rsidRPr="00AC3DC9">
        <w:rPr>
          <w:rFonts w:hint="eastAsia"/>
          <w:b/>
          <w:bCs/>
          <w:rtl/>
        </w:rPr>
        <w:t>תקציב</w:t>
      </w:r>
      <w:r w:rsidRPr="00AC3DC9">
        <w:rPr>
          <w:b/>
          <w:bCs/>
          <w:rtl/>
        </w:rPr>
        <w:t xml:space="preserve"> </w:t>
      </w:r>
      <w:r w:rsidRPr="00AC3DC9">
        <w:rPr>
          <w:rFonts w:hint="eastAsia"/>
          <w:b/>
          <w:bCs/>
          <w:rtl/>
        </w:rPr>
        <w:t>תלת</w:t>
      </w:r>
      <w:r w:rsidRPr="00AC3DC9">
        <w:rPr>
          <w:b/>
          <w:bCs/>
          <w:rtl/>
        </w:rPr>
        <w:t xml:space="preserve"> </w:t>
      </w:r>
      <w:r w:rsidRPr="00AC3DC9">
        <w:rPr>
          <w:rFonts w:hint="eastAsia"/>
          <w:b/>
          <w:bCs/>
          <w:rtl/>
        </w:rPr>
        <w:t>שנתית</w:t>
      </w:r>
      <w:r>
        <w:rPr>
          <w:rFonts w:hint="cs"/>
          <w:rtl/>
        </w:rPr>
        <w:t xml:space="preserve"> (תיקון מס' 49), התשע"ו-2015.</w:t>
      </w:r>
    </w:p>
  </w:footnote>
  <w:footnote w:id="54">
    <w:p w14:paraId="365C274A" w14:textId="77777777" w:rsidR="00B10E6B" w:rsidRDefault="00B10E6B" w:rsidP="00B005BC">
      <w:pPr>
        <w:pStyle w:val="a9"/>
        <w:rPr>
          <w:rtl/>
        </w:rPr>
      </w:pPr>
      <w:r w:rsidRPr="00B005BC">
        <w:footnoteRef/>
      </w:r>
      <w:r w:rsidRPr="00B005BC">
        <w:rPr>
          <w:rtl/>
        </w:rPr>
        <w:t xml:space="preserve"> </w:t>
      </w:r>
      <w:r w:rsidRPr="00B005BC">
        <w:rPr>
          <w:rtl/>
        </w:rPr>
        <w:tab/>
      </w:r>
      <w:r w:rsidRPr="00B005BC">
        <w:rPr>
          <w:rFonts w:hint="cs"/>
          <w:rtl/>
        </w:rPr>
        <w:t>כדי להדק את הבקרה על המסגרת הפיסקלית, לשפר את יעילות הממשלה ולפתח כלים לחיסכון תקציבי וליציבות פיסקלית, החליטה הממשלה בשנת 2015 לכונן הליך לסקירת הוצאות (</w:t>
      </w:r>
      <w:r w:rsidRPr="00B005BC">
        <w:rPr>
          <w:rFonts w:hint="cs"/>
        </w:rPr>
        <w:t>S</w:t>
      </w:r>
      <w:r w:rsidRPr="00B005BC">
        <w:t>pending Review</w:t>
      </w:r>
      <w:r w:rsidRPr="00B005BC">
        <w:rPr>
          <w:rFonts w:hint="cs"/>
          <w:rtl/>
        </w:rPr>
        <w:t>), ולפיו הוחלט להקים</w:t>
      </w:r>
      <w:r>
        <w:rPr>
          <w:rFonts w:hint="cs"/>
          <w:rtl/>
        </w:rPr>
        <w:t xml:space="preserve"> ועדה שתבחן את נחיצותם ואת הכדאיות של המשך קיומם של פרויקטים או של תוכניות שמוביל כל משרד ממשלתי בתחום אחריותו, אשר מתוקצבים בכל שנה בחוק התקציב השנתי.</w:t>
      </w:r>
      <w:r>
        <w:rPr>
          <w:rFonts w:hint="cs"/>
          <w:b/>
          <w:bCs/>
          <w:rtl/>
        </w:rPr>
        <w:t xml:space="preserve"> </w:t>
      </w:r>
      <w:r w:rsidRPr="00BC2063">
        <w:rPr>
          <w:rFonts w:hint="cs"/>
          <w:rtl/>
        </w:rPr>
        <w:t>רא</w:t>
      </w:r>
      <w:r>
        <w:rPr>
          <w:rFonts w:hint="cs"/>
          <w:rtl/>
        </w:rPr>
        <w:t>ו</w:t>
      </w:r>
      <w:r w:rsidRPr="00BC2063">
        <w:rPr>
          <w:rFonts w:hint="cs"/>
          <w:rtl/>
        </w:rPr>
        <w:t>:</w:t>
      </w:r>
      <w:r>
        <w:rPr>
          <w:rFonts w:hint="cs"/>
          <w:b/>
          <w:bCs/>
          <w:rtl/>
        </w:rPr>
        <w:t xml:space="preserve"> </w:t>
      </w:r>
      <w:r w:rsidRPr="00AC3DC9">
        <w:rPr>
          <w:rFonts w:hint="eastAsia"/>
          <w:rtl/>
        </w:rPr>
        <w:t>משרד</w:t>
      </w:r>
      <w:r w:rsidRPr="00AC3DC9">
        <w:rPr>
          <w:rtl/>
        </w:rPr>
        <w:t xml:space="preserve"> </w:t>
      </w:r>
      <w:r w:rsidRPr="00AC3DC9">
        <w:rPr>
          <w:rFonts w:hint="eastAsia"/>
          <w:rtl/>
        </w:rPr>
        <w:t>ראש</w:t>
      </w:r>
      <w:r w:rsidRPr="00AC3DC9">
        <w:rPr>
          <w:rtl/>
        </w:rPr>
        <w:t xml:space="preserve"> </w:t>
      </w:r>
      <w:r w:rsidRPr="00AC3DC9">
        <w:rPr>
          <w:rFonts w:hint="eastAsia"/>
          <w:rtl/>
        </w:rPr>
        <w:t>הממשלה</w:t>
      </w:r>
      <w:r w:rsidRPr="00AC3DC9">
        <w:rPr>
          <w:rtl/>
        </w:rPr>
        <w:t xml:space="preserve">-אגף </w:t>
      </w:r>
      <w:r w:rsidRPr="00AC3DC9">
        <w:rPr>
          <w:rFonts w:hint="eastAsia"/>
          <w:rtl/>
        </w:rPr>
        <w:t>ממשל</w:t>
      </w:r>
      <w:r w:rsidRPr="00AC3DC9">
        <w:rPr>
          <w:rtl/>
        </w:rPr>
        <w:t xml:space="preserve"> </w:t>
      </w:r>
      <w:r w:rsidRPr="00AC3DC9">
        <w:rPr>
          <w:rFonts w:hint="eastAsia"/>
          <w:rtl/>
        </w:rPr>
        <w:t>וחברה</w:t>
      </w:r>
      <w:r w:rsidRPr="00AC3DC9">
        <w:rPr>
          <w:rtl/>
        </w:rPr>
        <w:t xml:space="preserve"> </w:t>
      </w:r>
      <w:r w:rsidRPr="00AC3DC9">
        <w:rPr>
          <w:rFonts w:hint="eastAsia"/>
          <w:rtl/>
        </w:rPr>
        <w:t>ומשרד</w:t>
      </w:r>
      <w:r w:rsidRPr="00AC3DC9">
        <w:rPr>
          <w:rtl/>
        </w:rPr>
        <w:t xml:space="preserve"> </w:t>
      </w:r>
      <w:r w:rsidRPr="00AC3DC9">
        <w:rPr>
          <w:rFonts w:hint="eastAsia"/>
          <w:rtl/>
        </w:rPr>
        <w:t>האוצר</w:t>
      </w:r>
      <w:r w:rsidRPr="00AC3DC9">
        <w:rPr>
          <w:rtl/>
        </w:rPr>
        <w:t xml:space="preserve">-אגף </w:t>
      </w:r>
      <w:r w:rsidRPr="00AC3DC9">
        <w:rPr>
          <w:rFonts w:hint="eastAsia"/>
          <w:rtl/>
        </w:rPr>
        <w:t>תקציבים</w:t>
      </w:r>
      <w:r w:rsidRPr="009D2253">
        <w:rPr>
          <w:rFonts w:hint="cs"/>
          <w:rtl/>
        </w:rPr>
        <w:t>,</w:t>
      </w:r>
      <w:r>
        <w:rPr>
          <w:rFonts w:hint="cs"/>
          <w:rtl/>
        </w:rPr>
        <w:t xml:space="preserve"> </w:t>
      </w:r>
      <w:r w:rsidRPr="00AC3DC9">
        <w:rPr>
          <w:rFonts w:hint="eastAsia"/>
          <w:b/>
          <w:bCs/>
          <w:rtl/>
        </w:rPr>
        <w:t>מדריך</w:t>
      </w:r>
      <w:r w:rsidRPr="00AC3DC9">
        <w:rPr>
          <w:b/>
          <w:bCs/>
          <w:rtl/>
        </w:rPr>
        <w:t xml:space="preserve"> </w:t>
      </w:r>
      <w:r w:rsidRPr="00AC3DC9">
        <w:rPr>
          <w:rFonts w:hint="eastAsia"/>
          <w:b/>
          <w:bCs/>
          <w:rtl/>
        </w:rPr>
        <w:t>סקירת</w:t>
      </w:r>
      <w:r w:rsidRPr="00AC3DC9">
        <w:rPr>
          <w:b/>
          <w:bCs/>
          <w:rtl/>
        </w:rPr>
        <w:t xml:space="preserve"> </w:t>
      </w:r>
      <w:r w:rsidRPr="00AC3DC9">
        <w:rPr>
          <w:rFonts w:hint="eastAsia"/>
          <w:b/>
          <w:bCs/>
          <w:rtl/>
        </w:rPr>
        <w:t>הוצאות</w:t>
      </w:r>
      <w:r w:rsidRPr="009D2253">
        <w:rPr>
          <w:rFonts w:hint="cs"/>
          <w:rtl/>
        </w:rPr>
        <w:t xml:space="preserve"> (2017),</w:t>
      </w:r>
      <w:r>
        <w:rPr>
          <w:rFonts w:hint="cs"/>
          <w:rtl/>
        </w:rPr>
        <w:t xml:space="preserve"> ירושלים. </w:t>
      </w:r>
    </w:p>
  </w:footnote>
  <w:footnote w:id="55">
    <w:p w14:paraId="085C0C84" w14:textId="77777777" w:rsidR="00B10E6B" w:rsidRPr="00B005BC" w:rsidRDefault="00B10E6B" w:rsidP="00B005BC">
      <w:pPr>
        <w:pStyle w:val="a9"/>
        <w:rPr>
          <w:rtl/>
        </w:rPr>
      </w:pPr>
      <w:r w:rsidRPr="00B005BC">
        <w:rPr>
          <w:rStyle w:val="FootnoteReference"/>
          <w:vertAlign w:val="baseline"/>
        </w:rPr>
        <w:footnoteRef/>
      </w:r>
      <w:r w:rsidRPr="00B005BC">
        <w:rPr>
          <w:rtl/>
        </w:rPr>
        <w:t xml:space="preserve"> </w:t>
      </w:r>
      <w:r w:rsidRPr="00B005BC">
        <w:rPr>
          <w:rtl/>
        </w:rPr>
        <w:tab/>
      </w:r>
      <w:r w:rsidRPr="00B005BC">
        <w:rPr>
          <w:rFonts w:hint="cs"/>
          <w:rtl/>
        </w:rPr>
        <w:t xml:space="preserve">כאמור לעיל, יש סוגים שונים של פרויקטי </w:t>
      </w:r>
      <w:r w:rsidRPr="00B005BC">
        <w:rPr>
          <w:rFonts w:hint="cs"/>
        </w:rPr>
        <w:t>PPP</w:t>
      </w:r>
      <w:r w:rsidRPr="00B005BC">
        <w:rPr>
          <w:rFonts w:hint="cs"/>
          <w:rtl/>
        </w:rPr>
        <w:t xml:space="preserve">, וחלקם מטילים על המדינה את התשלומים לזכיינים, חלקם על המשתמשים וחלקם בשיתוף של המדינה והמשתמשים. לפיכך סך ההתחייבויות מושפע מסוגו של הסכם הזיכיון. </w:t>
      </w:r>
    </w:p>
  </w:footnote>
  <w:footnote w:id="56">
    <w:p w14:paraId="4E58D422" w14:textId="79F38B49" w:rsidR="00B10E6B" w:rsidRPr="00B005BC" w:rsidRDefault="00B10E6B" w:rsidP="00B005BC">
      <w:pPr>
        <w:pStyle w:val="a9"/>
        <w:rPr>
          <w:rtl/>
        </w:rPr>
      </w:pPr>
      <w:r w:rsidRPr="00B005BC">
        <w:rPr>
          <w:rStyle w:val="FootnoteReference"/>
          <w:vertAlign w:val="baseline"/>
        </w:rPr>
        <w:footnoteRef/>
      </w:r>
      <w:r w:rsidRPr="00B005BC">
        <w:rPr>
          <w:rtl/>
        </w:rPr>
        <w:t xml:space="preserve"> </w:t>
      </w:r>
      <w:r w:rsidRPr="00B005BC">
        <w:rPr>
          <w:rtl/>
        </w:rPr>
        <w:tab/>
      </w:r>
      <w:r w:rsidRPr="00B005BC">
        <w:rPr>
          <w:rFonts w:hint="cs"/>
          <w:rtl/>
        </w:rPr>
        <w:t>ראו:</w:t>
      </w:r>
      <w:r w:rsidR="000F3A4E">
        <w:rPr>
          <w:rFonts w:hint="cs"/>
          <w:rtl/>
        </w:rPr>
        <w:t xml:space="preserve"> </w:t>
      </w:r>
      <w:r w:rsidRPr="00B005BC">
        <w:t>OECD, Review of Public Governance of Public-Private Partnerships in the United Kingdom</w:t>
      </w:r>
      <w:r w:rsidRPr="00B005BC">
        <w:rPr>
          <w:rFonts w:hint="cs"/>
          <w:rtl/>
        </w:rPr>
        <w:t>,</w:t>
      </w:r>
      <w:r w:rsidRPr="00B005BC">
        <w:t xml:space="preserve"> </w:t>
      </w:r>
      <w:r w:rsidRPr="00B005BC">
        <w:rPr>
          <w:rFonts w:hint="cs"/>
          <w:rtl/>
        </w:rPr>
        <w:t>עמ</w:t>
      </w:r>
      <w:r w:rsidRPr="00B005BC">
        <w:rPr>
          <w:rtl/>
        </w:rPr>
        <w:t>'</w:t>
      </w:r>
      <w:r w:rsidRPr="00B005BC">
        <w:rPr>
          <w:rFonts w:hint="cs"/>
          <w:rtl/>
        </w:rPr>
        <w:t xml:space="preserve"> 50.</w:t>
      </w:r>
    </w:p>
  </w:footnote>
  <w:footnote w:id="57">
    <w:p w14:paraId="40CEEE53" w14:textId="77777777" w:rsidR="00B10E6B" w:rsidRPr="00B005BC" w:rsidRDefault="00B10E6B" w:rsidP="00B005BC">
      <w:pPr>
        <w:pStyle w:val="a9"/>
        <w:rPr>
          <w:rtl/>
        </w:rPr>
      </w:pPr>
      <w:r w:rsidRPr="00B005BC">
        <w:rPr>
          <w:rStyle w:val="FootnoteReference"/>
          <w:vertAlign w:val="baseline"/>
        </w:rPr>
        <w:footnoteRef/>
      </w:r>
      <w:r w:rsidRPr="00B005BC">
        <w:rPr>
          <w:rtl/>
        </w:rPr>
        <w:t xml:space="preserve"> </w:t>
      </w:r>
      <w:r w:rsidRPr="00B005BC">
        <w:rPr>
          <w:rtl/>
        </w:rPr>
        <w:tab/>
      </w:r>
      <w:r w:rsidRPr="00B005BC">
        <w:rPr>
          <w:rFonts w:hint="cs"/>
          <w:rtl/>
        </w:rPr>
        <w:t xml:space="preserve">ראו: </w:t>
      </w:r>
      <w:r w:rsidRPr="00B005BC">
        <w:t>National Audit Office, PFI and PF2 (2018)</w:t>
      </w:r>
      <w:r w:rsidRPr="00B005BC">
        <w:rPr>
          <w:rFonts w:hint="cs"/>
          <w:rtl/>
        </w:rPr>
        <w:t>, עמ</w:t>
      </w:r>
      <w:r w:rsidRPr="00B005BC">
        <w:rPr>
          <w:rtl/>
        </w:rPr>
        <w:t>'</w:t>
      </w:r>
      <w:r w:rsidRPr="00B005BC">
        <w:rPr>
          <w:rFonts w:hint="cs"/>
          <w:rtl/>
        </w:rPr>
        <w:t xml:space="preserve"> 12 - 14, 50.</w:t>
      </w:r>
    </w:p>
  </w:footnote>
  <w:footnote w:id="58">
    <w:p w14:paraId="5D99B50D" w14:textId="77777777" w:rsidR="00B10E6B" w:rsidRPr="001B58E5" w:rsidRDefault="00B10E6B" w:rsidP="001B58E5">
      <w:pPr>
        <w:pStyle w:val="a9"/>
        <w:rPr>
          <w:rtl/>
        </w:rPr>
      </w:pPr>
      <w:r w:rsidRPr="001B58E5">
        <w:rPr>
          <w:rStyle w:val="FootnoteReference"/>
          <w:vertAlign w:val="baseline"/>
        </w:rPr>
        <w:footnoteRef/>
      </w:r>
      <w:r w:rsidRPr="001B58E5">
        <w:rPr>
          <w:rtl/>
        </w:rPr>
        <w:t xml:space="preserve"> </w:t>
      </w:r>
      <w:r w:rsidRPr="001B58E5">
        <w:rPr>
          <w:rtl/>
        </w:rPr>
        <w:tab/>
      </w:r>
      <w:r w:rsidRPr="001B58E5">
        <w:rPr>
          <w:rFonts w:hint="cs"/>
          <w:rtl/>
        </w:rPr>
        <w:t>ראו: שם, עמ</w:t>
      </w:r>
      <w:r w:rsidRPr="001B58E5">
        <w:rPr>
          <w:rtl/>
        </w:rPr>
        <w:t>'</w:t>
      </w:r>
      <w:r w:rsidRPr="001B58E5">
        <w:rPr>
          <w:rFonts w:hint="cs"/>
          <w:rtl/>
        </w:rPr>
        <w:t xml:space="preserve"> 54, 59. </w:t>
      </w:r>
    </w:p>
  </w:footnote>
  <w:footnote w:id="59">
    <w:p w14:paraId="6CC397D3" w14:textId="77777777" w:rsidR="00B10E6B" w:rsidRPr="001B58E5" w:rsidRDefault="00B10E6B" w:rsidP="001B58E5">
      <w:pPr>
        <w:pStyle w:val="a9"/>
        <w:rPr>
          <w:rtl/>
        </w:rPr>
      </w:pPr>
      <w:r w:rsidRPr="001B58E5">
        <w:rPr>
          <w:rStyle w:val="FootnoteReference"/>
          <w:vertAlign w:val="baseline"/>
        </w:rPr>
        <w:footnoteRef/>
      </w:r>
      <w:r w:rsidRPr="001B58E5">
        <w:rPr>
          <w:rtl/>
        </w:rPr>
        <w:t xml:space="preserve"> </w:t>
      </w:r>
      <w:r w:rsidRPr="001B58E5">
        <w:rPr>
          <w:rtl/>
        </w:rPr>
        <w:tab/>
      </w:r>
      <w:r w:rsidRPr="001B58E5">
        <w:rPr>
          <w:rFonts w:hint="cs"/>
          <w:rtl/>
        </w:rPr>
        <w:t>ברקע המשבר הכלכלי של 2008.</w:t>
      </w:r>
    </w:p>
  </w:footnote>
  <w:footnote w:id="60">
    <w:p w14:paraId="26A46D45" w14:textId="253E8718" w:rsidR="00B10E6B" w:rsidRDefault="00B10E6B" w:rsidP="001B58E5">
      <w:pPr>
        <w:pStyle w:val="a9"/>
        <w:rPr>
          <w:rtl/>
        </w:rPr>
      </w:pPr>
      <w:r w:rsidRPr="001B58E5">
        <w:rPr>
          <w:rStyle w:val="FootnoteReference"/>
          <w:vertAlign w:val="baseline"/>
        </w:rPr>
        <w:footnoteRef/>
      </w:r>
      <w:r w:rsidRPr="001B58E5">
        <w:rPr>
          <w:rtl/>
        </w:rPr>
        <w:t xml:space="preserve"> </w:t>
      </w:r>
      <w:r w:rsidRPr="001B58E5">
        <w:rPr>
          <w:rtl/>
        </w:rPr>
        <w:tab/>
      </w:r>
      <w:r w:rsidRPr="001B58E5">
        <w:rPr>
          <w:rFonts w:hint="cs"/>
          <w:rtl/>
        </w:rPr>
        <w:t xml:space="preserve">ראו: </w:t>
      </w:r>
      <w:r w:rsidRPr="001B58E5">
        <w:t>National Audit Office, PFI and PF2</w:t>
      </w:r>
      <w:r>
        <w:t xml:space="preserve"> (2018)</w:t>
      </w:r>
      <w:r>
        <w:rPr>
          <w:rFonts w:hint="cs"/>
          <w:rtl/>
        </w:rPr>
        <w:t>, עמ</w:t>
      </w:r>
      <w:r>
        <w:rPr>
          <w:rtl/>
        </w:rPr>
        <w:t>'</w:t>
      </w:r>
      <w:r>
        <w:rPr>
          <w:rFonts w:hint="cs"/>
          <w:rtl/>
        </w:rPr>
        <w:t xml:space="preserve"> 4, 9, 39, 41. </w:t>
      </w:r>
    </w:p>
  </w:footnote>
  <w:footnote w:id="61">
    <w:p w14:paraId="0D00AE09" w14:textId="77777777" w:rsidR="00B10E6B" w:rsidRPr="001B58E5" w:rsidRDefault="00B10E6B" w:rsidP="001B58E5">
      <w:pPr>
        <w:pStyle w:val="a9"/>
        <w:rPr>
          <w:rtl/>
        </w:rPr>
      </w:pPr>
      <w:r w:rsidRPr="001B58E5">
        <w:rPr>
          <w:rStyle w:val="FootnoteReference"/>
          <w:vertAlign w:val="baseline"/>
        </w:rPr>
        <w:footnoteRef/>
      </w:r>
      <w:r w:rsidRPr="001B58E5">
        <w:rPr>
          <w:rtl/>
        </w:rPr>
        <w:t xml:space="preserve"> </w:t>
      </w:r>
      <w:r w:rsidRPr="001B58E5">
        <w:rPr>
          <w:rtl/>
        </w:rPr>
        <w:tab/>
      </w:r>
      <w:r w:rsidRPr="001B58E5">
        <w:rPr>
          <w:rFonts w:hint="cs"/>
          <w:rtl/>
        </w:rPr>
        <w:t>לדוגמה, נקבעה תקרה להיקף ה</w:t>
      </w:r>
      <w:r w:rsidRPr="001B58E5">
        <w:rPr>
          <w:rtl/>
        </w:rPr>
        <w:t>התחייבויות</w:t>
      </w:r>
      <w:r w:rsidRPr="001B58E5">
        <w:rPr>
          <w:rFonts w:hint="cs"/>
          <w:rtl/>
        </w:rPr>
        <w:t xml:space="preserve"> בפרויקטים מסוג</w:t>
      </w:r>
      <w:r w:rsidRPr="001B58E5">
        <w:rPr>
          <w:rtl/>
        </w:rPr>
        <w:t xml:space="preserve"> </w:t>
      </w:r>
      <w:r w:rsidRPr="001B58E5">
        <w:t>PFI</w:t>
      </w:r>
      <w:r w:rsidRPr="001B58E5">
        <w:rPr>
          <w:rFonts w:hint="cs"/>
          <w:rtl/>
        </w:rPr>
        <w:t xml:space="preserve"> ו-</w:t>
      </w:r>
      <w:r w:rsidRPr="001B58E5">
        <w:t xml:space="preserve"> PF2</w:t>
      </w:r>
      <w:r w:rsidRPr="001B58E5">
        <w:rPr>
          <w:rFonts w:hint="cs"/>
          <w:rtl/>
        </w:rPr>
        <w:t>(</w:t>
      </w:r>
      <w:r w:rsidRPr="001B58E5">
        <w:rPr>
          <w:rFonts w:hint="cs"/>
        </w:rPr>
        <w:t>P</w:t>
      </w:r>
      <w:r w:rsidRPr="001B58E5">
        <w:t>rivate Finance 2</w:t>
      </w:r>
      <w:r w:rsidRPr="001B58E5">
        <w:rPr>
          <w:rFonts w:hint="cs"/>
          <w:rtl/>
        </w:rPr>
        <w:t>)</w:t>
      </w:r>
      <w:r w:rsidRPr="001B58E5">
        <w:rPr>
          <w:rtl/>
        </w:rPr>
        <w:t xml:space="preserve"> ל</w:t>
      </w:r>
      <w:r w:rsidRPr="001B58E5">
        <w:rPr>
          <w:rFonts w:hint="cs"/>
          <w:rtl/>
        </w:rPr>
        <w:t>-70</w:t>
      </w:r>
      <w:r w:rsidRPr="001B58E5">
        <w:rPr>
          <w:rtl/>
        </w:rPr>
        <w:t xml:space="preserve"> מיליארד ליש"ט</w:t>
      </w:r>
      <w:r w:rsidRPr="001B58E5">
        <w:rPr>
          <w:rFonts w:hint="cs"/>
          <w:rtl/>
        </w:rPr>
        <w:t>.</w:t>
      </w:r>
    </w:p>
    <w:p w14:paraId="6E214B0F" w14:textId="77777777" w:rsidR="00B10E6B" w:rsidRPr="001B58E5" w:rsidRDefault="00B10E6B" w:rsidP="009D4D73">
      <w:pPr>
        <w:pStyle w:val="a9"/>
        <w:ind w:firstLine="0"/>
        <w:rPr>
          <w:rtl/>
        </w:rPr>
      </w:pPr>
      <w:r w:rsidRPr="001B58E5">
        <w:rPr>
          <w:rFonts w:hint="cs"/>
          <w:rtl/>
        </w:rPr>
        <w:t xml:space="preserve">ראו: </w:t>
      </w:r>
      <w:r w:rsidRPr="001B58E5">
        <w:t>National Audit Office, PFI and PF2 (2018)</w:t>
      </w:r>
      <w:r w:rsidRPr="001B58E5">
        <w:rPr>
          <w:rFonts w:hint="cs"/>
          <w:rtl/>
        </w:rPr>
        <w:t>, עמ</w:t>
      </w:r>
      <w:r w:rsidRPr="001B58E5">
        <w:rPr>
          <w:rtl/>
        </w:rPr>
        <w:t>'</w:t>
      </w:r>
      <w:r w:rsidRPr="001B58E5">
        <w:rPr>
          <w:rFonts w:hint="cs"/>
          <w:rtl/>
        </w:rPr>
        <w:t xml:space="preserve"> 39;</w:t>
      </w:r>
    </w:p>
    <w:p w14:paraId="0E497CB5" w14:textId="77777777" w:rsidR="00B10E6B" w:rsidRPr="001B58E5" w:rsidRDefault="00B10E6B" w:rsidP="009D4D73">
      <w:pPr>
        <w:pStyle w:val="a9"/>
        <w:ind w:firstLine="0"/>
        <w:rPr>
          <w:rtl/>
        </w:rPr>
      </w:pPr>
      <w:r w:rsidRPr="001B58E5">
        <w:t>Her Majesty's Treasury, A New Approach to Public Private Partnerships (2012)</w:t>
      </w:r>
      <w:r w:rsidRPr="001B58E5">
        <w:rPr>
          <w:rFonts w:hint="cs"/>
          <w:rtl/>
        </w:rPr>
        <w:t>, עמ</w:t>
      </w:r>
      <w:r w:rsidRPr="001B58E5">
        <w:rPr>
          <w:rtl/>
        </w:rPr>
        <w:t>'</w:t>
      </w:r>
      <w:r w:rsidRPr="001B58E5">
        <w:rPr>
          <w:rFonts w:hint="cs"/>
          <w:rtl/>
        </w:rPr>
        <w:t xml:space="preserve"> 8, 57; </w:t>
      </w:r>
      <w:r w:rsidRPr="001B58E5">
        <w:t>OECD, Review of Public Governance of Public-Private Partnerships in the United Kingdom (2015)</w:t>
      </w:r>
      <w:r w:rsidRPr="001B58E5">
        <w:rPr>
          <w:rFonts w:hint="cs"/>
          <w:rtl/>
        </w:rPr>
        <w:t>, עמ</w:t>
      </w:r>
      <w:r w:rsidRPr="001B58E5">
        <w:rPr>
          <w:rtl/>
        </w:rPr>
        <w:t>'</w:t>
      </w:r>
      <w:r w:rsidRPr="001B58E5">
        <w:rPr>
          <w:rFonts w:hint="cs"/>
          <w:rtl/>
        </w:rPr>
        <w:t xml:space="preserve"> 53.</w:t>
      </w:r>
    </w:p>
  </w:footnote>
  <w:footnote w:id="62">
    <w:p w14:paraId="3441E1C7" w14:textId="77777777" w:rsidR="00B10E6B" w:rsidRPr="001B58E5" w:rsidRDefault="00B10E6B" w:rsidP="001B58E5">
      <w:pPr>
        <w:pStyle w:val="a9"/>
      </w:pPr>
      <w:r w:rsidRPr="001B58E5">
        <w:rPr>
          <w:rStyle w:val="FootnoteReference"/>
          <w:vertAlign w:val="baseline"/>
        </w:rPr>
        <w:footnoteRef/>
      </w:r>
      <w:r w:rsidRPr="001B58E5">
        <w:rPr>
          <w:rtl/>
        </w:rPr>
        <w:t xml:space="preserve"> </w:t>
      </w:r>
      <w:r w:rsidRPr="001B58E5">
        <w:rPr>
          <w:rtl/>
        </w:rPr>
        <w:tab/>
      </w:r>
      <w:r w:rsidRPr="001B58E5">
        <w:rPr>
          <w:rFonts w:hint="cs"/>
          <w:rtl/>
        </w:rPr>
        <w:t xml:space="preserve">מגמת הירידה בעקומה משקפת את החלפת חוזי ההתקשרות מסוג </w:t>
      </w:r>
      <w:r w:rsidRPr="001B58E5">
        <w:rPr>
          <w:rFonts w:hint="cs"/>
        </w:rPr>
        <w:t>PFI</w:t>
      </w:r>
      <w:r w:rsidRPr="001B58E5">
        <w:rPr>
          <w:rFonts w:hint="cs"/>
          <w:rtl/>
        </w:rPr>
        <w:t xml:space="preserve"> בחוזים מסוג </w:t>
      </w:r>
      <w:r w:rsidRPr="001B58E5">
        <w:rPr>
          <w:rFonts w:hint="cs"/>
        </w:rPr>
        <w:t>PF2</w:t>
      </w:r>
      <w:r w:rsidRPr="001B58E5">
        <w:rPr>
          <w:rFonts w:hint="cs"/>
          <w:rtl/>
        </w:rPr>
        <w:t xml:space="preserve"> במסגרת הרפורמה להגברת השקיפות בשנת 2012.</w:t>
      </w:r>
    </w:p>
  </w:footnote>
  <w:footnote w:id="63">
    <w:p w14:paraId="5E7F67B5" w14:textId="44FA0D42" w:rsidR="00B10E6B" w:rsidRPr="001B58E5" w:rsidRDefault="00B10E6B" w:rsidP="001B58E5">
      <w:pPr>
        <w:pStyle w:val="a9"/>
      </w:pPr>
      <w:r w:rsidRPr="001B58E5">
        <w:rPr>
          <w:rStyle w:val="FootnoteReference"/>
          <w:vertAlign w:val="baseline"/>
        </w:rPr>
        <w:footnoteRef/>
      </w:r>
      <w:r w:rsidRPr="001B58E5">
        <w:rPr>
          <w:rtl/>
        </w:rPr>
        <w:t xml:space="preserve"> </w:t>
      </w:r>
      <w:r w:rsidRPr="001B58E5">
        <w:rPr>
          <w:rtl/>
        </w:rPr>
        <w:tab/>
      </w:r>
      <w:r w:rsidRPr="001B58E5">
        <w:rPr>
          <w:rFonts w:hint="cs"/>
          <w:rtl/>
        </w:rPr>
        <w:t>פורסם ב-</w:t>
      </w:r>
      <w:r w:rsidRPr="001B58E5">
        <w:t>National Audit Office, PFI and PF2 (2018)</w:t>
      </w:r>
      <w:r w:rsidRPr="001B58E5">
        <w:rPr>
          <w:rFonts w:hint="cs"/>
          <w:rtl/>
        </w:rPr>
        <w:t>, עמ</w:t>
      </w:r>
      <w:r w:rsidRPr="001B58E5">
        <w:rPr>
          <w:rtl/>
        </w:rPr>
        <w:t>'</w:t>
      </w:r>
      <w:r w:rsidRPr="001B58E5">
        <w:rPr>
          <w:rFonts w:hint="cs"/>
          <w:rtl/>
        </w:rPr>
        <w:t xml:space="preserve"> 25.</w:t>
      </w:r>
    </w:p>
  </w:footnote>
  <w:footnote w:id="64">
    <w:p w14:paraId="58BA717B" w14:textId="497E20B1" w:rsidR="00B10E6B" w:rsidRPr="0086426F" w:rsidRDefault="00B10E6B" w:rsidP="001B58E5">
      <w:pPr>
        <w:pStyle w:val="a9"/>
        <w:rPr>
          <w:spacing w:val="-2"/>
          <w:rtl/>
        </w:rPr>
      </w:pPr>
      <w:r w:rsidRPr="001B58E5">
        <w:rPr>
          <w:rStyle w:val="FootnoteReference"/>
          <w:vertAlign w:val="baseline"/>
        </w:rPr>
        <w:footnoteRef/>
      </w:r>
      <w:r w:rsidRPr="001B58E5">
        <w:rPr>
          <w:rtl/>
        </w:rPr>
        <w:t xml:space="preserve"> </w:t>
      </w:r>
      <w:r w:rsidRPr="001B58E5">
        <w:rPr>
          <w:rtl/>
        </w:rPr>
        <w:tab/>
      </w:r>
      <w:r w:rsidRPr="001B58E5">
        <w:rPr>
          <w:rFonts w:hint="cs"/>
          <w:rtl/>
        </w:rPr>
        <w:t>ראו:</w:t>
      </w:r>
      <w:r w:rsidR="0086426F">
        <w:rPr>
          <w:rFonts w:hint="cs"/>
          <w:rtl/>
        </w:rPr>
        <w:t xml:space="preserve"> </w:t>
      </w:r>
      <w:r w:rsidRPr="0086426F">
        <w:rPr>
          <w:spacing w:val="-2"/>
        </w:rPr>
        <w:t>OECD, Review of Public Governance of Public-Private Partnerships in the United Kingdom (2015)</w:t>
      </w:r>
      <w:r w:rsidR="00A87A93">
        <w:rPr>
          <w:rFonts w:hint="cs"/>
          <w:spacing w:val="-2"/>
          <w:rtl/>
        </w:rPr>
        <w:t>,</w:t>
      </w:r>
      <w:r w:rsidRPr="0086426F">
        <w:rPr>
          <w:rFonts w:hint="cs"/>
          <w:spacing w:val="-2"/>
          <w:rtl/>
        </w:rPr>
        <w:t xml:space="preserve"> עמ</w:t>
      </w:r>
      <w:r w:rsidRPr="0086426F">
        <w:rPr>
          <w:spacing w:val="-2"/>
          <w:rtl/>
        </w:rPr>
        <w:t>'</w:t>
      </w:r>
      <w:r w:rsidRPr="0086426F">
        <w:rPr>
          <w:rFonts w:hint="cs"/>
          <w:spacing w:val="-2"/>
          <w:rtl/>
        </w:rPr>
        <w:t xml:space="preserve"> 58.</w:t>
      </w:r>
    </w:p>
  </w:footnote>
  <w:footnote w:id="65">
    <w:p w14:paraId="03A056A7" w14:textId="77777777" w:rsidR="00B10E6B" w:rsidRPr="001B58E5" w:rsidRDefault="00B10E6B" w:rsidP="001B58E5">
      <w:pPr>
        <w:pStyle w:val="a9"/>
        <w:rPr>
          <w:rtl/>
        </w:rPr>
      </w:pPr>
      <w:r w:rsidRPr="001B58E5">
        <w:rPr>
          <w:rStyle w:val="FootnoteReference"/>
          <w:vertAlign w:val="baseline"/>
        </w:rPr>
        <w:footnoteRef/>
      </w:r>
      <w:r w:rsidRPr="001B58E5">
        <w:rPr>
          <w:rtl/>
        </w:rPr>
        <w:t xml:space="preserve"> </w:t>
      </w:r>
      <w:r w:rsidRPr="001B58E5">
        <w:rPr>
          <w:rtl/>
        </w:rPr>
        <w:tab/>
      </w:r>
      <w:r w:rsidRPr="001B58E5">
        <w:rPr>
          <w:rFonts w:hint="cs"/>
          <w:rtl/>
        </w:rPr>
        <w:t xml:space="preserve">"מערכת רוחבית כוללת במשרדי הממשלה" - מערכת ארגונית לניהול נכסי המדינה ומשאביה בצורה אחידה ואינטגרטיבית בין המשרדים ובתוכם, בפלטפורמת </w:t>
      </w:r>
      <w:r w:rsidRPr="001B58E5">
        <w:rPr>
          <w:rFonts w:hint="cs"/>
        </w:rPr>
        <w:t>SAP</w:t>
      </w:r>
      <w:r w:rsidRPr="001B58E5">
        <w:rPr>
          <w:rFonts w:hint="cs"/>
          <w:rtl/>
        </w:rPr>
        <w:t xml:space="preserve">. </w:t>
      </w:r>
    </w:p>
    <w:p w14:paraId="3928E56A" w14:textId="77777777" w:rsidR="00B10E6B" w:rsidRPr="001B58E5" w:rsidRDefault="00B10E6B" w:rsidP="009D4D73">
      <w:pPr>
        <w:pStyle w:val="a9"/>
        <w:ind w:firstLine="0"/>
        <w:rPr>
          <w:rtl/>
        </w:rPr>
      </w:pPr>
      <w:r w:rsidRPr="001B58E5">
        <w:rPr>
          <w:rFonts w:hint="cs"/>
          <w:rtl/>
        </w:rPr>
        <w:t xml:space="preserve">ראו: </w:t>
      </w:r>
      <w:r w:rsidRPr="001B58E5">
        <w:t>https://mof.gov.il/AG/AccountingReports/chariot</w:t>
      </w:r>
    </w:p>
  </w:footnote>
  <w:footnote w:id="66">
    <w:p w14:paraId="70F5D571" w14:textId="77777777" w:rsidR="00B10E6B" w:rsidRPr="001B58E5" w:rsidRDefault="00B10E6B" w:rsidP="001B58E5">
      <w:pPr>
        <w:pStyle w:val="a9"/>
        <w:rPr>
          <w:rtl/>
        </w:rPr>
      </w:pPr>
      <w:r w:rsidRPr="001B58E5">
        <w:rPr>
          <w:rStyle w:val="FootnoteReference"/>
          <w:vertAlign w:val="baseline"/>
        </w:rPr>
        <w:footnoteRef/>
      </w:r>
      <w:r w:rsidRPr="001B58E5">
        <w:rPr>
          <w:rtl/>
        </w:rPr>
        <w:t xml:space="preserve"> </w:t>
      </w:r>
      <w:r w:rsidRPr="001B58E5">
        <w:tab/>
      </w:r>
      <w:r w:rsidRPr="001B58E5">
        <w:rPr>
          <w:rFonts w:hint="cs"/>
          <w:rtl/>
        </w:rPr>
        <w:t>מערכת בינה עסקית (</w:t>
      </w:r>
      <w:r w:rsidRPr="001B58E5">
        <w:rPr>
          <w:rFonts w:hint="cs"/>
        </w:rPr>
        <w:t>B</w:t>
      </w:r>
      <w:r w:rsidRPr="001B58E5">
        <w:t>usiness Intelligence</w:t>
      </w:r>
      <w:r w:rsidRPr="001B58E5">
        <w:rPr>
          <w:rFonts w:hint="cs"/>
          <w:rtl/>
        </w:rPr>
        <w:t>) לביצוע אנליזה מתקדמת הכוללת כריית נתונים וטקסט, ניתוחים אנליטיים, נתונים סטטיסטיים ונתוני עתק (</w:t>
      </w:r>
      <w:r w:rsidRPr="001B58E5">
        <w:rPr>
          <w:rFonts w:hint="cs"/>
        </w:rPr>
        <w:t>B</w:t>
      </w:r>
      <w:r w:rsidRPr="001B58E5">
        <w:t>ig Data</w:t>
      </w:r>
      <w:r w:rsidRPr="001B58E5">
        <w:rPr>
          <w:rFonts w:hint="cs"/>
          <w:rtl/>
        </w:rPr>
        <w:t>).</w:t>
      </w:r>
    </w:p>
  </w:footnote>
  <w:footnote w:id="67">
    <w:p w14:paraId="220A4A43" w14:textId="77777777" w:rsidR="00B10E6B" w:rsidRPr="001B58E5" w:rsidRDefault="00B10E6B" w:rsidP="001B58E5">
      <w:pPr>
        <w:pStyle w:val="a9"/>
        <w:rPr>
          <w:rtl/>
        </w:rPr>
      </w:pPr>
      <w:r w:rsidRPr="001B58E5">
        <w:rPr>
          <w:rStyle w:val="FootnoteReference"/>
          <w:vertAlign w:val="baseline"/>
        </w:rPr>
        <w:footnoteRef/>
      </w:r>
      <w:r w:rsidRPr="001B58E5">
        <w:rPr>
          <w:rtl/>
        </w:rPr>
        <w:t xml:space="preserve"> </w:t>
      </w:r>
      <w:r w:rsidRPr="001B58E5">
        <w:tab/>
      </w:r>
      <w:r w:rsidRPr="001B58E5">
        <w:rPr>
          <w:rFonts w:hint="cs"/>
          <w:rtl/>
        </w:rPr>
        <w:t>תוכנה הפועלת בטכנולוגיית ענן ובה נשמרים כל הנתונים והפעולות.</w:t>
      </w:r>
    </w:p>
  </w:footnote>
  <w:footnote w:id="68">
    <w:p w14:paraId="7FCFA9B4" w14:textId="77777777" w:rsidR="00B10E6B" w:rsidRDefault="00B10E6B" w:rsidP="001B58E5">
      <w:pPr>
        <w:pStyle w:val="a9"/>
        <w:rPr>
          <w:rtl/>
        </w:rPr>
      </w:pPr>
      <w:r w:rsidRPr="001B58E5">
        <w:rPr>
          <w:rStyle w:val="FootnoteReference"/>
          <w:vertAlign w:val="baseline"/>
        </w:rPr>
        <w:footnoteRef/>
      </w:r>
      <w:r w:rsidRPr="001B58E5">
        <w:rPr>
          <w:rtl/>
        </w:rPr>
        <w:t xml:space="preserve"> </w:t>
      </w:r>
      <w:r w:rsidRPr="001B58E5">
        <w:rPr>
          <w:rtl/>
        </w:rPr>
        <w:tab/>
      </w:r>
      <w:r w:rsidRPr="001B58E5">
        <w:rPr>
          <w:rFonts w:hint="cs"/>
          <w:rtl/>
        </w:rPr>
        <w:t xml:space="preserve">ראו: </w:t>
      </w:r>
      <w:r w:rsidRPr="001B58E5">
        <w:rPr>
          <w:rFonts w:hint="cs"/>
          <w:b/>
          <w:bCs/>
          <w:rtl/>
        </w:rPr>
        <w:t>משרד ה</w:t>
      </w:r>
      <w:r>
        <w:rPr>
          <w:rFonts w:hint="cs"/>
          <w:b/>
          <w:bCs/>
          <w:rtl/>
        </w:rPr>
        <w:t xml:space="preserve">אוצר - אגף החשב הכללי, </w:t>
      </w:r>
      <w:r w:rsidRPr="000E3CC9">
        <w:rPr>
          <w:rFonts w:hint="cs"/>
          <w:rtl/>
        </w:rPr>
        <w:t>דוחות</w:t>
      </w:r>
      <w:r>
        <w:rPr>
          <w:rFonts w:hint="cs"/>
          <w:rtl/>
        </w:rPr>
        <w:t xml:space="preserve"> כספיים ליום ה-31 בדצמבר 2018, עמ' 63.</w:t>
      </w:r>
    </w:p>
  </w:footnote>
  <w:footnote w:id="69">
    <w:p w14:paraId="5CAE5586" w14:textId="77777777" w:rsidR="00B10E6B" w:rsidRPr="001B58E5" w:rsidRDefault="00B10E6B" w:rsidP="001B58E5">
      <w:pPr>
        <w:pStyle w:val="a9"/>
      </w:pPr>
      <w:r w:rsidRPr="001B58E5">
        <w:rPr>
          <w:rStyle w:val="FootnoteReference"/>
          <w:vertAlign w:val="baseline"/>
        </w:rPr>
        <w:footnoteRef/>
      </w:r>
      <w:r w:rsidRPr="001B58E5">
        <w:rPr>
          <w:rtl/>
        </w:rPr>
        <w:t xml:space="preserve"> </w:t>
      </w:r>
      <w:r w:rsidRPr="001B58E5">
        <w:rPr>
          <w:rtl/>
        </w:rPr>
        <w:tab/>
      </w:r>
      <w:r w:rsidRPr="001B58E5">
        <w:rPr>
          <w:rFonts w:hint="cs"/>
          <w:rtl/>
        </w:rPr>
        <w:t xml:space="preserve">ההתחייבויות מותנות במפורש בחוזה בין המדינה לבין מקבליהן. </w:t>
      </w:r>
    </w:p>
  </w:footnote>
  <w:footnote w:id="70">
    <w:p w14:paraId="2713EEB1" w14:textId="77777777" w:rsidR="00B10E6B" w:rsidRPr="001B58E5" w:rsidRDefault="00B10E6B" w:rsidP="001B58E5">
      <w:pPr>
        <w:pStyle w:val="a9"/>
        <w:rPr>
          <w:rtl/>
        </w:rPr>
      </w:pPr>
      <w:r w:rsidRPr="001B58E5">
        <w:rPr>
          <w:rStyle w:val="FootnoteReference"/>
          <w:vertAlign w:val="baseline"/>
        </w:rPr>
        <w:footnoteRef/>
      </w:r>
      <w:r w:rsidRPr="001B58E5">
        <w:rPr>
          <w:rtl/>
        </w:rPr>
        <w:t xml:space="preserve"> </w:t>
      </w:r>
      <w:r w:rsidRPr="001B58E5">
        <w:rPr>
          <w:rtl/>
        </w:rPr>
        <w:tab/>
      </w:r>
      <w:r w:rsidRPr="001B58E5">
        <w:rPr>
          <w:rFonts w:hint="cs"/>
          <w:rtl/>
        </w:rPr>
        <w:t>ככל שהמענקים הניתנים גבוהים יותר, כך פוחתת היכולת לייצר תשואה למשקיע ולאפשר גיוס חוב ממלווים תוך עמידה בדרישות המגזר הציבורי.</w:t>
      </w:r>
    </w:p>
  </w:footnote>
  <w:footnote w:id="71">
    <w:p w14:paraId="42B8BD30" w14:textId="77777777" w:rsidR="00B10E6B" w:rsidRDefault="00B10E6B" w:rsidP="001B58E5">
      <w:pPr>
        <w:pStyle w:val="a9"/>
        <w:rPr>
          <w:rtl/>
        </w:rPr>
      </w:pPr>
      <w:r w:rsidRPr="001B58E5">
        <w:rPr>
          <w:rStyle w:val="FootnoteReference"/>
          <w:vertAlign w:val="baseline"/>
        </w:rPr>
        <w:footnoteRef/>
      </w:r>
      <w:r w:rsidRPr="001B58E5">
        <w:rPr>
          <w:rtl/>
        </w:rPr>
        <w:t xml:space="preserve"> </w:t>
      </w:r>
      <w:r w:rsidRPr="001B58E5">
        <w:rPr>
          <w:rtl/>
        </w:rPr>
        <w:tab/>
      </w:r>
      <w:r w:rsidRPr="001B58E5">
        <w:rPr>
          <w:rFonts w:hint="cs"/>
          <w:rtl/>
        </w:rPr>
        <w:t>ראו בעניין</w:t>
      </w:r>
      <w:r>
        <w:rPr>
          <w:rFonts w:hint="cs"/>
          <w:rtl/>
        </w:rPr>
        <w:t xml:space="preserve"> זה את הפרק "בדיקות התאמה לביצוע פרויקטים בשיטת </w:t>
      </w:r>
      <w:r>
        <w:rPr>
          <w:rFonts w:hint="cs"/>
        </w:rPr>
        <w:t>PPP</w:t>
      </w:r>
      <w:r>
        <w:rPr>
          <w:rFonts w:hint="cs"/>
          <w:rtl/>
        </w:rPr>
        <w:t>".</w:t>
      </w:r>
    </w:p>
  </w:footnote>
  <w:footnote w:id="72">
    <w:p w14:paraId="443EBFD1" w14:textId="77777777" w:rsidR="00B10E6B" w:rsidRPr="005614EB" w:rsidRDefault="00B10E6B" w:rsidP="005614EB">
      <w:pPr>
        <w:pStyle w:val="a9"/>
      </w:pPr>
      <w:r w:rsidRPr="005614EB">
        <w:rPr>
          <w:rStyle w:val="FootnoteReference"/>
          <w:vertAlign w:val="baseline"/>
        </w:rPr>
        <w:footnoteRef/>
      </w:r>
      <w:r w:rsidRPr="005614EB">
        <w:rPr>
          <w:rtl/>
        </w:rPr>
        <w:t xml:space="preserve"> </w:t>
      </w:r>
      <w:r w:rsidRPr="005614EB">
        <w:rPr>
          <w:rtl/>
        </w:rPr>
        <w:tab/>
      </w:r>
      <w:r w:rsidRPr="005614EB">
        <w:rPr>
          <w:rFonts w:hint="cs"/>
          <w:rtl/>
        </w:rPr>
        <w:t>קמפוס טכנולוגי (ינואר 2011), מעבר אמ"ן לנגב (אפריל 2012), אופק רחב - ריכוז מספר רב של גופים ויחידות במחנה רב זרועי בעיר לוד (אוגוסט 2012).</w:t>
      </w:r>
    </w:p>
  </w:footnote>
  <w:footnote w:id="73">
    <w:p w14:paraId="3651858D" w14:textId="77777777" w:rsidR="00B10E6B" w:rsidRPr="005614EB" w:rsidRDefault="00B10E6B" w:rsidP="005614EB">
      <w:pPr>
        <w:pStyle w:val="a9"/>
        <w:rPr>
          <w:rtl/>
        </w:rPr>
      </w:pPr>
      <w:r w:rsidRPr="005614EB">
        <w:rPr>
          <w:rStyle w:val="FootnoteReference"/>
          <w:vertAlign w:val="baseline"/>
        </w:rPr>
        <w:footnoteRef/>
      </w:r>
      <w:r w:rsidRPr="005614EB">
        <w:rPr>
          <w:rtl/>
        </w:rPr>
        <w:t xml:space="preserve"> </w:t>
      </w:r>
      <w:r w:rsidRPr="005614EB">
        <w:rPr>
          <w:rtl/>
        </w:rPr>
        <w:tab/>
      </w:r>
      <w:r w:rsidRPr="005614EB">
        <w:rPr>
          <w:rFonts w:hint="cs"/>
          <w:rtl/>
        </w:rPr>
        <w:t xml:space="preserve">חוזי זיכיון מסוג </w:t>
      </w:r>
      <w:r w:rsidRPr="005614EB">
        <w:rPr>
          <w:rFonts w:hint="cs"/>
        </w:rPr>
        <w:t>PFI</w:t>
      </w:r>
      <w:r w:rsidRPr="005614EB">
        <w:rPr>
          <w:rFonts w:hint="cs"/>
          <w:rtl/>
        </w:rPr>
        <w:t xml:space="preserve"> שבהם הנטל הוא על כלל ההוצאה הציבורית.</w:t>
      </w:r>
    </w:p>
  </w:footnote>
  <w:footnote w:id="74">
    <w:p w14:paraId="707D36C8" w14:textId="77777777" w:rsidR="00B10E6B" w:rsidRDefault="00B10E6B" w:rsidP="005614EB">
      <w:pPr>
        <w:pStyle w:val="a9"/>
        <w:rPr>
          <w:rtl/>
        </w:rPr>
      </w:pPr>
      <w:r w:rsidRPr="005614EB">
        <w:rPr>
          <w:rStyle w:val="FootnoteReference"/>
          <w:vertAlign w:val="baseline"/>
        </w:rPr>
        <w:footnoteRef/>
      </w:r>
      <w:r w:rsidRPr="005614EB">
        <w:rPr>
          <w:rtl/>
        </w:rPr>
        <w:t xml:space="preserve"> </w:t>
      </w:r>
      <w:r w:rsidRPr="005614EB">
        <w:rPr>
          <w:rtl/>
        </w:rPr>
        <w:tab/>
      </w:r>
      <w:r w:rsidRPr="005614EB">
        <w:rPr>
          <w:rFonts w:hint="cs"/>
          <w:rtl/>
        </w:rPr>
        <w:t>עיר הבה"דים (</w:t>
      </w:r>
      <w:r>
        <w:rPr>
          <w:rFonts w:hint="cs"/>
          <w:rtl/>
        </w:rPr>
        <w:t>יולי 2009), מרה"ס אט"ל (יוני 2009).</w:t>
      </w:r>
    </w:p>
  </w:footnote>
  <w:footnote w:id="75">
    <w:p w14:paraId="0EAB7837" w14:textId="77777777" w:rsidR="00B10E6B" w:rsidRPr="00F93E70" w:rsidRDefault="00B10E6B" w:rsidP="005614EB">
      <w:pPr>
        <w:pStyle w:val="a9"/>
        <w:rPr>
          <w:rtl/>
        </w:rPr>
      </w:pPr>
      <w:r w:rsidRPr="005614EB">
        <w:footnoteRef/>
      </w:r>
      <w:r w:rsidRPr="005614EB">
        <w:rPr>
          <w:rtl/>
        </w:rPr>
        <w:t xml:space="preserve"> </w:t>
      </w:r>
      <w:r w:rsidRPr="00F93E70">
        <w:rPr>
          <w:rtl/>
        </w:rPr>
        <w:tab/>
      </w:r>
      <w:r w:rsidRPr="004A6739">
        <w:rPr>
          <w:rFonts w:hint="cs"/>
          <w:b/>
          <w:bCs/>
          <w:rtl/>
        </w:rPr>
        <w:t>חוק ערבויות מטעם המדינה</w:t>
      </w:r>
      <w:r w:rsidRPr="00F93E70">
        <w:rPr>
          <w:rFonts w:hint="cs"/>
          <w:rtl/>
        </w:rPr>
        <w:t>, תשי"ח-1958, סעיף 1(א)</w:t>
      </w:r>
      <w:r>
        <w:rPr>
          <w:rFonts w:hint="cs"/>
          <w:rtl/>
        </w:rPr>
        <w:t>.</w:t>
      </w:r>
    </w:p>
  </w:footnote>
  <w:footnote w:id="76">
    <w:p w14:paraId="632F9CA3" w14:textId="77777777" w:rsidR="00B10E6B" w:rsidRPr="005614EB" w:rsidRDefault="00B10E6B" w:rsidP="005614EB">
      <w:pPr>
        <w:pStyle w:val="a9"/>
        <w:rPr>
          <w:rtl/>
        </w:rPr>
      </w:pPr>
      <w:r w:rsidRPr="005614EB">
        <w:rPr>
          <w:rStyle w:val="FootnoteReference"/>
          <w:vertAlign w:val="baseline"/>
        </w:rPr>
        <w:footnoteRef/>
      </w:r>
      <w:r w:rsidRPr="005614EB">
        <w:rPr>
          <w:rtl/>
        </w:rPr>
        <w:t xml:space="preserve"> </w:t>
      </w:r>
      <w:r w:rsidRPr="005614EB">
        <w:rPr>
          <w:rtl/>
        </w:rPr>
        <w:tab/>
      </w:r>
      <w:r w:rsidRPr="005614EB">
        <w:rPr>
          <w:rFonts w:hint="cs"/>
          <w:rtl/>
        </w:rPr>
        <w:t>על פי ביאור 22 לדוחות הכספיים לשנת 2018, הכוונה למסגרת הערבויות כפי שנקבעה בכתב הערבות או יתרת הערבות שבתוקף מתוך מסגרת הערבות במועד הדוח הכספי. מסגרת הערבות אינה חורגת מהסכום שאישרה ועדת הכספים של הכנסת לאותה מטרה, על פי סעיף 2 (א) לחוק ערבויות המדינה.</w:t>
      </w:r>
    </w:p>
  </w:footnote>
  <w:footnote w:id="77">
    <w:p w14:paraId="3498FE12" w14:textId="77777777" w:rsidR="00B10E6B" w:rsidRPr="00F93E70" w:rsidRDefault="00B10E6B" w:rsidP="005614EB">
      <w:pPr>
        <w:pStyle w:val="a9"/>
        <w:rPr>
          <w:sz w:val="24"/>
          <w:szCs w:val="24"/>
        </w:rPr>
      </w:pPr>
      <w:r w:rsidRPr="005614EB">
        <w:rPr>
          <w:rStyle w:val="FootnoteReference"/>
          <w:vertAlign w:val="baseline"/>
        </w:rPr>
        <w:footnoteRef/>
      </w:r>
      <w:r w:rsidRPr="005614EB">
        <w:rPr>
          <w:rtl/>
        </w:rPr>
        <w:t xml:space="preserve"> </w:t>
      </w:r>
      <w:r w:rsidRPr="005614EB">
        <w:rPr>
          <w:rtl/>
        </w:rPr>
        <w:tab/>
      </w:r>
      <w:r w:rsidRPr="005614EB">
        <w:rPr>
          <w:rFonts w:hint="cs"/>
          <w:rtl/>
        </w:rPr>
        <w:t>על פי ביאור 22 לדוחות הכספיים לשנת 2018, הכוונה לסכום הערבות המנוצל מתוך המסגרת האפקטיבית במועד הדוח הכספי, ללא התחייבויות למתן ערבויות שניתנו ואשר עשויות להתממש, כגון אישורים עקרוניים לביטוח עסקאות</w:t>
      </w:r>
      <w:r w:rsidRPr="00F93E70">
        <w:rPr>
          <w:rFonts w:hint="cs"/>
          <w:rtl/>
        </w:rPr>
        <w:t xml:space="preserve"> סחר חוץ אשר יתממשו לפוליסות עם יציאת העסקאות לפועל.</w:t>
      </w:r>
    </w:p>
  </w:footnote>
  <w:footnote w:id="78">
    <w:p w14:paraId="6C57BEBF" w14:textId="77777777" w:rsidR="00B10E6B" w:rsidRPr="005614EB" w:rsidRDefault="00B10E6B" w:rsidP="005614EB">
      <w:pPr>
        <w:pStyle w:val="a9"/>
        <w:rPr>
          <w:rtl/>
        </w:rPr>
      </w:pPr>
      <w:r w:rsidRPr="005614EB">
        <w:rPr>
          <w:rStyle w:val="FootnoteReference"/>
          <w:vertAlign w:val="baseline"/>
        </w:rPr>
        <w:footnoteRef/>
      </w:r>
      <w:r w:rsidRPr="005614EB">
        <w:rPr>
          <w:rtl/>
        </w:rPr>
        <w:t xml:space="preserve"> </w:t>
      </w:r>
      <w:r w:rsidRPr="005614EB">
        <w:rPr>
          <w:rtl/>
        </w:rPr>
        <w:tab/>
      </w:r>
      <w:r w:rsidRPr="005614EB">
        <w:rPr>
          <w:rFonts w:hint="cs"/>
          <w:rtl/>
        </w:rPr>
        <w:t xml:space="preserve">דניאל מלצר, </w:t>
      </w:r>
      <w:r w:rsidRPr="005614EB">
        <w:rPr>
          <w:rFonts w:hint="eastAsia"/>
          <w:rtl/>
        </w:rPr>
        <w:t>מכון</w:t>
      </w:r>
      <w:r w:rsidRPr="005614EB">
        <w:rPr>
          <w:rtl/>
        </w:rPr>
        <w:t xml:space="preserve"> </w:t>
      </w:r>
      <w:r w:rsidRPr="005614EB">
        <w:rPr>
          <w:rFonts w:hint="eastAsia"/>
          <w:rtl/>
        </w:rPr>
        <w:t>ירושלים</w:t>
      </w:r>
      <w:r w:rsidRPr="005614EB">
        <w:rPr>
          <w:rtl/>
        </w:rPr>
        <w:t xml:space="preserve"> </w:t>
      </w:r>
      <w:r w:rsidRPr="005614EB">
        <w:rPr>
          <w:rFonts w:hint="eastAsia"/>
          <w:rtl/>
        </w:rPr>
        <w:t>לחקר</w:t>
      </w:r>
      <w:r w:rsidRPr="005614EB">
        <w:rPr>
          <w:rtl/>
        </w:rPr>
        <w:t xml:space="preserve"> </w:t>
      </w:r>
      <w:r w:rsidRPr="005614EB">
        <w:rPr>
          <w:rFonts w:hint="eastAsia"/>
          <w:rtl/>
        </w:rPr>
        <w:t>ישראל</w:t>
      </w:r>
      <w:r w:rsidRPr="005614EB">
        <w:rPr>
          <w:rtl/>
        </w:rPr>
        <w:t xml:space="preserve"> - </w:t>
      </w:r>
      <w:r w:rsidRPr="005614EB">
        <w:rPr>
          <w:rFonts w:hint="eastAsia"/>
          <w:rtl/>
        </w:rPr>
        <w:t>מרכז</w:t>
      </w:r>
      <w:r w:rsidRPr="005614EB">
        <w:rPr>
          <w:rtl/>
        </w:rPr>
        <w:t xml:space="preserve"> </w:t>
      </w:r>
      <w:r w:rsidRPr="005614EB">
        <w:rPr>
          <w:rFonts w:hint="eastAsia"/>
          <w:rtl/>
        </w:rPr>
        <w:t>מילקן</w:t>
      </w:r>
      <w:r w:rsidRPr="005614EB">
        <w:rPr>
          <w:rtl/>
        </w:rPr>
        <w:t xml:space="preserve"> </w:t>
      </w:r>
      <w:r w:rsidRPr="005614EB">
        <w:rPr>
          <w:rFonts w:hint="eastAsia"/>
          <w:rtl/>
        </w:rPr>
        <w:t>לחדשנות</w:t>
      </w:r>
      <w:r w:rsidRPr="005614EB">
        <w:rPr>
          <w:rFonts w:hint="cs"/>
          <w:rtl/>
        </w:rPr>
        <w:t xml:space="preserve">, </w:t>
      </w:r>
      <w:r w:rsidRPr="005614EB">
        <w:rPr>
          <w:rFonts w:hint="eastAsia"/>
          <w:rtl/>
        </w:rPr>
        <w:t>ערבויות</w:t>
      </w:r>
      <w:r w:rsidRPr="005614EB">
        <w:rPr>
          <w:rtl/>
        </w:rPr>
        <w:t xml:space="preserve"> </w:t>
      </w:r>
      <w:r w:rsidRPr="005614EB">
        <w:rPr>
          <w:rFonts w:hint="eastAsia"/>
          <w:rtl/>
        </w:rPr>
        <w:t>מדינה</w:t>
      </w:r>
      <w:r w:rsidRPr="005614EB">
        <w:rPr>
          <w:rtl/>
        </w:rPr>
        <w:t xml:space="preserve"> </w:t>
      </w:r>
      <w:r w:rsidRPr="005614EB">
        <w:rPr>
          <w:rFonts w:hint="eastAsia"/>
          <w:rtl/>
        </w:rPr>
        <w:t>בישראל</w:t>
      </w:r>
      <w:r w:rsidRPr="005614EB">
        <w:rPr>
          <w:rFonts w:hint="cs"/>
          <w:rtl/>
        </w:rPr>
        <w:t xml:space="preserve"> (2015), עמ' 1 </w:t>
      </w:r>
      <w:r w:rsidRPr="005614EB">
        <w:rPr>
          <w:rtl/>
        </w:rPr>
        <w:t>–</w:t>
      </w:r>
      <w:r w:rsidRPr="005614EB">
        <w:rPr>
          <w:rFonts w:hint="cs"/>
          <w:rtl/>
        </w:rPr>
        <w:t xml:space="preserve"> 4, 23.</w:t>
      </w:r>
    </w:p>
  </w:footnote>
  <w:footnote w:id="79">
    <w:p w14:paraId="7D3D86CA" w14:textId="3822E1D9" w:rsidR="00B10E6B" w:rsidRPr="005614EB" w:rsidRDefault="00B10E6B" w:rsidP="005614EB">
      <w:pPr>
        <w:pStyle w:val="a9"/>
        <w:rPr>
          <w:rtl/>
        </w:rPr>
      </w:pPr>
      <w:r w:rsidRPr="005614EB">
        <w:rPr>
          <w:rStyle w:val="FootnoteReference"/>
          <w:vertAlign w:val="baseline"/>
        </w:rPr>
        <w:footnoteRef/>
      </w:r>
      <w:r w:rsidRPr="005614EB">
        <w:t xml:space="preserve"> </w:t>
      </w:r>
      <w:r w:rsidRPr="005614EB">
        <w:tab/>
        <w:t>OECD, Review of Public Governance of Public-Private Partnerships in the United Kingdom</w:t>
      </w:r>
      <w:r w:rsidR="005F55B4">
        <w:rPr>
          <w:rFonts w:hint="cs"/>
          <w:rtl/>
        </w:rPr>
        <w:t xml:space="preserve">, </w:t>
      </w:r>
      <w:r w:rsidRPr="005614EB">
        <w:rPr>
          <w:rFonts w:hint="cs"/>
          <w:rtl/>
        </w:rPr>
        <w:t>עמ' 6.</w:t>
      </w:r>
    </w:p>
  </w:footnote>
  <w:footnote w:id="80">
    <w:p w14:paraId="3C68F8AE" w14:textId="77777777" w:rsidR="00B10E6B" w:rsidRPr="005614EB" w:rsidRDefault="00B10E6B" w:rsidP="005614EB">
      <w:pPr>
        <w:pStyle w:val="a9"/>
        <w:rPr>
          <w:rtl/>
        </w:rPr>
      </w:pPr>
      <w:r w:rsidRPr="005614EB">
        <w:rPr>
          <w:rStyle w:val="FootnoteReference"/>
          <w:vertAlign w:val="baseline"/>
        </w:rPr>
        <w:footnoteRef/>
      </w:r>
      <w:r w:rsidRPr="005614EB">
        <w:rPr>
          <w:rtl/>
        </w:rPr>
        <w:t xml:space="preserve"> </w:t>
      </w:r>
      <w:r w:rsidRPr="005614EB">
        <w:rPr>
          <w:rtl/>
        </w:rPr>
        <w:tab/>
      </w:r>
      <w:r w:rsidRPr="005614EB">
        <w:rPr>
          <w:rFonts w:hint="eastAsia"/>
          <w:rtl/>
        </w:rPr>
        <w:t>לדוגמ</w:t>
      </w:r>
      <w:r w:rsidRPr="005614EB">
        <w:rPr>
          <w:rFonts w:hint="cs"/>
          <w:rtl/>
        </w:rPr>
        <w:t>ה</w:t>
      </w:r>
      <w:r w:rsidRPr="005614EB">
        <w:rPr>
          <w:rtl/>
        </w:rPr>
        <w:t xml:space="preserve">, </w:t>
      </w:r>
      <w:r w:rsidRPr="005614EB">
        <w:rPr>
          <w:rFonts w:hint="eastAsia"/>
          <w:rtl/>
        </w:rPr>
        <w:t>בבריטניה</w:t>
      </w:r>
      <w:r w:rsidRPr="005614EB">
        <w:rPr>
          <w:rtl/>
        </w:rPr>
        <w:t xml:space="preserve"> </w:t>
      </w:r>
      <w:r w:rsidRPr="005614EB">
        <w:rPr>
          <w:rFonts w:hint="cs"/>
          <w:rtl/>
        </w:rPr>
        <w:t xml:space="preserve">משלבים </w:t>
      </w:r>
      <w:r w:rsidRPr="005614EB">
        <w:rPr>
          <w:rFonts w:hint="eastAsia"/>
          <w:rtl/>
        </w:rPr>
        <w:t>הון</w:t>
      </w:r>
      <w:r w:rsidRPr="005614EB">
        <w:rPr>
          <w:rtl/>
        </w:rPr>
        <w:t xml:space="preserve"> </w:t>
      </w:r>
      <w:r w:rsidRPr="005614EB">
        <w:rPr>
          <w:rFonts w:hint="eastAsia"/>
          <w:rtl/>
        </w:rPr>
        <w:t>פרטי</w:t>
      </w:r>
      <w:r w:rsidRPr="005614EB">
        <w:rPr>
          <w:rtl/>
        </w:rPr>
        <w:t xml:space="preserve"> </w:t>
      </w:r>
      <w:r w:rsidRPr="005614EB">
        <w:rPr>
          <w:rFonts w:hint="eastAsia"/>
          <w:rtl/>
        </w:rPr>
        <w:t>בפרויקטי</w:t>
      </w:r>
      <w:r w:rsidRPr="005614EB">
        <w:rPr>
          <w:rtl/>
        </w:rPr>
        <w:t xml:space="preserve"> </w:t>
      </w:r>
      <w:r w:rsidRPr="005614EB">
        <w:rPr>
          <w:rFonts w:hint="eastAsia"/>
          <w:rtl/>
        </w:rPr>
        <w:t>התשתית</w:t>
      </w:r>
      <w:r w:rsidRPr="005614EB">
        <w:rPr>
          <w:rtl/>
        </w:rPr>
        <w:t xml:space="preserve"> </w:t>
      </w:r>
      <w:r w:rsidRPr="005614EB">
        <w:rPr>
          <w:rFonts w:hint="eastAsia"/>
          <w:rtl/>
        </w:rPr>
        <w:t>רק</w:t>
      </w:r>
      <w:r w:rsidRPr="005614EB">
        <w:rPr>
          <w:rtl/>
        </w:rPr>
        <w:t xml:space="preserve"> </w:t>
      </w:r>
      <w:r w:rsidRPr="005614EB">
        <w:rPr>
          <w:rFonts w:hint="cs"/>
          <w:rtl/>
        </w:rPr>
        <w:t xml:space="preserve">אם </w:t>
      </w:r>
      <w:r w:rsidRPr="005614EB">
        <w:rPr>
          <w:rFonts w:hint="eastAsia"/>
          <w:rtl/>
        </w:rPr>
        <w:t>בדיקות</w:t>
      </w:r>
      <w:r w:rsidRPr="005614EB">
        <w:rPr>
          <w:rtl/>
        </w:rPr>
        <w:t xml:space="preserve"> </w:t>
      </w:r>
      <w:r w:rsidRPr="005614EB">
        <w:rPr>
          <w:rFonts w:hint="eastAsia"/>
          <w:rtl/>
        </w:rPr>
        <w:t>הה</w:t>
      </w:r>
      <w:r w:rsidRPr="005614EB">
        <w:rPr>
          <w:rFonts w:hint="cs"/>
          <w:rtl/>
        </w:rPr>
        <w:t>י</w:t>
      </w:r>
      <w:r w:rsidRPr="005614EB">
        <w:rPr>
          <w:rFonts w:hint="eastAsia"/>
          <w:rtl/>
        </w:rPr>
        <w:t>תכנות</w:t>
      </w:r>
      <w:r w:rsidRPr="005614EB">
        <w:rPr>
          <w:rtl/>
        </w:rPr>
        <w:t xml:space="preserve"> </w:t>
      </w:r>
      <w:r w:rsidRPr="005614EB">
        <w:rPr>
          <w:rFonts w:hint="eastAsia"/>
          <w:rtl/>
        </w:rPr>
        <w:t>צפו</w:t>
      </w:r>
      <w:r w:rsidRPr="005614EB">
        <w:rPr>
          <w:rtl/>
        </w:rPr>
        <w:t xml:space="preserve"> </w:t>
      </w:r>
      <w:r w:rsidRPr="005614EB">
        <w:rPr>
          <w:rFonts w:hint="eastAsia"/>
          <w:rtl/>
        </w:rPr>
        <w:t>שכך</w:t>
      </w:r>
      <w:r w:rsidRPr="005614EB">
        <w:rPr>
          <w:rtl/>
        </w:rPr>
        <w:t xml:space="preserve"> </w:t>
      </w:r>
      <w:r w:rsidRPr="005614EB">
        <w:rPr>
          <w:rFonts w:hint="eastAsia"/>
          <w:rtl/>
        </w:rPr>
        <w:t>תושג</w:t>
      </w:r>
      <w:r w:rsidRPr="005614EB">
        <w:rPr>
          <w:rtl/>
        </w:rPr>
        <w:t xml:space="preserve"> </w:t>
      </w:r>
      <w:r w:rsidRPr="005614EB">
        <w:rPr>
          <w:rFonts w:hint="eastAsia"/>
          <w:rtl/>
        </w:rPr>
        <w:t>תועלת</w:t>
      </w:r>
      <w:r w:rsidRPr="005614EB">
        <w:rPr>
          <w:rtl/>
        </w:rPr>
        <w:t xml:space="preserve"> </w:t>
      </w:r>
      <w:r w:rsidRPr="005614EB">
        <w:rPr>
          <w:rFonts w:hint="eastAsia"/>
          <w:rtl/>
        </w:rPr>
        <w:t>גבוהה</w:t>
      </w:r>
      <w:r w:rsidRPr="005614EB">
        <w:rPr>
          <w:rtl/>
        </w:rPr>
        <w:t xml:space="preserve"> </w:t>
      </w:r>
      <w:r w:rsidRPr="005614EB">
        <w:rPr>
          <w:rFonts w:hint="eastAsia"/>
          <w:rtl/>
        </w:rPr>
        <w:t>יותר</w:t>
      </w:r>
      <w:r w:rsidRPr="005614EB">
        <w:rPr>
          <w:rtl/>
        </w:rPr>
        <w:t xml:space="preserve"> </w:t>
      </w:r>
      <w:r w:rsidRPr="005614EB">
        <w:rPr>
          <w:rFonts w:hint="eastAsia"/>
          <w:rtl/>
        </w:rPr>
        <w:t>ביחס</w:t>
      </w:r>
      <w:r w:rsidRPr="005614EB">
        <w:rPr>
          <w:rtl/>
        </w:rPr>
        <w:t xml:space="preserve"> </w:t>
      </w:r>
      <w:r w:rsidRPr="005614EB">
        <w:rPr>
          <w:rFonts w:hint="eastAsia"/>
          <w:rtl/>
        </w:rPr>
        <w:t>לחלופות</w:t>
      </w:r>
      <w:r w:rsidRPr="005614EB">
        <w:rPr>
          <w:rtl/>
        </w:rPr>
        <w:t xml:space="preserve"> </w:t>
      </w:r>
      <w:r w:rsidRPr="005614EB">
        <w:rPr>
          <w:rFonts w:hint="eastAsia"/>
          <w:rtl/>
        </w:rPr>
        <w:t>ביצוע</w:t>
      </w:r>
      <w:r w:rsidRPr="005614EB">
        <w:rPr>
          <w:rtl/>
        </w:rPr>
        <w:t xml:space="preserve"> </w:t>
      </w:r>
      <w:r w:rsidRPr="005614EB">
        <w:rPr>
          <w:rFonts w:hint="eastAsia"/>
          <w:rtl/>
        </w:rPr>
        <w:t>אחרות</w:t>
      </w:r>
      <w:r w:rsidRPr="005614EB">
        <w:rPr>
          <w:rtl/>
        </w:rPr>
        <w:t>.</w:t>
      </w:r>
      <w:r w:rsidRPr="005614EB">
        <w:rPr>
          <w:rFonts w:hint="cs"/>
          <w:rtl/>
        </w:rPr>
        <w:t xml:space="preserve"> </w:t>
      </w:r>
    </w:p>
    <w:p w14:paraId="22190A72" w14:textId="3B8DD8A8" w:rsidR="00B10E6B" w:rsidRPr="005614EB" w:rsidRDefault="00B10E6B" w:rsidP="005614EB">
      <w:pPr>
        <w:pStyle w:val="a9"/>
        <w:ind w:firstLine="0"/>
        <w:rPr>
          <w:rtl/>
        </w:rPr>
      </w:pPr>
      <w:r w:rsidRPr="005614EB">
        <w:rPr>
          <w:rFonts w:hint="eastAsia"/>
          <w:rtl/>
        </w:rPr>
        <w:t>רא</w:t>
      </w:r>
      <w:r w:rsidRPr="005614EB">
        <w:rPr>
          <w:rFonts w:hint="cs"/>
          <w:rtl/>
        </w:rPr>
        <w:t>ו:</w:t>
      </w:r>
      <w:r w:rsidRPr="009A1930">
        <w:rPr>
          <w:spacing w:val="-42"/>
        </w:rPr>
        <w:t xml:space="preserve"> </w:t>
      </w:r>
      <w:r w:rsidRPr="005614EB">
        <w:t>OECD, Review of Public Governance of Public-Private Partnerships in the United Kingdom</w:t>
      </w:r>
      <w:r>
        <w:t xml:space="preserve"> </w:t>
      </w:r>
      <w:r w:rsidR="009A1930">
        <w:rPr>
          <w:rFonts w:hint="cs"/>
          <w:rtl/>
        </w:rPr>
        <w:t xml:space="preserve">, </w:t>
      </w:r>
      <w:r w:rsidRPr="005614EB">
        <w:rPr>
          <w:rFonts w:hint="cs"/>
          <w:rtl/>
        </w:rPr>
        <w:t>עמ</w:t>
      </w:r>
      <w:r w:rsidRPr="005614EB">
        <w:rPr>
          <w:rtl/>
        </w:rPr>
        <w:t>'</w:t>
      </w:r>
      <w:r w:rsidRPr="005614EB">
        <w:rPr>
          <w:rFonts w:hint="cs"/>
          <w:rtl/>
        </w:rPr>
        <w:t xml:space="preserve"> 41.</w:t>
      </w:r>
      <w:r w:rsidRPr="005614EB">
        <w:rPr>
          <w:rtl/>
        </w:rPr>
        <w:tab/>
      </w:r>
    </w:p>
  </w:footnote>
  <w:footnote w:id="81">
    <w:p w14:paraId="35B28C16" w14:textId="77777777" w:rsidR="00B10E6B" w:rsidRPr="005614EB" w:rsidRDefault="00B10E6B" w:rsidP="005614EB">
      <w:pPr>
        <w:pStyle w:val="a9"/>
        <w:rPr>
          <w:rtl/>
        </w:rPr>
      </w:pPr>
      <w:r w:rsidRPr="005614EB">
        <w:rPr>
          <w:rStyle w:val="FootnoteReference"/>
          <w:vertAlign w:val="baseline"/>
        </w:rPr>
        <w:footnoteRef/>
      </w:r>
      <w:r w:rsidRPr="005614EB">
        <w:rPr>
          <w:rtl/>
        </w:rPr>
        <w:t xml:space="preserve"> </w:t>
      </w:r>
      <w:r w:rsidRPr="005614EB">
        <w:rPr>
          <w:rtl/>
        </w:rPr>
        <w:tab/>
      </w:r>
      <w:r w:rsidRPr="005614EB">
        <w:rPr>
          <w:rFonts w:hint="cs"/>
          <w:rtl/>
        </w:rPr>
        <w:t xml:space="preserve">ראו: </w:t>
      </w:r>
      <w:r w:rsidRPr="005614EB">
        <w:t>Review of the VFM Assessment Process for PFI</w:t>
      </w:r>
      <w:r w:rsidRPr="005614EB">
        <w:rPr>
          <w:rFonts w:hint="cs"/>
          <w:rtl/>
        </w:rPr>
        <w:t xml:space="preserve">, </w:t>
      </w:r>
      <w:r w:rsidRPr="005614EB">
        <w:t>The National Audit Office</w:t>
      </w:r>
      <w:r w:rsidRPr="005614EB">
        <w:rPr>
          <w:rFonts w:hint="cs"/>
          <w:rtl/>
        </w:rPr>
        <w:t>, עמ</w:t>
      </w:r>
      <w:r w:rsidRPr="005614EB">
        <w:rPr>
          <w:rtl/>
        </w:rPr>
        <w:t>'</w:t>
      </w:r>
      <w:r w:rsidRPr="005614EB">
        <w:rPr>
          <w:rFonts w:hint="cs"/>
          <w:rtl/>
        </w:rPr>
        <w:t xml:space="preserve"> 6.</w:t>
      </w:r>
    </w:p>
  </w:footnote>
  <w:footnote w:id="82">
    <w:p w14:paraId="1DB4E536" w14:textId="51E8B615" w:rsidR="00B10E6B" w:rsidRPr="005614EB" w:rsidRDefault="00B10E6B" w:rsidP="005614EB">
      <w:pPr>
        <w:pStyle w:val="a9"/>
        <w:rPr>
          <w:rtl/>
        </w:rPr>
      </w:pPr>
      <w:r w:rsidRPr="005614EB">
        <w:rPr>
          <w:rStyle w:val="FootnoteReference"/>
          <w:vertAlign w:val="baseline"/>
        </w:rPr>
        <w:footnoteRef/>
      </w:r>
      <w:r w:rsidRPr="005614EB">
        <w:rPr>
          <w:rtl/>
        </w:rPr>
        <w:t xml:space="preserve"> </w:t>
      </w:r>
      <w:r w:rsidRPr="005614EB">
        <w:rPr>
          <w:rtl/>
        </w:rPr>
        <w:tab/>
      </w:r>
      <w:r w:rsidRPr="005614EB">
        <w:t>OECD, Review of Public Governance of Public-Private Partnerships in the United Kingdom</w:t>
      </w:r>
      <w:r w:rsidR="00387B78">
        <w:rPr>
          <w:rFonts w:hint="cs"/>
          <w:rtl/>
        </w:rPr>
        <w:t xml:space="preserve">, </w:t>
      </w:r>
      <w:r w:rsidRPr="005614EB">
        <w:rPr>
          <w:rFonts w:hint="cs"/>
          <w:rtl/>
        </w:rPr>
        <w:t>עמ' 41.</w:t>
      </w:r>
    </w:p>
  </w:footnote>
  <w:footnote w:id="83">
    <w:p w14:paraId="3FCA0B74" w14:textId="77777777" w:rsidR="00B10E6B" w:rsidRDefault="00B10E6B" w:rsidP="005614EB">
      <w:pPr>
        <w:pStyle w:val="a9"/>
      </w:pPr>
      <w:r w:rsidRPr="00880008">
        <w:footnoteRef/>
      </w:r>
      <w:r w:rsidRPr="00880008">
        <w:rPr>
          <w:rtl/>
        </w:rPr>
        <w:t xml:space="preserve"> </w:t>
      </w:r>
      <w:r w:rsidRPr="00880008">
        <w:rPr>
          <w:rtl/>
        </w:rPr>
        <w:tab/>
      </w:r>
      <w:r w:rsidRPr="00880008">
        <w:rPr>
          <w:rFonts w:hint="cs"/>
          <w:rtl/>
        </w:rPr>
        <w:t>על פי</w:t>
      </w:r>
      <w:r w:rsidRPr="00CD1D1D">
        <w:rPr>
          <w:rFonts w:hint="cs"/>
          <w:rtl/>
        </w:rPr>
        <w:t xml:space="preserve"> החלטת הממשלה</w:t>
      </w:r>
      <w:r>
        <w:rPr>
          <w:rFonts w:hint="cs"/>
          <w:rtl/>
        </w:rPr>
        <w:t>,</w:t>
      </w:r>
      <w:r w:rsidRPr="00CD1D1D">
        <w:rPr>
          <w:rFonts w:hint="cs"/>
          <w:rtl/>
        </w:rPr>
        <w:t xml:space="preserve"> פרויקט תשתיות לעניין זה הו</w:t>
      </w:r>
      <w:r>
        <w:rPr>
          <w:rFonts w:hint="cs"/>
          <w:rtl/>
        </w:rPr>
        <w:t>א</w:t>
      </w:r>
      <w:r w:rsidRPr="00CD1D1D">
        <w:rPr>
          <w:rFonts w:hint="cs"/>
          <w:rtl/>
        </w:rPr>
        <w:t xml:space="preserve"> כל פרויקט פיתוח פיזי בביצוע של משרדי הממשלה, </w:t>
      </w:r>
      <w:r>
        <w:rPr>
          <w:rFonts w:hint="cs"/>
          <w:rtl/>
        </w:rPr>
        <w:t xml:space="preserve">של </w:t>
      </w:r>
      <w:r w:rsidRPr="00CD1D1D">
        <w:rPr>
          <w:rFonts w:hint="cs"/>
          <w:rtl/>
        </w:rPr>
        <w:t>יחידות הסמך ו</w:t>
      </w:r>
      <w:r>
        <w:rPr>
          <w:rFonts w:hint="cs"/>
          <w:rtl/>
        </w:rPr>
        <w:t xml:space="preserve">של </w:t>
      </w:r>
      <w:r w:rsidRPr="00CD1D1D">
        <w:rPr>
          <w:rFonts w:hint="cs"/>
          <w:rtl/>
        </w:rPr>
        <w:t>החברות הממשלתיות</w:t>
      </w:r>
      <w:r>
        <w:rPr>
          <w:rFonts w:hint="cs"/>
          <w:rtl/>
        </w:rPr>
        <w:t>, ב</w:t>
      </w:r>
      <w:r w:rsidRPr="00CD1D1D">
        <w:rPr>
          <w:rFonts w:hint="cs"/>
          <w:rtl/>
        </w:rPr>
        <w:t>תקצוב</w:t>
      </w:r>
      <w:r>
        <w:rPr>
          <w:rFonts w:hint="cs"/>
          <w:rtl/>
        </w:rPr>
        <w:t>ם</w:t>
      </w:r>
      <w:r w:rsidRPr="00CD1D1D">
        <w:rPr>
          <w:rFonts w:hint="cs"/>
          <w:rtl/>
        </w:rPr>
        <w:t xml:space="preserve"> או באישור</w:t>
      </w:r>
      <w:r>
        <w:rPr>
          <w:rFonts w:hint="cs"/>
          <w:rtl/>
        </w:rPr>
        <w:t>ם.</w:t>
      </w:r>
    </w:p>
  </w:footnote>
  <w:footnote w:id="84">
    <w:p w14:paraId="45263BE1" w14:textId="77777777" w:rsidR="00B10E6B" w:rsidRDefault="00B10E6B" w:rsidP="005614EB">
      <w:pPr>
        <w:pStyle w:val="a9"/>
        <w:rPr>
          <w:rtl/>
        </w:rPr>
      </w:pPr>
      <w:r w:rsidRPr="00880008">
        <w:footnoteRef/>
      </w:r>
      <w:r w:rsidRPr="00880008">
        <w:rPr>
          <w:rtl/>
        </w:rPr>
        <w:t xml:space="preserve"> </w:t>
      </w:r>
      <w:r w:rsidRPr="00880008">
        <w:rPr>
          <w:rtl/>
        </w:rPr>
        <w:tab/>
      </w:r>
      <w:r w:rsidRPr="00880008">
        <w:rPr>
          <w:rFonts w:hint="cs"/>
          <w:rtl/>
        </w:rPr>
        <w:t>הפגי</w:t>
      </w:r>
      <w:r>
        <w:rPr>
          <w:rFonts w:hint="cs"/>
          <w:rtl/>
        </w:rPr>
        <w:t xml:space="preserve">עה האפשרית ביכולת המבצעית ודרישת הסודיות נחוצה לעיתים בפרויקטים של משרד הביטחון בעיקר. </w:t>
      </w:r>
    </w:p>
  </w:footnote>
  <w:footnote w:id="85">
    <w:p w14:paraId="66D3FF4D" w14:textId="77777777" w:rsidR="00B10E6B" w:rsidRPr="00B656EA" w:rsidRDefault="00B10E6B" w:rsidP="00B656EA">
      <w:pPr>
        <w:pStyle w:val="a9"/>
      </w:pPr>
      <w:r w:rsidRPr="00B656EA">
        <w:rPr>
          <w:rStyle w:val="FootnoteReference"/>
          <w:vertAlign w:val="baseline"/>
        </w:rPr>
        <w:footnoteRef/>
      </w:r>
      <w:r w:rsidRPr="00B656EA">
        <w:rPr>
          <w:rtl/>
        </w:rPr>
        <w:t xml:space="preserve"> </w:t>
      </w:r>
      <w:r w:rsidRPr="00B656EA">
        <w:rPr>
          <w:rtl/>
        </w:rPr>
        <w:tab/>
      </w:r>
      <w:r w:rsidRPr="00B656EA">
        <w:rPr>
          <w:rFonts w:hint="cs"/>
          <w:rtl/>
        </w:rPr>
        <w:t>בעיקרם פרויקטים בתחום התחבורה, בהם הנתיב המהיר לתל-אביב וכביש 431.</w:t>
      </w:r>
    </w:p>
  </w:footnote>
  <w:footnote w:id="86">
    <w:p w14:paraId="6DF621A2" w14:textId="77777777" w:rsidR="00B10E6B" w:rsidRPr="00B656EA" w:rsidRDefault="00B10E6B" w:rsidP="00B656EA">
      <w:pPr>
        <w:pStyle w:val="a9"/>
        <w:rPr>
          <w:rtl/>
        </w:rPr>
      </w:pPr>
      <w:r w:rsidRPr="00B656EA">
        <w:rPr>
          <w:rStyle w:val="FootnoteReference"/>
          <w:vertAlign w:val="baseline"/>
        </w:rPr>
        <w:footnoteRef/>
      </w:r>
      <w:r w:rsidRPr="00B656EA">
        <w:rPr>
          <w:rtl/>
        </w:rPr>
        <w:t xml:space="preserve"> </w:t>
      </w:r>
      <w:r w:rsidRPr="00B656EA">
        <w:rPr>
          <w:rtl/>
        </w:rPr>
        <w:tab/>
      </w:r>
      <w:r w:rsidRPr="00B656EA">
        <w:rPr>
          <w:rFonts w:hint="cs"/>
          <w:rtl/>
        </w:rPr>
        <w:t>בעיקרם פרויקטים של מינהלת הבינוי, בהם קריות הממשלה בעפולה ובנתניה.</w:t>
      </w:r>
    </w:p>
  </w:footnote>
  <w:footnote w:id="87">
    <w:p w14:paraId="16753CF0" w14:textId="77777777" w:rsidR="00B10E6B" w:rsidRPr="00B656EA" w:rsidRDefault="00B10E6B" w:rsidP="00B656EA">
      <w:pPr>
        <w:pStyle w:val="a9"/>
        <w:rPr>
          <w:rtl/>
        </w:rPr>
      </w:pPr>
      <w:r w:rsidRPr="00B656EA">
        <w:rPr>
          <w:rStyle w:val="FootnoteReference"/>
          <w:vertAlign w:val="baseline"/>
        </w:rPr>
        <w:footnoteRef/>
      </w:r>
      <w:r w:rsidRPr="00B656EA">
        <w:rPr>
          <w:rtl/>
        </w:rPr>
        <w:t xml:space="preserve"> </w:t>
      </w:r>
      <w:r w:rsidRPr="00B656EA">
        <w:rPr>
          <w:rtl/>
        </w:rPr>
        <w:tab/>
      </w:r>
      <w:r w:rsidRPr="00B656EA">
        <w:rPr>
          <w:rFonts w:hint="cs"/>
          <w:rtl/>
        </w:rPr>
        <w:t>שירותי התמיכה השוטפים הנדרשים להפעלת נכס שאינם בבסיס ההתקשרות, בהם ניקיון, אבטחה, הסעדה, כביסה ודיוור. ראו תת-פרק "הכללת שירותים רכים בהסכמי הזיכיון".</w:t>
      </w:r>
    </w:p>
  </w:footnote>
  <w:footnote w:id="88">
    <w:p w14:paraId="2AAF8B0C" w14:textId="77777777" w:rsidR="00B10E6B" w:rsidRDefault="00B10E6B" w:rsidP="00B656EA">
      <w:pPr>
        <w:pStyle w:val="a9"/>
        <w:rPr>
          <w:rtl/>
        </w:rPr>
      </w:pPr>
      <w:r w:rsidRPr="00B656EA">
        <w:rPr>
          <w:rStyle w:val="FootnoteReference"/>
          <w:vertAlign w:val="baseline"/>
        </w:rPr>
        <w:footnoteRef/>
      </w:r>
      <w:r w:rsidRPr="00B656EA">
        <w:rPr>
          <w:rtl/>
        </w:rPr>
        <w:t xml:space="preserve"> </w:t>
      </w:r>
      <w:r w:rsidRPr="00B656EA">
        <w:rPr>
          <w:rtl/>
        </w:rPr>
        <w:tab/>
      </w:r>
      <w:r w:rsidRPr="00B656EA">
        <w:rPr>
          <w:rFonts w:hint="cs"/>
          <w:rtl/>
        </w:rPr>
        <w:t>ראו אתר</w:t>
      </w:r>
      <w:r w:rsidRPr="00140130">
        <w:rPr>
          <w:rFonts w:hint="cs"/>
          <w:rtl/>
        </w:rPr>
        <w:t xml:space="preserve"> אגף החשב הכללי - חטיבת תשתיות ופרויקטים, "אודות חטיבת תשתיות ופרויקטים"</w:t>
      </w:r>
    </w:p>
    <w:p w14:paraId="2B760641" w14:textId="6C84C6BA" w:rsidR="00B10E6B" w:rsidRPr="00140130" w:rsidRDefault="00DF00E9" w:rsidP="00B656EA">
      <w:pPr>
        <w:pStyle w:val="a9"/>
        <w:ind w:firstLine="0"/>
        <w:rPr>
          <w:rtl/>
        </w:rPr>
      </w:pPr>
      <w:hyperlink r:id="rId8" w:history="1">
        <w:r w:rsidR="00B10E6B" w:rsidRPr="007F292C">
          <w:rPr>
            <w:rStyle w:val="Hyperlink"/>
          </w:rPr>
          <w:t>https://mof.gov.il/AG/About/DivisionsAG/Pages/AboutPPPProjects.aspx</w:t>
        </w:r>
      </w:hyperlink>
      <w:r w:rsidR="00B10E6B">
        <w:tab/>
      </w:r>
      <w:r w:rsidR="00B10E6B">
        <w:tab/>
      </w:r>
    </w:p>
  </w:footnote>
  <w:footnote w:id="89">
    <w:p w14:paraId="69DABC9C" w14:textId="77777777" w:rsidR="00B10E6B" w:rsidRPr="00E673B4" w:rsidRDefault="00B10E6B" w:rsidP="00B656EA">
      <w:pPr>
        <w:pStyle w:val="a9"/>
        <w:rPr>
          <w:rtl/>
        </w:rPr>
      </w:pPr>
      <w:r w:rsidRPr="00B656EA">
        <w:footnoteRef/>
      </w:r>
      <w:r w:rsidRPr="00B656EA">
        <w:rPr>
          <w:rtl/>
        </w:rPr>
        <w:t xml:space="preserve"> </w:t>
      </w:r>
      <w:r w:rsidRPr="00B656EA">
        <w:rPr>
          <w:rtl/>
        </w:rPr>
        <w:tab/>
      </w:r>
      <w:r w:rsidRPr="00B656EA">
        <w:rPr>
          <w:rFonts w:hint="eastAsia"/>
          <w:rtl/>
        </w:rPr>
        <w:t>ענבל</w:t>
      </w:r>
      <w:r w:rsidRPr="00B656EA">
        <w:rPr>
          <w:rtl/>
        </w:rPr>
        <w:t xml:space="preserve"> </w:t>
      </w:r>
      <w:r w:rsidRPr="00B656EA">
        <w:rPr>
          <w:rFonts w:hint="eastAsia"/>
          <w:rtl/>
        </w:rPr>
        <w:t>חברה</w:t>
      </w:r>
      <w:r w:rsidRPr="002F164A">
        <w:rPr>
          <w:rtl/>
        </w:rPr>
        <w:t xml:space="preserve"> </w:t>
      </w:r>
      <w:r w:rsidRPr="002F164A">
        <w:rPr>
          <w:rFonts w:hint="eastAsia"/>
          <w:rtl/>
        </w:rPr>
        <w:t>לביטוח</w:t>
      </w:r>
      <w:r w:rsidRPr="002F164A">
        <w:rPr>
          <w:rtl/>
        </w:rPr>
        <w:t xml:space="preserve"> </w:t>
      </w:r>
      <w:r w:rsidRPr="002F164A">
        <w:rPr>
          <w:rFonts w:hint="eastAsia"/>
          <w:rtl/>
        </w:rPr>
        <w:t>בע</w:t>
      </w:r>
      <w:r w:rsidRPr="002F164A">
        <w:rPr>
          <w:rtl/>
        </w:rPr>
        <w:t>"מ</w:t>
      </w:r>
      <w:r w:rsidRPr="00E673B4">
        <w:rPr>
          <w:rFonts w:hint="cs"/>
          <w:rtl/>
        </w:rPr>
        <w:t>, הנחיות עבודה</w:t>
      </w:r>
      <w:r>
        <w:rPr>
          <w:rFonts w:hint="cs"/>
          <w:rtl/>
        </w:rPr>
        <w:t>,</w:t>
      </w:r>
      <w:r w:rsidRPr="00E673B4">
        <w:rPr>
          <w:rFonts w:hint="cs"/>
          <w:rtl/>
        </w:rPr>
        <w:t xml:space="preserve"> </w:t>
      </w:r>
      <w:r w:rsidRPr="00C937C3">
        <w:rPr>
          <w:rFonts w:hint="eastAsia"/>
          <w:rtl/>
        </w:rPr>
        <w:t>הנחיות</w:t>
      </w:r>
      <w:r w:rsidRPr="00C937C3">
        <w:rPr>
          <w:rtl/>
        </w:rPr>
        <w:t xml:space="preserve"> </w:t>
      </w:r>
      <w:r w:rsidRPr="00C937C3">
        <w:rPr>
          <w:rFonts w:hint="eastAsia"/>
          <w:rtl/>
        </w:rPr>
        <w:t>לביצוע</w:t>
      </w:r>
      <w:r w:rsidRPr="00C937C3">
        <w:rPr>
          <w:rtl/>
        </w:rPr>
        <w:t xml:space="preserve"> </w:t>
      </w:r>
      <w:r w:rsidRPr="00C937C3">
        <w:rPr>
          <w:rFonts w:hint="eastAsia"/>
          <w:rtl/>
        </w:rPr>
        <w:t>בדיקות</w:t>
      </w:r>
      <w:r w:rsidRPr="00C937C3">
        <w:rPr>
          <w:rtl/>
        </w:rPr>
        <w:t xml:space="preserve"> </w:t>
      </w:r>
      <w:r w:rsidRPr="00C937C3">
        <w:rPr>
          <w:rFonts w:hint="eastAsia"/>
          <w:rtl/>
        </w:rPr>
        <w:t>התאמה</w:t>
      </w:r>
      <w:r w:rsidRPr="00C937C3">
        <w:rPr>
          <w:rtl/>
        </w:rPr>
        <w:t xml:space="preserve"> </w:t>
      </w:r>
      <w:r w:rsidRPr="00C937C3">
        <w:rPr>
          <w:rFonts w:hint="eastAsia"/>
          <w:rtl/>
        </w:rPr>
        <w:t>ל</w:t>
      </w:r>
      <w:r w:rsidRPr="00C937C3">
        <w:rPr>
          <w:rtl/>
        </w:rPr>
        <w:t>-</w:t>
      </w:r>
      <w:r w:rsidRPr="00C937C3">
        <w:t>PPP</w:t>
      </w:r>
      <w:r w:rsidRPr="00E673B4">
        <w:rPr>
          <w:rFonts w:hint="cs"/>
          <w:rtl/>
        </w:rPr>
        <w:t xml:space="preserve"> מיום 4.3.2015</w:t>
      </w:r>
      <w:r>
        <w:rPr>
          <w:rFonts w:hint="cs"/>
          <w:rtl/>
        </w:rPr>
        <w:t>.</w:t>
      </w:r>
    </w:p>
  </w:footnote>
  <w:footnote w:id="90">
    <w:p w14:paraId="07829414" w14:textId="77777777" w:rsidR="00B10E6B" w:rsidRPr="00CE7F3A" w:rsidRDefault="00B10E6B" w:rsidP="00CE7F3A">
      <w:pPr>
        <w:pStyle w:val="a9"/>
        <w:rPr>
          <w:rtl/>
        </w:rPr>
      </w:pPr>
      <w:r w:rsidRPr="00CE7F3A">
        <w:rPr>
          <w:rStyle w:val="FootnoteReference"/>
          <w:vertAlign w:val="baseline"/>
        </w:rPr>
        <w:footnoteRef/>
      </w:r>
      <w:r w:rsidRPr="00CE7F3A">
        <w:rPr>
          <w:rtl/>
        </w:rPr>
        <w:t xml:space="preserve"> </w:t>
      </w:r>
      <w:r w:rsidRPr="00CE7F3A">
        <w:rPr>
          <w:rtl/>
        </w:rPr>
        <w:tab/>
      </w:r>
      <w:r w:rsidRPr="00CE7F3A">
        <w:rPr>
          <w:rFonts w:hint="cs"/>
          <w:rtl/>
        </w:rPr>
        <w:t xml:space="preserve">ראו האתר של אגף החשב הכללי, נכסי המדינה, "הבינוי הממשלתי". </w:t>
      </w:r>
    </w:p>
  </w:footnote>
  <w:footnote w:id="91">
    <w:p w14:paraId="377769DB" w14:textId="77777777" w:rsidR="00B10E6B" w:rsidRPr="00CE7F3A" w:rsidRDefault="00B10E6B" w:rsidP="00CE7F3A">
      <w:pPr>
        <w:pStyle w:val="a9"/>
        <w:rPr>
          <w:rtl/>
        </w:rPr>
      </w:pPr>
      <w:r w:rsidRPr="00CE7F3A">
        <w:rPr>
          <w:rStyle w:val="FootnoteReference"/>
          <w:vertAlign w:val="baseline"/>
        </w:rPr>
        <w:footnoteRef/>
      </w:r>
      <w:r w:rsidRPr="00CE7F3A">
        <w:rPr>
          <w:rtl/>
        </w:rPr>
        <w:t xml:space="preserve"> </w:t>
      </w:r>
      <w:r w:rsidRPr="00CE7F3A">
        <w:rPr>
          <w:rtl/>
        </w:rPr>
        <w:tab/>
      </w:r>
      <w:r w:rsidRPr="00CE7F3A">
        <w:rPr>
          <w:rFonts w:hint="cs"/>
          <w:rtl/>
        </w:rPr>
        <w:t>ובכלל זה נתונים על השטח, צורכי החניה, מבנה ההתקשרות ומדיניות המחירים - לצד עלויות העסקה המוערכות וניתוחי רגישות עבור מענק ההקמה ועלות ההקמה.</w:t>
      </w:r>
    </w:p>
  </w:footnote>
  <w:footnote w:id="92">
    <w:p w14:paraId="7B24BEF0" w14:textId="2C0A45EB" w:rsidR="00B10E6B" w:rsidRPr="00B80F6C" w:rsidRDefault="00B10E6B" w:rsidP="00CE7F3A">
      <w:pPr>
        <w:pStyle w:val="a9"/>
      </w:pPr>
      <w:r w:rsidRPr="00CE7F3A">
        <w:rPr>
          <w:rStyle w:val="FootnoteReference"/>
          <w:vertAlign w:val="baseline"/>
        </w:rPr>
        <w:footnoteRef/>
      </w:r>
      <w:r w:rsidRPr="00CE7F3A">
        <w:rPr>
          <w:rtl/>
        </w:rPr>
        <w:t xml:space="preserve"> </w:t>
      </w:r>
      <w:r w:rsidRPr="00CE7F3A">
        <w:rPr>
          <w:rtl/>
        </w:rPr>
        <w:tab/>
      </w:r>
      <w:r w:rsidRPr="00CE7F3A">
        <w:rPr>
          <w:rFonts w:hint="eastAsia"/>
          <w:rtl/>
        </w:rPr>
        <w:t>החלטת</w:t>
      </w:r>
      <w:r w:rsidRPr="00CE7F3A">
        <w:rPr>
          <w:rtl/>
        </w:rPr>
        <w:t xml:space="preserve"> </w:t>
      </w:r>
      <w:r w:rsidRPr="00CE7F3A">
        <w:rPr>
          <w:rFonts w:hint="eastAsia"/>
          <w:rtl/>
        </w:rPr>
        <w:t>הממשלה</w:t>
      </w:r>
      <w:r w:rsidRPr="00E73296">
        <w:rPr>
          <w:rtl/>
        </w:rPr>
        <w:t xml:space="preserve"> 2390</w:t>
      </w:r>
      <w:r w:rsidRPr="00B80F6C">
        <w:rPr>
          <w:rFonts w:hint="cs"/>
          <w:rtl/>
        </w:rPr>
        <w:t>, "מדיניות להגדלת כושר הייצור ולצמצום הביקושים במשק החשמל" (23.9.07)</w:t>
      </w:r>
      <w:r w:rsidR="007B6223">
        <w:rPr>
          <w:rFonts w:hint="cs"/>
          <w:rtl/>
        </w:rPr>
        <w:t>.</w:t>
      </w:r>
    </w:p>
  </w:footnote>
  <w:footnote w:id="93">
    <w:p w14:paraId="4BBDE8DC" w14:textId="77777777" w:rsidR="00B10E6B" w:rsidRPr="00CE7F3A" w:rsidRDefault="00B10E6B" w:rsidP="00CE7F3A">
      <w:pPr>
        <w:pStyle w:val="a9"/>
      </w:pPr>
      <w:r w:rsidRPr="00CE7F3A">
        <w:rPr>
          <w:rStyle w:val="FootnoteReference"/>
          <w:vertAlign w:val="baseline"/>
        </w:rPr>
        <w:footnoteRef/>
      </w:r>
      <w:r w:rsidRPr="00CE7F3A">
        <w:rPr>
          <w:rtl/>
        </w:rPr>
        <w:t xml:space="preserve"> </w:t>
      </w:r>
      <w:r w:rsidRPr="00CE7F3A">
        <w:rPr>
          <w:rtl/>
        </w:rPr>
        <w:tab/>
      </w:r>
      <w:r w:rsidRPr="00CE7F3A">
        <w:rPr>
          <w:rFonts w:hint="eastAsia"/>
          <w:rtl/>
        </w:rPr>
        <w:t>החלטת</w:t>
      </w:r>
      <w:r w:rsidRPr="00CE7F3A">
        <w:rPr>
          <w:rtl/>
        </w:rPr>
        <w:t xml:space="preserve"> </w:t>
      </w:r>
      <w:r w:rsidRPr="00CE7F3A">
        <w:rPr>
          <w:rFonts w:hint="eastAsia"/>
          <w:rtl/>
        </w:rPr>
        <w:t>הממשלה</w:t>
      </w:r>
      <w:r w:rsidRPr="00CE7F3A">
        <w:rPr>
          <w:rtl/>
        </w:rPr>
        <w:t xml:space="preserve"> 3533,</w:t>
      </w:r>
      <w:r w:rsidRPr="00CE7F3A">
        <w:rPr>
          <w:rFonts w:hint="cs"/>
          <w:rtl/>
        </w:rPr>
        <w:t xml:space="preserve"> "סקירה בנושא משק המים בישראל ותכנית חירום להתמודדות עם המשבר הקשה במים" (1.6.08).</w:t>
      </w:r>
    </w:p>
  </w:footnote>
  <w:footnote w:id="94">
    <w:p w14:paraId="4F9B1A82" w14:textId="77777777" w:rsidR="00B10E6B" w:rsidRPr="00CE7F3A" w:rsidRDefault="00B10E6B" w:rsidP="00CE7F3A">
      <w:pPr>
        <w:pStyle w:val="a9"/>
        <w:rPr>
          <w:rtl/>
        </w:rPr>
      </w:pPr>
      <w:r w:rsidRPr="00CE7F3A">
        <w:rPr>
          <w:rStyle w:val="FootnoteReference"/>
          <w:vertAlign w:val="baseline"/>
        </w:rPr>
        <w:footnoteRef/>
      </w:r>
      <w:r w:rsidRPr="00CE7F3A">
        <w:rPr>
          <w:rtl/>
        </w:rPr>
        <w:t xml:space="preserve"> </w:t>
      </w:r>
      <w:r w:rsidRPr="00CE7F3A">
        <w:rPr>
          <w:rtl/>
        </w:rPr>
        <w:tab/>
      </w:r>
      <w:r w:rsidRPr="00CE7F3A">
        <w:rPr>
          <w:rFonts w:hint="eastAsia"/>
          <w:rtl/>
        </w:rPr>
        <w:t>החלטת</w:t>
      </w:r>
      <w:r w:rsidRPr="00CE7F3A">
        <w:rPr>
          <w:rtl/>
        </w:rPr>
        <w:t xml:space="preserve"> </w:t>
      </w:r>
      <w:r w:rsidRPr="00CE7F3A">
        <w:rPr>
          <w:rFonts w:hint="eastAsia"/>
          <w:rtl/>
        </w:rPr>
        <w:t>הממשלה</w:t>
      </w:r>
      <w:r w:rsidRPr="00CE7F3A">
        <w:rPr>
          <w:rtl/>
        </w:rPr>
        <w:t xml:space="preserve"> 3866</w:t>
      </w:r>
      <w:r w:rsidRPr="00CE7F3A">
        <w:rPr>
          <w:rFonts w:hint="cs"/>
          <w:rtl/>
        </w:rPr>
        <w:t>, "תוכנית אסטרטגית להתמודדות עם תקופת בצורת במשק המים בשנים 2019 - 2030" (10.6.18).</w:t>
      </w:r>
    </w:p>
  </w:footnote>
  <w:footnote w:id="95">
    <w:p w14:paraId="0C54DE39" w14:textId="77777777" w:rsidR="00B10E6B" w:rsidRPr="00CE7F3A" w:rsidRDefault="00B10E6B" w:rsidP="00CE7F3A">
      <w:pPr>
        <w:pStyle w:val="a9"/>
        <w:rPr>
          <w:rtl/>
        </w:rPr>
      </w:pPr>
      <w:r w:rsidRPr="00CE7F3A">
        <w:rPr>
          <w:rStyle w:val="FootnoteReference"/>
          <w:vertAlign w:val="baseline"/>
        </w:rPr>
        <w:footnoteRef/>
      </w:r>
      <w:r w:rsidRPr="00CE7F3A">
        <w:rPr>
          <w:rtl/>
        </w:rPr>
        <w:t xml:space="preserve"> </w:t>
      </w:r>
      <w:r w:rsidRPr="00CE7F3A">
        <w:rPr>
          <w:rtl/>
        </w:rPr>
        <w:tab/>
      </w:r>
      <w:r w:rsidRPr="00CE7F3A">
        <w:rPr>
          <w:rFonts w:hint="cs"/>
          <w:rtl/>
        </w:rPr>
        <w:t>נעשו בדיקות עבור פרויקט אחד שהקמתו הושלמה (מרכז ההדרכה של משטרת ישראל בבית שמש [מאי 2006]), ושני הפרויקטים הנותרים היו בשלבי מכרז או בשלבי הקמה במועד סיום הביקורת (כביש 16 [אוקטובר 2013], מתקן להפקת אנרגיה מפסולת [אוגוסט 2017]).</w:t>
      </w:r>
    </w:p>
  </w:footnote>
  <w:footnote w:id="96">
    <w:p w14:paraId="2EDDE0E3" w14:textId="77777777" w:rsidR="00B10E6B" w:rsidRPr="00CE7F3A" w:rsidRDefault="00B10E6B" w:rsidP="00CE7F3A">
      <w:pPr>
        <w:pStyle w:val="a9"/>
        <w:rPr>
          <w:rtl/>
        </w:rPr>
      </w:pPr>
      <w:r w:rsidRPr="00CE7F3A">
        <w:rPr>
          <w:rStyle w:val="FootnoteReference"/>
          <w:vertAlign w:val="baseline"/>
        </w:rPr>
        <w:footnoteRef/>
      </w:r>
      <w:r w:rsidRPr="00CE7F3A">
        <w:rPr>
          <w:rtl/>
        </w:rPr>
        <w:t xml:space="preserve"> </w:t>
      </w:r>
      <w:r w:rsidRPr="00CE7F3A">
        <w:rPr>
          <w:rtl/>
        </w:rPr>
        <w:tab/>
      </w:r>
      <w:r w:rsidRPr="00CE7F3A">
        <w:rPr>
          <w:rFonts w:hint="cs"/>
          <w:rtl/>
        </w:rPr>
        <w:t>בית חולים אשדוד.</w:t>
      </w:r>
    </w:p>
  </w:footnote>
  <w:footnote w:id="97">
    <w:p w14:paraId="11093671" w14:textId="77777777" w:rsidR="00B10E6B" w:rsidRPr="00CE7F3A" w:rsidRDefault="00B10E6B" w:rsidP="00CE7F3A">
      <w:pPr>
        <w:pStyle w:val="a9"/>
      </w:pPr>
      <w:r w:rsidRPr="00CE7F3A">
        <w:rPr>
          <w:rStyle w:val="FootnoteReference"/>
          <w:vertAlign w:val="baseline"/>
        </w:rPr>
        <w:footnoteRef/>
      </w:r>
      <w:r w:rsidRPr="00CE7F3A">
        <w:rPr>
          <w:rtl/>
        </w:rPr>
        <w:t xml:space="preserve"> </w:t>
      </w:r>
      <w:r w:rsidRPr="00CE7F3A">
        <w:rPr>
          <w:rtl/>
        </w:rPr>
        <w:tab/>
      </w:r>
      <w:r w:rsidRPr="00CE7F3A">
        <w:rPr>
          <w:rFonts w:hint="cs"/>
          <w:rtl/>
        </w:rPr>
        <w:t>כביש 431, הנתיב המהיר לתל-אביב, מנהרות הכרמל, כביש 6 קטע מרכזי, כביש 6 קטעים 3 ו-7, רק"ל ירושלים-קו אדום.</w:t>
      </w:r>
    </w:p>
  </w:footnote>
  <w:footnote w:id="98">
    <w:p w14:paraId="297A3597" w14:textId="77777777" w:rsidR="00B10E6B" w:rsidRPr="00CE7F3A" w:rsidRDefault="00B10E6B" w:rsidP="00CE7F3A">
      <w:pPr>
        <w:pStyle w:val="a9"/>
      </w:pPr>
      <w:r w:rsidRPr="00CE7F3A">
        <w:rPr>
          <w:rStyle w:val="FootnoteReference"/>
          <w:vertAlign w:val="baseline"/>
        </w:rPr>
        <w:footnoteRef/>
      </w:r>
      <w:r w:rsidRPr="00CE7F3A">
        <w:rPr>
          <w:rtl/>
        </w:rPr>
        <w:t xml:space="preserve"> </w:t>
      </w:r>
      <w:r w:rsidRPr="00CE7F3A">
        <w:rPr>
          <w:rtl/>
        </w:rPr>
        <w:tab/>
      </w:r>
      <w:r w:rsidRPr="00CE7F3A">
        <w:rPr>
          <w:rFonts w:hint="cs"/>
          <w:rtl/>
        </w:rPr>
        <w:t>שדה תעופה בין-לאומי משלים לנתב"ג נתון בשלב טרום מכרז במועד הביקורת.</w:t>
      </w:r>
    </w:p>
  </w:footnote>
  <w:footnote w:id="99">
    <w:p w14:paraId="50669F99" w14:textId="77777777" w:rsidR="00B10E6B" w:rsidRPr="00CE7F3A" w:rsidRDefault="00B10E6B" w:rsidP="00CE7F3A">
      <w:pPr>
        <w:pStyle w:val="a9"/>
        <w:rPr>
          <w:rtl/>
        </w:rPr>
      </w:pPr>
      <w:r w:rsidRPr="00CE7F3A">
        <w:rPr>
          <w:rStyle w:val="FootnoteReference"/>
          <w:vertAlign w:val="baseline"/>
        </w:rPr>
        <w:footnoteRef/>
      </w:r>
      <w:r w:rsidRPr="00CE7F3A">
        <w:rPr>
          <w:rtl/>
        </w:rPr>
        <w:t xml:space="preserve"> </w:t>
      </w:r>
      <w:r w:rsidRPr="00CE7F3A">
        <w:rPr>
          <w:rtl/>
        </w:rPr>
        <w:tab/>
      </w:r>
      <w:r w:rsidRPr="00CE7F3A">
        <w:rPr>
          <w:rFonts w:hint="cs"/>
          <w:rtl/>
        </w:rPr>
        <w:t xml:space="preserve">נתיבים מהירים בגוש דן, מתקן לטיפול במי תהום מזוהמים (תע"ש השרון), מתקן לטיפול בפסולת - מעלה אדומים, אשלים </w:t>
      </w:r>
      <w:r w:rsidRPr="00CE7F3A">
        <w:rPr>
          <w:rFonts w:hint="cs"/>
        </w:rPr>
        <w:t>PV2</w:t>
      </w:r>
      <w:r w:rsidRPr="00CE7F3A">
        <w:rPr>
          <w:rFonts w:hint="cs"/>
          <w:rtl/>
        </w:rPr>
        <w:t xml:space="preserve">, דימונה </w:t>
      </w:r>
      <w:r w:rsidRPr="00CE7F3A">
        <w:rPr>
          <w:rFonts w:hint="cs"/>
        </w:rPr>
        <w:t>PV</w:t>
      </w:r>
      <w:r w:rsidRPr="00CE7F3A">
        <w:rPr>
          <w:rFonts w:hint="cs"/>
          <w:rtl/>
        </w:rPr>
        <w:t>.</w:t>
      </w:r>
    </w:p>
  </w:footnote>
  <w:footnote w:id="100">
    <w:p w14:paraId="0C057DD6" w14:textId="77777777" w:rsidR="00B10E6B" w:rsidRPr="009628B3" w:rsidRDefault="00B10E6B" w:rsidP="00CE7F3A">
      <w:pPr>
        <w:pStyle w:val="a9"/>
        <w:rPr>
          <w:rtl/>
        </w:rPr>
      </w:pPr>
      <w:r w:rsidRPr="00CE7F3A">
        <w:footnoteRef/>
      </w:r>
      <w:r w:rsidRPr="00CE7F3A">
        <w:rPr>
          <w:rtl/>
        </w:rPr>
        <w:t xml:space="preserve"> </w:t>
      </w:r>
      <w:r w:rsidRPr="00CE7F3A">
        <w:rPr>
          <w:rtl/>
        </w:rPr>
        <w:tab/>
      </w:r>
      <w:r w:rsidRPr="00CE7F3A">
        <w:t>United States Government Accountability Office (GAO), Highway Public-Private Partnerships (2008</w:t>
      </w:r>
      <w:r>
        <w:t>)</w:t>
      </w:r>
      <w:r>
        <w:rPr>
          <w:rFonts w:hint="cs"/>
          <w:rtl/>
        </w:rPr>
        <w:t>, עמ' 75.</w:t>
      </w:r>
    </w:p>
  </w:footnote>
  <w:footnote w:id="101">
    <w:p w14:paraId="49B938A2" w14:textId="77777777" w:rsidR="00B10E6B" w:rsidRPr="00AE32D5" w:rsidRDefault="00B10E6B" w:rsidP="00AE32D5">
      <w:pPr>
        <w:pStyle w:val="a9"/>
      </w:pPr>
      <w:r w:rsidRPr="00AE32D5">
        <w:rPr>
          <w:rStyle w:val="FootnoteReference"/>
          <w:vertAlign w:val="baseline"/>
        </w:rPr>
        <w:footnoteRef/>
      </w:r>
      <w:r w:rsidRPr="00AE32D5">
        <w:rPr>
          <w:rtl/>
        </w:rPr>
        <w:t xml:space="preserve"> </w:t>
      </w:r>
      <w:r w:rsidRPr="00AE32D5">
        <w:rPr>
          <w:rtl/>
        </w:rPr>
        <w:tab/>
      </w:r>
      <w:r w:rsidRPr="00AE32D5">
        <w:rPr>
          <w:rFonts w:hint="cs"/>
          <w:rtl/>
        </w:rPr>
        <w:t xml:space="preserve">בהם: קיומו של רכיב תפעול גדול, האפשרות לגמישות של המגזר הפרטי בתכנון, היכולת לעשות שימוש חלופי בנכסי הפרויקט, מידת המורכבות של הלוגיסטיקה ושל הטכנולוגיה, קיומם של גבולות פיזיים וגבולות אחריות ברורים לפרויקט, קיום מעטפת סטטוטורית וחוקית, סינרגיה רבה בין השירות לבין מרכיבי הבינוי וההפעלה. </w:t>
      </w:r>
    </w:p>
  </w:footnote>
  <w:footnote w:id="102">
    <w:p w14:paraId="61BE7A0A" w14:textId="77777777" w:rsidR="00B10E6B" w:rsidRPr="00AE32D5" w:rsidRDefault="00B10E6B" w:rsidP="00AE32D5">
      <w:pPr>
        <w:pStyle w:val="a9"/>
        <w:rPr>
          <w:rtl/>
        </w:rPr>
      </w:pPr>
      <w:r w:rsidRPr="00AE32D5">
        <w:rPr>
          <w:rStyle w:val="FootnoteReference"/>
          <w:vertAlign w:val="baseline"/>
        </w:rPr>
        <w:footnoteRef/>
      </w:r>
      <w:r w:rsidRPr="00AE32D5">
        <w:rPr>
          <w:rFonts w:hint="cs"/>
          <w:rtl/>
        </w:rPr>
        <w:t xml:space="preserve"> </w:t>
      </w:r>
      <w:r w:rsidRPr="00AE32D5">
        <w:rPr>
          <w:rtl/>
        </w:rPr>
        <w:tab/>
      </w:r>
      <w:r w:rsidRPr="00AE32D5">
        <w:t>Review of the VFM Assessment Process for PFI</w:t>
      </w:r>
      <w:r w:rsidRPr="00AE32D5">
        <w:rPr>
          <w:rFonts w:hint="cs"/>
          <w:rtl/>
        </w:rPr>
        <w:t xml:space="preserve">, </w:t>
      </w:r>
      <w:r w:rsidRPr="00AE32D5">
        <w:t>The National Audit Office</w:t>
      </w:r>
      <w:r w:rsidRPr="00AE32D5">
        <w:rPr>
          <w:rFonts w:hint="cs"/>
          <w:rtl/>
        </w:rPr>
        <w:t xml:space="preserve">, עמ' 7, 11. </w:t>
      </w:r>
    </w:p>
  </w:footnote>
  <w:footnote w:id="103">
    <w:p w14:paraId="635CADA5" w14:textId="77777777" w:rsidR="00B10E6B" w:rsidRDefault="00B10E6B" w:rsidP="00AE32D5">
      <w:pPr>
        <w:pStyle w:val="a9"/>
        <w:rPr>
          <w:rtl/>
        </w:rPr>
      </w:pPr>
      <w:r w:rsidRPr="00AE32D5">
        <w:rPr>
          <w:rStyle w:val="FootnoteReference"/>
          <w:vertAlign w:val="baseline"/>
        </w:rPr>
        <w:footnoteRef/>
      </w:r>
      <w:r w:rsidRPr="00AE32D5">
        <w:rPr>
          <w:rtl/>
        </w:rPr>
        <w:t xml:space="preserve"> </w:t>
      </w:r>
      <w:r w:rsidRPr="00AE32D5">
        <w:rPr>
          <w:rtl/>
        </w:rPr>
        <w:tab/>
      </w:r>
      <w:r w:rsidRPr="00AE32D5">
        <w:rPr>
          <w:rFonts w:hint="cs"/>
          <w:rtl/>
        </w:rPr>
        <w:t>כך היה</w:t>
      </w:r>
      <w:r>
        <w:rPr>
          <w:rFonts w:hint="cs"/>
          <w:rtl/>
        </w:rPr>
        <w:t xml:space="preserve"> לדוגמה בבדיקות של הפרויקטים של קריות הממשלה בנתניה ובקריית התקשוב.</w:t>
      </w:r>
    </w:p>
  </w:footnote>
  <w:footnote w:id="104">
    <w:p w14:paraId="757E6EE0" w14:textId="4D227868" w:rsidR="00B10E6B" w:rsidRPr="00AE32D5" w:rsidRDefault="00B10E6B" w:rsidP="00AE32D5">
      <w:pPr>
        <w:pStyle w:val="a9"/>
        <w:rPr>
          <w:rtl/>
        </w:rPr>
      </w:pPr>
      <w:r w:rsidRPr="00AE32D5">
        <w:rPr>
          <w:rStyle w:val="FootnoteReference"/>
          <w:vertAlign w:val="baseline"/>
        </w:rPr>
        <w:footnoteRef/>
      </w:r>
      <w:r w:rsidRPr="00AE32D5">
        <w:rPr>
          <w:rtl/>
        </w:rPr>
        <w:t xml:space="preserve"> </w:t>
      </w:r>
      <w:r w:rsidRPr="00AE32D5">
        <w:rPr>
          <w:rtl/>
        </w:rPr>
        <w:tab/>
      </w:r>
      <w:r w:rsidRPr="00AE32D5">
        <w:rPr>
          <w:rFonts w:hint="cs"/>
          <w:rtl/>
        </w:rPr>
        <w:t>בדיקות ההתאמה של קמפוס טכנולוגי (ינואר 2011), מרה"ס-אט"ל (ינואר 2009)</w:t>
      </w:r>
      <w:r w:rsidR="00D86F41">
        <w:rPr>
          <w:rFonts w:hint="cs"/>
          <w:rtl/>
        </w:rPr>
        <w:t>.</w:t>
      </w:r>
    </w:p>
  </w:footnote>
  <w:footnote w:id="105">
    <w:p w14:paraId="0E7082B6" w14:textId="77777777" w:rsidR="00B10E6B" w:rsidRPr="00AE32D5" w:rsidRDefault="00B10E6B" w:rsidP="00AE32D5">
      <w:pPr>
        <w:pStyle w:val="a9"/>
      </w:pPr>
      <w:r w:rsidRPr="00AE32D5">
        <w:rPr>
          <w:rStyle w:val="FootnoteReference"/>
          <w:vertAlign w:val="baseline"/>
        </w:rPr>
        <w:footnoteRef/>
      </w:r>
      <w:r w:rsidRPr="00AE32D5">
        <w:rPr>
          <w:rtl/>
        </w:rPr>
        <w:t xml:space="preserve"> </w:t>
      </w:r>
      <w:r w:rsidRPr="00AE32D5">
        <w:rPr>
          <w:rtl/>
        </w:rPr>
        <w:tab/>
      </w:r>
      <w:r w:rsidRPr="00AE32D5">
        <w:rPr>
          <w:rFonts w:hint="cs"/>
          <w:rtl/>
        </w:rPr>
        <w:t xml:space="preserve">בדיקת ההתאמה של פרויקט מעבר אמ"ן לנגב (אפריל 2012). </w:t>
      </w:r>
    </w:p>
  </w:footnote>
  <w:footnote w:id="106">
    <w:p w14:paraId="0D5332FF" w14:textId="488D254A" w:rsidR="00B10E6B" w:rsidRPr="00AE32D5" w:rsidRDefault="00B10E6B" w:rsidP="00AE32D5">
      <w:pPr>
        <w:pStyle w:val="a9"/>
        <w:rPr>
          <w:rtl/>
        </w:rPr>
      </w:pPr>
      <w:r w:rsidRPr="00AE32D5">
        <w:rPr>
          <w:rStyle w:val="FootnoteReference"/>
          <w:vertAlign w:val="baseline"/>
        </w:rPr>
        <w:footnoteRef/>
      </w:r>
      <w:r w:rsidR="0017362E" w:rsidRPr="00AE32D5">
        <w:rPr>
          <w:rtl/>
        </w:rPr>
        <w:tab/>
      </w:r>
      <w:r w:rsidRPr="00AE32D5">
        <w:t>OECD, Review of Public Governance of Public-Private Partnerships in the United Kingdo</w:t>
      </w:r>
      <w:r w:rsidR="004C3786">
        <w:rPr>
          <w:lang w:bidi="ar-JO"/>
        </w:rPr>
        <w:t>m</w:t>
      </w:r>
      <w:r w:rsidR="0017362E">
        <w:rPr>
          <w:rFonts w:hint="cs"/>
          <w:rtl/>
        </w:rPr>
        <w:t xml:space="preserve">, </w:t>
      </w:r>
      <w:r w:rsidRPr="00AE32D5">
        <w:rPr>
          <w:rFonts w:hint="cs"/>
          <w:rtl/>
        </w:rPr>
        <w:t>עמ' 38.</w:t>
      </w:r>
    </w:p>
  </w:footnote>
  <w:footnote w:id="107">
    <w:p w14:paraId="4BD820ED" w14:textId="77777777" w:rsidR="00B10E6B" w:rsidRPr="00AE32D5" w:rsidRDefault="00B10E6B" w:rsidP="00AE32D5">
      <w:pPr>
        <w:pStyle w:val="a9"/>
        <w:rPr>
          <w:rtl/>
        </w:rPr>
      </w:pPr>
      <w:r w:rsidRPr="00AE32D5">
        <w:rPr>
          <w:rStyle w:val="FootnoteReference"/>
          <w:vertAlign w:val="baseline"/>
        </w:rPr>
        <w:footnoteRef/>
      </w:r>
      <w:r w:rsidRPr="00AE32D5">
        <w:rPr>
          <w:rtl/>
        </w:rPr>
        <w:t xml:space="preserve"> </w:t>
      </w:r>
      <w:r w:rsidRPr="00AE32D5">
        <w:rPr>
          <w:rtl/>
        </w:rPr>
        <w:tab/>
      </w:r>
      <w:r w:rsidRPr="00AE32D5">
        <w:t>http://www.oecd.org/competition/competitionissuesinpublic-privatepartnerships.htm</w:t>
      </w:r>
    </w:p>
  </w:footnote>
  <w:footnote w:id="108">
    <w:p w14:paraId="3D73F818" w14:textId="77777777" w:rsidR="00B10E6B" w:rsidRPr="00D22316" w:rsidRDefault="00B10E6B" w:rsidP="00D22316">
      <w:pPr>
        <w:pStyle w:val="a9"/>
        <w:rPr>
          <w:rtl/>
        </w:rPr>
      </w:pPr>
      <w:r w:rsidRPr="00D22316">
        <w:rPr>
          <w:rStyle w:val="FootnoteReference"/>
          <w:vertAlign w:val="baseline"/>
        </w:rPr>
        <w:footnoteRef/>
      </w:r>
      <w:r w:rsidRPr="00D22316">
        <w:rPr>
          <w:rtl/>
        </w:rPr>
        <w:t xml:space="preserve"> </w:t>
      </w:r>
      <w:r w:rsidRPr="00D22316">
        <w:rPr>
          <w:rtl/>
        </w:rPr>
        <w:tab/>
      </w:r>
      <w:r w:rsidRPr="00D22316">
        <w:t xml:space="preserve"> The National Council for PPP, Assessing the Added Value of PPP</w:t>
      </w:r>
      <w:r w:rsidRPr="00D22316">
        <w:rPr>
          <w:rFonts w:hint="cs"/>
          <w:rtl/>
        </w:rPr>
        <w:t>, עמ' 10.</w:t>
      </w:r>
    </w:p>
  </w:footnote>
  <w:footnote w:id="109">
    <w:p w14:paraId="25017BF3" w14:textId="77777777" w:rsidR="00B10E6B" w:rsidRPr="00D22316" w:rsidRDefault="00B10E6B" w:rsidP="00D22316">
      <w:pPr>
        <w:pStyle w:val="a9"/>
      </w:pPr>
      <w:r w:rsidRPr="00D22316">
        <w:rPr>
          <w:rStyle w:val="FootnoteReference"/>
          <w:vertAlign w:val="baseline"/>
        </w:rPr>
        <w:footnoteRef/>
      </w:r>
      <w:r w:rsidRPr="00D22316">
        <w:rPr>
          <w:rtl/>
        </w:rPr>
        <w:t xml:space="preserve"> </w:t>
      </w:r>
      <w:r w:rsidRPr="00D22316">
        <w:rPr>
          <w:rtl/>
        </w:rPr>
        <w:tab/>
      </w:r>
      <w:r w:rsidRPr="00D22316">
        <w:rPr>
          <w:rFonts w:hint="cs"/>
          <w:rtl/>
        </w:rPr>
        <w:t>ענבל חברה לביטוח בע"מ, הנחיות עבודה, "הנחיות לביצוע בדיקות התאמה ל-</w:t>
      </w:r>
      <w:r w:rsidRPr="00D22316">
        <w:rPr>
          <w:rFonts w:hint="cs"/>
        </w:rPr>
        <w:t>PPP</w:t>
      </w:r>
      <w:r w:rsidRPr="00D22316">
        <w:rPr>
          <w:rFonts w:hint="cs"/>
          <w:rtl/>
        </w:rPr>
        <w:t>, 4.3.2015.</w:t>
      </w:r>
    </w:p>
  </w:footnote>
  <w:footnote w:id="110">
    <w:p w14:paraId="44FCDAD7" w14:textId="77777777" w:rsidR="00B10E6B" w:rsidRPr="00D22316" w:rsidRDefault="00B10E6B" w:rsidP="00D22316">
      <w:pPr>
        <w:pStyle w:val="a9"/>
      </w:pPr>
      <w:r w:rsidRPr="00D22316">
        <w:rPr>
          <w:rStyle w:val="FootnoteReference"/>
          <w:vertAlign w:val="baseline"/>
        </w:rPr>
        <w:footnoteRef/>
      </w:r>
      <w:r w:rsidRPr="00D22316">
        <w:rPr>
          <w:rtl/>
        </w:rPr>
        <w:t xml:space="preserve"> </w:t>
      </w:r>
      <w:r w:rsidRPr="00D22316">
        <w:rPr>
          <w:rtl/>
        </w:rPr>
        <w:tab/>
      </w:r>
      <w:r w:rsidRPr="00D22316">
        <w:rPr>
          <w:rFonts w:hint="cs"/>
          <w:rtl/>
        </w:rPr>
        <w:t>כביש 16 (אוקטובר 2013) - 15%, מרכז ההדרכה של משטרת ישראל בבית שמש (מאי 2006) - 10% בהקמה ו-17% - 27% בתפעול, מתקן להפקת אנרגיה מפסולת (אוגוסט 2017) - 15%.</w:t>
      </w:r>
    </w:p>
  </w:footnote>
  <w:footnote w:id="111">
    <w:p w14:paraId="33644179" w14:textId="77777777" w:rsidR="00B10E6B" w:rsidRPr="00D22316" w:rsidRDefault="00B10E6B" w:rsidP="00D22316">
      <w:pPr>
        <w:pStyle w:val="a9"/>
        <w:rPr>
          <w:rtl/>
        </w:rPr>
      </w:pPr>
      <w:r w:rsidRPr="00D22316">
        <w:rPr>
          <w:rStyle w:val="FootnoteReference"/>
          <w:vertAlign w:val="baseline"/>
        </w:rPr>
        <w:footnoteRef/>
      </w:r>
      <w:r w:rsidRPr="00D22316">
        <w:rPr>
          <w:rtl/>
        </w:rPr>
        <w:t xml:space="preserve"> </w:t>
      </w:r>
      <w:r w:rsidRPr="00D22316">
        <w:rPr>
          <w:rtl/>
        </w:rPr>
        <w:tab/>
      </w:r>
      <w:r w:rsidRPr="00D22316">
        <w:rPr>
          <w:rFonts w:hint="cs"/>
          <w:rtl/>
        </w:rPr>
        <w:t>כביש 16 (אוקטובר 2013) - 10%, מרכז ההדרכה של משטרת ישראל בבית שמש (מאי 2006) - אין ניתוח רגישות, מתקן להפקת אנרגיה מפסולת (אוגוסט 2017) - 12%.</w:t>
      </w:r>
    </w:p>
  </w:footnote>
  <w:footnote w:id="112">
    <w:p w14:paraId="283090DB" w14:textId="77777777" w:rsidR="00B10E6B" w:rsidRPr="00B80F6C" w:rsidRDefault="00B10E6B" w:rsidP="00D22316">
      <w:pPr>
        <w:pStyle w:val="a9"/>
        <w:rPr>
          <w:rtl/>
        </w:rPr>
      </w:pPr>
      <w:r w:rsidRPr="00D22316">
        <w:rPr>
          <w:rStyle w:val="FootnoteReference"/>
          <w:vertAlign w:val="baseline"/>
        </w:rPr>
        <w:footnoteRef/>
      </w:r>
      <w:r w:rsidRPr="00D22316">
        <w:rPr>
          <w:rtl/>
        </w:rPr>
        <w:t xml:space="preserve"> </w:t>
      </w:r>
      <w:r w:rsidRPr="00D22316">
        <w:rPr>
          <w:rtl/>
        </w:rPr>
        <w:tab/>
      </w:r>
      <w:r w:rsidRPr="00D22316">
        <w:rPr>
          <w:rFonts w:hint="cs"/>
          <w:rtl/>
        </w:rPr>
        <w:t>בדיקת</w:t>
      </w:r>
      <w:r w:rsidRPr="00B80F6C">
        <w:rPr>
          <w:rFonts w:hint="cs"/>
          <w:rtl/>
        </w:rPr>
        <w:t xml:space="preserve"> ההתאמה לכביש 16 (אוקטובר 2013), עמ</w:t>
      </w:r>
      <w:r>
        <w:rPr>
          <w:rFonts w:hint="cs"/>
          <w:rtl/>
        </w:rPr>
        <w:t>'</w:t>
      </w:r>
      <w:r w:rsidRPr="00B80F6C">
        <w:rPr>
          <w:rFonts w:hint="cs"/>
          <w:rtl/>
        </w:rPr>
        <w:t xml:space="preserve"> 20</w:t>
      </w:r>
      <w:r>
        <w:rPr>
          <w:rFonts w:hint="cs"/>
          <w:rtl/>
        </w:rPr>
        <w:t>.</w:t>
      </w:r>
      <w:r w:rsidRPr="00B80F6C">
        <w:rPr>
          <w:rFonts w:hint="cs"/>
          <w:rtl/>
        </w:rPr>
        <w:t xml:space="preserve"> </w:t>
      </w:r>
      <w:r w:rsidRPr="00B80F6C">
        <w:rPr>
          <w:rtl/>
        </w:rPr>
        <w:tab/>
      </w:r>
    </w:p>
  </w:footnote>
  <w:footnote w:id="113">
    <w:p w14:paraId="6A31E97D" w14:textId="77777777" w:rsidR="00B10E6B" w:rsidRPr="00D22316" w:rsidRDefault="00B10E6B" w:rsidP="00D22316">
      <w:pPr>
        <w:pStyle w:val="a9"/>
      </w:pPr>
      <w:r w:rsidRPr="00D22316">
        <w:rPr>
          <w:rStyle w:val="FootnoteReference"/>
          <w:vertAlign w:val="baseline"/>
        </w:rPr>
        <w:footnoteRef/>
      </w:r>
      <w:r w:rsidRPr="00D22316">
        <w:rPr>
          <w:rtl/>
        </w:rPr>
        <w:t xml:space="preserve"> </w:t>
      </w:r>
      <w:r w:rsidRPr="00D22316">
        <w:tab/>
        <w:t>OECD, Review of Public Governance of Public-Private Partnerships in the United Kingdom</w:t>
      </w:r>
      <w:r w:rsidRPr="00D22316">
        <w:rPr>
          <w:rFonts w:hint="cs"/>
          <w:rtl/>
        </w:rPr>
        <w:t>, עמ' 38.</w:t>
      </w:r>
    </w:p>
  </w:footnote>
  <w:footnote w:id="114">
    <w:p w14:paraId="17D748A3" w14:textId="77777777" w:rsidR="00B10E6B" w:rsidRPr="005C47BE" w:rsidRDefault="00B10E6B" w:rsidP="00D22316">
      <w:pPr>
        <w:pStyle w:val="a9"/>
      </w:pPr>
      <w:r w:rsidRPr="00D22316">
        <w:rPr>
          <w:rStyle w:val="FootnoteReference"/>
          <w:vertAlign w:val="baseline"/>
        </w:rPr>
        <w:footnoteRef/>
      </w:r>
      <w:r w:rsidRPr="00D22316">
        <w:rPr>
          <w:rtl/>
        </w:rPr>
        <w:t xml:space="preserve"> </w:t>
      </w:r>
      <w:r w:rsidRPr="00D22316">
        <w:rPr>
          <w:rtl/>
        </w:rPr>
        <w:tab/>
      </w:r>
      <w:r w:rsidRPr="00D22316">
        <w:rPr>
          <w:rFonts w:hint="eastAsia"/>
          <w:rtl/>
        </w:rPr>
        <w:t>משרד</w:t>
      </w:r>
      <w:r w:rsidRPr="00D22316">
        <w:rPr>
          <w:rtl/>
        </w:rPr>
        <w:t xml:space="preserve"> </w:t>
      </w:r>
      <w:r w:rsidRPr="00D22316">
        <w:rPr>
          <w:rFonts w:hint="eastAsia"/>
          <w:rtl/>
        </w:rPr>
        <w:t>הביטחון</w:t>
      </w:r>
      <w:r>
        <w:rPr>
          <w:rFonts w:hint="cs"/>
          <w:rtl/>
        </w:rPr>
        <w:t>, הוראה מספר</w:t>
      </w:r>
      <w:r w:rsidRPr="005C47BE">
        <w:rPr>
          <w:rFonts w:hint="cs"/>
          <w:rtl/>
        </w:rPr>
        <w:t xml:space="preserve"> 40.068 - </w:t>
      </w:r>
      <w:r w:rsidRPr="004A263C">
        <w:rPr>
          <w:rFonts w:hint="eastAsia"/>
          <w:b/>
          <w:bCs/>
          <w:rtl/>
        </w:rPr>
        <w:t>תהליכי</w:t>
      </w:r>
      <w:r w:rsidRPr="004A263C">
        <w:rPr>
          <w:b/>
          <w:bCs/>
          <w:rtl/>
        </w:rPr>
        <w:t xml:space="preserve"> </w:t>
      </w:r>
      <w:r w:rsidRPr="004A263C">
        <w:rPr>
          <w:rFonts w:hint="eastAsia"/>
          <w:b/>
          <w:bCs/>
          <w:rtl/>
        </w:rPr>
        <w:t>העבודה</w:t>
      </w:r>
      <w:r w:rsidRPr="004A263C">
        <w:rPr>
          <w:b/>
          <w:bCs/>
          <w:rtl/>
        </w:rPr>
        <w:t xml:space="preserve"> </w:t>
      </w:r>
      <w:r w:rsidRPr="004A263C">
        <w:rPr>
          <w:rFonts w:hint="eastAsia"/>
          <w:b/>
          <w:bCs/>
          <w:rtl/>
        </w:rPr>
        <w:t>לביצוע</w:t>
      </w:r>
      <w:r w:rsidRPr="004A263C">
        <w:rPr>
          <w:b/>
          <w:bCs/>
          <w:rtl/>
        </w:rPr>
        <w:t xml:space="preserve"> </w:t>
      </w:r>
      <w:r w:rsidRPr="004A263C">
        <w:rPr>
          <w:rFonts w:hint="eastAsia"/>
          <w:b/>
          <w:bCs/>
          <w:rtl/>
        </w:rPr>
        <w:t>פרויקטים</w:t>
      </w:r>
      <w:r w:rsidRPr="004A263C">
        <w:rPr>
          <w:b/>
          <w:bCs/>
          <w:rtl/>
        </w:rPr>
        <w:t xml:space="preserve"> </w:t>
      </w:r>
      <w:r w:rsidRPr="004A263C">
        <w:rPr>
          <w:rFonts w:hint="eastAsia"/>
          <w:b/>
          <w:bCs/>
          <w:rtl/>
        </w:rPr>
        <w:t>בשיתוף</w:t>
      </w:r>
      <w:r w:rsidRPr="004A263C">
        <w:rPr>
          <w:b/>
          <w:bCs/>
          <w:rtl/>
        </w:rPr>
        <w:t xml:space="preserve"> </w:t>
      </w:r>
      <w:r w:rsidRPr="004A263C">
        <w:rPr>
          <w:rFonts w:hint="eastAsia"/>
          <w:b/>
          <w:bCs/>
          <w:rtl/>
        </w:rPr>
        <w:t>המגזר</w:t>
      </w:r>
      <w:r w:rsidRPr="004A263C">
        <w:rPr>
          <w:b/>
          <w:bCs/>
          <w:rtl/>
        </w:rPr>
        <w:t xml:space="preserve"> </w:t>
      </w:r>
      <w:r w:rsidRPr="004A263C">
        <w:rPr>
          <w:rFonts w:hint="eastAsia"/>
          <w:b/>
          <w:bCs/>
          <w:rtl/>
        </w:rPr>
        <w:t>הפרטי</w:t>
      </w:r>
      <w:r w:rsidRPr="004A263C">
        <w:rPr>
          <w:b/>
          <w:bCs/>
          <w:rtl/>
        </w:rPr>
        <w:t xml:space="preserve"> (</w:t>
      </w:r>
      <w:r w:rsidRPr="004A263C">
        <w:rPr>
          <w:b/>
          <w:bCs/>
        </w:rPr>
        <w:t>PPP</w:t>
      </w:r>
      <w:r w:rsidRPr="004A263C">
        <w:rPr>
          <w:b/>
          <w:bCs/>
          <w:rtl/>
        </w:rPr>
        <w:t>).</w:t>
      </w:r>
    </w:p>
  </w:footnote>
  <w:footnote w:id="115">
    <w:p w14:paraId="390A6218" w14:textId="77777777" w:rsidR="00B10E6B" w:rsidRPr="00D22316" w:rsidRDefault="00B10E6B" w:rsidP="00D22316">
      <w:pPr>
        <w:pStyle w:val="a9"/>
        <w:rPr>
          <w:rtl/>
        </w:rPr>
      </w:pPr>
      <w:r w:rsidRPr="00D22316">
        <w:rPr>
          <w:rStyle w:val="FootnoteReference"/>
          <w:vertAlign w:val="baseline"/>
        </w:rPr>
        <w:footnoteRef/>
      </w:r>
      <w:r w:rsidRPr="00D22316">
        <w:rPr>
          <w:rtl/>
        </w:rPr>
        <w:t xml:space="preserve"> </w:t>
      </w:r>
      <w:r w:rsidRPr="00D22316">
        <w:rPr>
          <w:rtl/>
        </w:rPr>
        <w:tab/>
      </w:r>
      <w:r w:rsidRPr="00D22316">
        <w:rPr>
          <w:rFonts w:hint="cs"/>
          <w:rtl/>
        </w:rPr>
        <w:t>בבדיקות ההתאמה של עיר הבה"דים (יולי 2006), אופק רחב (אוגוסט 2012).</w:t>
      </w:r>
    </w:p>
  </w:footnote>
  <w:footnote w:id="116">
    <w:p w14:paraId="5E61F421" w14:textId="77777777" w:rsidR="00B10E6B" w:rsidRPr="005C47BE" w:rsidRDefault="00B10E6B" w:rsidP="00D22316">
      <w:pPr>
        <w:pStyle w:val="a9"/>
        <w:rPr>
          <w:rtl/>
        </w:rPr>
      </w:pPr>
      <w:r w:rsidRPr="00D22316">
        <w:rPr>
          <w:rStyle w:val="FootnoteReference"/>
          <w:vertAlign w:val="baseline"/>
        </w:rPr>
        <w:footnoteRef/>
      </w:r>
      <w:r w:rsidRPr="00D22316">
        <w:rPr>
          <w:rtl/>
        </w:rPr>
        <w:t xml:space="preserve"> </w:t>
      </w:r>
      <w:r w:rsidRPr="00D22316">
        <w:rPr>
          <w:rtl/>
        </w:rPr>
        <w:tab/>
      </w:r>
      <w:r w:rsidRPr="00D22316">
        <w:rPr>
          <w:rFonts w:hint="cs"/>
          <w:rtl/>
        </w:rPr>
        <w:t>בבדיקות ההתאמה של עיר הבה"דים (יולי 2006) - 15% להקמה ו-20% לתפעול, אופק רחב (אוגוסט 2012) - 5% לתוצאת</w:t>
      </w:r>
      <w:r w:rsidRPr="005C47BE">
        <w:rPr>
          <w:rFonts w:hint="cs"/>
          <w:rtl/>
        </w:rPr>
        <w:t xml:space="preserve"> הערך הנוכחי הנקי בהשוואה לחלופה התקציבית</w:t>
      </w:r>
      <w:r>
        <w:rPr>
          <w:rFonts w:hint="cs"/>
          <w:rtl/>
        </w:rPr>
        <w:t>.</w:t>
      </w:r>
    </w:p>
  </w:footnote>
  <w:footnote w:id="117">
    <w:p w14:paraId="6EDF85C7" w14:textId="77777777" w:rsidR="00B10E6B" w:rsidRPr="005C47BE" w:rsidRDefault="00B10E6B" w:rsidP="00CE0F5D">
      <w:pPr>
        <w:pStyle w:val="a9"/>
      </w:pPr>
      <w:r w:rsidRPr="00CE0F5D">
        <w:footnoteRef/>
      </w:r>
      <w:r w:rsidRPr="00CE0F5D">
        <w:rPr>
          <w:rtl/>
        </w:rPr>
        <w:t xml:space="preserve"> </w:t>
      </w:r>
      <w:r w:rsidRPr="00CE0F5D">
        <w:rPr>
          <w:rtl/>
        </w:rPr>
        <w:tab/>
      </w:r>
      <w:r w:rsidRPr="00CE0F5D">
        <w:rPr>
          <w:rFonts w:hint="cs"/>
          <w:rtl/>
        </w:rPr>
        <w:t>בדיקת</w:t>
      </w:r>
      <w:r w:rsidRPr="005C47BE">
        <w:rPr>
          <w:rFonts w:hint="cs"/>
          <w:rtl/>
        </w:rPr>
        <w:t xml:space="preserve"> ההתאמה של אופק רחב (אוגוסט 2012)</w:t>
      </w:r>
      <w:r>
        <w:rPr>
          <w:rFonts w:hint="cs"/>
          <w:rtl/>
        </w:rPr>
        <w:t>.</w:t>
      </w:r>
    </w:p>
  </w:footnote>
  <w:footnote w:id="118">
    <w:p w14:paraId="101C23CC" w14:textId="77777777" w:rsidR="00B10E6B" w:rsidRPr="00CE0F5D" w:rsidRDefault="00B10E6B" w:rsidP="00CE0F5D">
      <w:pPr>
        <w:pStyle w:val="a9"/>
        <w:rPr>
          <w:rtl/>
        </w:rPr>
      </w:pPr>
      <w:r w:rsidRPr="00CE0F5D">
        <w:rPr>
          <w:rStyle w:val="FootnoteReference"/>
          <w:vertAlign w:val="baseline"/>
        </w:rPr>
        <w:footnoteRef/>
      </w:r>
      <w:r w:rsidRPr="00CE0F5D">
        <w:rPr>
          <w:rtl/>
        </w:rPr>
        <w:t xml:space="preserve"> </w:t>
      </w:r>
      <w:r w:rsidRPr="00CE0F5D">
        <w:rPr>
          <w:rtl/>
        </w:rPr>
        <w:tab/>
      </w:r>
      <w:r w:rsidRPr="00CE0F5D">
        <w:t>National Audit Office, PFI and PF2 (2018)</w:t>
      </w:r>
      <w:r w:rsidRPr="00CE0F5D">
        <w:rPr>
          <w:rFonts w:hint="cs"/>
          <w:rtl/>
        </w:rPr>
        <w:t>, עמ' 15.</w:t>
      </w:r>
    </w:p>
  </w:footnote>
  <w:footnote w:id="119">
    <w:p w14:paraId="2296105E" w14:textId="77777777" w:rsidR="00B10E6B" w:rsidRPr="00D22316" w:rsidRDefault="00B10E6B" w:rsidP="00CE0F5D">
      <w:pPr>
        <w:pStyle w:val="a9"/>
        <w:rPr>
          <w:rtl/>
        </w:rPr>
      </w:pPr>
      <w:r w:rsidRPr="00CE0F5D">
        <w:rPr>
          <w:rStyle w:val="FootnoteReference"/>
          <w:vertAlign w:val="baseline"/>
        </w:rPr>
        <w:footnoteRef/>
      </w:r>
      <w:r w:rsidRPr="00D22316">
        <w:rPr>
          <w:rtl/>
        </w:rPr>
        <w:t xml:space="preserve"> </w:t>
      </w:r>
      <w:r w:rsidRPr="00D22316">
        <w:rPr>
          <w:rtl/>
        </w:rPr>
        <w:tab/>
      </w:r>
      <w:r w:rsidRPr="00D22316">
        <w:rPr>
          <w:rFonts w:hint="cs"/>
          <w:rtl/>
        </w:rPr>
        <w:t>שם, שם.</w:t>
      </w:r>
    </w:p>
  </w:footnote>
  <w:footnote w:id="120">
    <w:p w14:paraId="71FEB605" w14:textId="77777777" w:rsidR="00B10E6B" w:rsidRPr="00DF2EA2" w:rsidRDefault="00B10E6B" w:rsidP="00D22316">
      <w:pPr>
        <w:pStyle w:val="a9"/>
      </w:pPr>
      <w:r w:rsidRPr="00D22316">
        <w:rPr>
          <w:rStyle w:val="FootnoteReference"/>
          <w:vertAlign w:val="baseline"/>
        </w:rPr>
        <w:footnoteRef/>
      </w:r>
      <w:r w:rsidRPr="00D22316">
        <w:rPr>
          <w:rtl/>
        </w:rPr>
        <w:t xml:space="preserve"> </w:t>
      </w:r>
      <w:r w:rsidRPr="00D22316">
        <w:rPr>
          <w:rtl/>
        </w:rPr>
        <w:tab/>
      </w:r>
      <w:r w:rsidRPr="00D22316">
        <w:rPr>
          <w:rFonts w:hint="cs"/>
          <w:rtl/>
        </w:rPr>
        <w:t>ערך נוכחי נקי משקף את ערך הזמן של הכסף ונגזר מגובהו של שיעור ההיוון. ככל ששיעור ההיוון גבוה יותר כך הערך</w:t>
      </w:r>
      <w:r w:rsidRPr="00DF2EA2">
        <w:rPr>
          <w:rFonts w:hint="cs"/>
          <w:rtl/>
        </w:rPr>
        <w:t xml:space="preserve"> הנוכחי הנקי נמוך יותר</w:t>
      </w:r>
      <w:r>
        <w:rPr>
          <w:rFonts w:hint="cs"/>
          <w:rtl/>
        </w:rPr>
        <w:t xml:space="preserve"> מסך התזרים</w:t>
      </w:r>
      <w:r w:rsidRPr="00DF2EA2">
        <w:rPr>
          <w:rFonts w:hint="cs"/>
          <w:rtl/>
        </w:rPr>
        <w:t>.</w:t>
      </w:r>
    </w:p>
  </w:footnote>
  <w:footnote w:id="121">
    <w:p w14:paraId="5399CFC8" w14:textId="2A43BF9A" w:rsidR="00B10E6B" w:rsidRPr="00DF2EA2" w:rsidRDefault="00B10E6B" w:rsidP="00D22316">
      <w:pPr>
        <w:pStyle w:val="a9"/>
        <w:rPr>
          <w:rtl/>
        </w:rPr>
      </w:pPr>
      <w:r w:rsidRPr="00D22316">
        <w:footnoteRef/>
      </w:r>
      <w:r w:rsidRPr="00D22316">
        <w:rPr>
          <w:rtl/>
        </w:rPr>
        <w:t xml:space="preserve"> </w:t>
      </w:r>
      <w:r w:rsidRPr="00D22316">
        <w:rPr>
          <w:rtl/>
        </w:rPr>
        <w:tab/>
      </w:r>
      <w:r w:rsidRPr="00D22316">
        <w:rPr>
          <w:rFonts w:hint="eastAsia"/>
          <w:rtl/>
        </w:rPr>
        <w:t>משרד</w:t>
      </w:r>
      <w:r w:rsidRPr="002A5F32">
        <w:rPr>
          <w:rtl/>
        </w:rPr>
        <w:t xml:space="preserve"> </w:t>
      </w:r>
      <w:r w:rsidRPr="002A5F32">
        <w:rPr>
          <w:rFonts w:hint="eastAsia"/>
          <w:rtl/>
        </w:rPr>
        <w:t>הביטחון</w:t>
      </w:r>
      <w:r>
        <w:rPr>
          <w:rFonts w:hint="cs"/>
          <w:rtl/>
        </w:rPr>
        <w:t>, הוראה</w:t>
      </w:r>
      <w:r w:rsidRPr="00DF2EA2">
        <w:rPr>
          <w:rFonts w:hint="cs"/>
          <w:rtl/>
        </w:rPr>
        <w:t xml:space="preserve"> מס' 40.068</w:t>
      </w:r>
      <w:r>
        <w:rPr>
          <w:rFonts w:hint="cs"/>
          <w:rtl/>
        </w:rPr>
        <w:t>,</w:t>
      </w:r>
      <w:r w:rsidRPr="00DF2EA2">
        <w:rPr>
          <w:rFonts w:hint="cs"/>
          <w:rtl/>
        </w:rPr>
        <w:t xml:space="preserve"> </w:t>
      </w:r>
      <w:r w:rsidRPr="002A5F32">
        <w:rPr>
          <w:rFonts w:hint="eastAsia"/>
          <w:b/>
          <w:bCs/>
          <w:rtl/>
        </w:rPr>
        <w:t>תהליכי</w:t>
      </w:r>
      <w:r w:rsidRPr="002A5F32">
        <w:rPr>
          <w:b/>
          <w:bCs/>
          <w:rtl/>
        </w:rPr>
        <w:t xml:space="preserve"> </w:t>
      </w:r>
      <w:r w:rsidRPr="002A5F32">
        <w:rPr>
          <w:rFonts w:hint="eastAsia"/>
          <w:b/>
          <w:bCs/>
          <w:rtl/>
        </w:rPr>
        <w:t>העבודה</w:t>
      </w:r>
      <w:r w:rsidRPr="002A5F32">
        <w:rPr>
          <w:b/>
          <w:bCs/>
          <w:rtl/>
        </w:rPr>
        <w:t xml:space="preserve"> </w:t>
      </w:r>
      <w:r w:rsidRPr="002A5F32">
        <w:rPr>
          <w:rFonts w:hint="eastAsia"/>
          <w:b/>
          <w:bCs/>
          <w:rtl/>
        </w:rPr>
        <w:t>לביצוע</w:t>
      </w:r>
      <w:r w:rsidRPr="002A5F32">
        <w:rPr>
          <w:b/>
          <w:bCs/>
          <w:rtl/>
        </w:rPr>
        <w:t xml:space="preserve"> </w:t>
      </w:r>
      <w:r w:rsidRPr="002A5F32">
        <w:rPr>
          <w:rFonts w:hint="eastAsia"/>
          <w:b/>
          <w:bCs/>
          <w:rtl/>
        </w:rPr>
        <w:t>פרויקטים</w:t>
      </w:r>
      <w:r w:rsidRPr="002A5F32">
        <w:rPr>
          <w:b/>
          <w:bCs/>
          <w:rtl/>
        </w:rPr>
        <w:t xml:space="preserve"> </w:t>
      </w:r>
      <w:r w:rsidRPr="002A5F32">
        <w:rPr>
          <w:rFonts w:hint="eastAsia"/>
          <w:b/>
          <w:bCs/>
          <w:rtl/>
        </w:rPr>
        <w:t>בשיתוף</w:t>
      </w:r>
      <w:r w:rsidRPr="002A5F32">
        <w:rPr>
          <w:b/>
          <w:bCs/>
          <w:rtl/>
        </w:rPr>
        <w:t xml:space="preserve"> </w:t>
      </w:r>
      <w:r w:rsidRPr="002A5F32">
        <w:rPr>
          <w:rFonts w:hint="eastAsia"/>
          <w:b/>
          <w:bCs/>
          <w:rtl/>
        </w:rPr>
        <w:t>המגזר</w:t>
      </w:r>
      <w:r w:rsidRPr="002A5F32">
        <w:rPr>
          <w:b/>
          <w:bCs/>
          <w:rtl/>
        </w:rPr>
        <w:t xml:space="preserve"> </w:t>
      </w:r>
      <w:r w:rsidRPr="002A5F32">
        <w:rPr>
          <w:rFonts w:hint="eastAsia"/>
          <w:b/>
          <w:bCs/>
          <w:rtl/>
        </w:rPr>
        <w:t>הפרטי</w:t>
      </w:r>
      <w:r w:rsidRPr="002A5F32">
        <w:rPr>
          <w:b/>
          <w:bCs/>
          <w:rtl/>
        </w:rPr>
        <w:t xml:space="preserve"> (</w:t>
      </w:r>
      <w:r w:rsidRPr="002A5F32">
        <w:rPr>
          <w:b/>
          <w:bCs/>
        </w:rPr>
        <w:t>PPP</w:t>
      </w:r>
      <w:r w:rsidRPr="002A5F32">
        <w:rPr>
          <w:b/>
          <w:bCs/>
          <w:rtl/>
        </w:rPr>
        <w:t>)</w:t>
      </w:r>
      <w:r w:rsidRPr="00DF2EA2">
        <w:rPr>
          <w:rFonts w:hint="cs"/>
          <w:rtl/>
        </w:rPr>
        <w:t xml:space="preserve">, </w:t>
      </w:r>
      <w:r>
        <w:rPr>
          <w:rtl/>
        </w:rPr>
        <w:br/>
      </w:r>
      <w:r w:rsidRPr="00DF2EA2">
        <w:rPr>
          <w:rFonts w:hint="cs"/>
          <w:rtl/>
        </w:rPr>
        <w:t>עמ</w:t>
      </w:r>
      <w:r>
        <w:rPr>
          <w:rFonts w:hint="cs"/>
          <w:rtl/>
        </w:rPr>
        <w:t xml:space="preserve">' </w:t>
      </w:r>
      <w:r w:rsidRPr="00DF2EA2">
        <w:rPr>
          <w:rFonts w:hint="cs"/>
          <w:rtl/>
        </w:rPr>
        <w:t>15</w:t>
      </w:r>
      <w:r>
        <w:rPr>
          <w:rFonts w:hint="cs"/>
          <w:rtl/>
        </w:rPr>
        <w:t>.</w:t>
      </w:r>
    </w:p>
  </w:footnote>
  <w:footnote w:id="122">
    <w:p w14:paraId="4EC51022" w14:textId="77777777" w:rsidR="00B10E6B" w:rsidRPr="00D22316" w:rsidRDefault="00B10E6B" w:rsidP="00D22316">
      <w:pPr>
        <w:pStyle w:val="a9"/>
        <w:rPr>
          <w:rtl/>
        </w:rPr>
      </w:pPr>
      <w:r w:rsidRPr="00D22316">
        <w:rPr>
          <w:rStyle w:val="FootnoteReference"/>
          <w:vertAlign w:val="baseline"/>
        </w:rPr>
        <w:footnoteRef/>
      </w:r>
      <w:r w:rsidRPr="00D22316">
        <w:rPr>
          <w:rtl/>
        </w:rPr>
        <w:t xml:space="preserve"> </w:t>
      </w:r>
      <w:r w:rsidRPr="00D22316">
        <w:rPr>
          <w:rtl/>
        </w:rPr>
        <w:tab/>
      </w:r>
      <w:r w:rsidRPr="00D22316">
        <w:rPr>
          <w:rFonts w:hint="cs"/>
          <w:rtl/>
        </w:rPr>
        <w:t>מודל פיננסי של בדיקת ההתאמה למתקן להפקת אנרגיה מפסולת (אוגוסט 2017).</w:t>
      </w:r>
    </w:p>
  </w:footnote>
  <w:footnote w:id="123">
    <w:p w14:paraId="7908D871" w14:textId="77777777" w:rsidR="00B10E6B" w:rsidRPr="006365DE" w:rsidRDefault="00B10E6B" w:rsidP="00D22316">
      <w:pPr>
        <w:pStyle w:val="a9"/>
        <w:rPr>
          <w:rtl/>
        </w:rPr>
      </w:pPr>
      <w:r w:rsidRPr="00D22316">
        <w:rPr>
          <w:rStyle w:val="FootnoteReference"/>
          <w:vertAlign w:val="baseline"/>
        </w:rPr>
        <w:footnoteRef/>
      </w:r>
      <w:r w:rsidRPr="00D22316">
        <w:rPr>
          <w:rtl/>
        </w:rPr>
        <w:t xml:space="preserve"> </w:t>
      </w:r>
      <w:r w:rsidRPr="00D22316">
        <w:rPr>
          <w:rtl/>
        </w:rPr>
        <w:tab/>
      </w:r>
      <w:r w:rsidRPr="00D22316">
        <w:rPr>
          <w:rFonts w:hint="cs"/>
          <w:rtl/>
        </w:rPr>
        <w:t>יובהר כי מודל פיננסי זה הוא המודל היחיד שחטיבת תשתיות ופרויקטים שמרה את התיעוד שלו, ועל כן אין באפשרותו של צוות הביקורת לבחון את אופן הביצוע של היוון התזרים לכל אחת מהחלופות שנבדקו ביתר</w:t>
      </w:r>
      <w:r w:rsidRPr="006365DE">
        <w:rPr>
          <w:rFonts w:hint="cs"/>
          <w:rtl/>
        </w:rPr>
        <w:t xml:space="preserve"> הפרויקטים של החטיבה. </w:t>
      </w:r>
    </w:p>
  </w:footnote>
  <w:footnote w:id="124">
    <w:p w14:paraId="63645D10" w14:textId="77777777" w:rsidR="00B10E6B" w:rsidRPr="006828F1" w:rsidRDefault="00B10E6B" w:rsidP="006828F1">
      <w:pPr>
        <w:pStyle w:val="a9"/>
      </w:pPr>
      <w:r w:rsidRPr="006828F1">
        <w:rPr>
          <w:rStyle w:val="FootnoteReference"/>
          <w:vertAlign w:val="baseline"/>
        </w:rPr>
        <w:footnoteRef/>
      </w:r>
      <w:r w:rsidRPr="006828F1">
        <w:rPr>
          <w:rtl/>
        </w:rPr>
        <w:t xml:space="preserve"> </w:t>
      </w:r>
      <w:r w:rsidRPr="006828F1">
        <w:rPr>
          <w:rtl/>
        </w:rPr>
        <w:tab/>
      </w:r>
      <w:r w:rsidRPr="006828F1">
        <w:rPr>
          <w:rFonts w:hint="eastAsia"/>
          <w:rtl/>
        </w:rPr>
        <w:t>ענבל</w:t>
      </w:r>
      <w:r w:rsidRPr="006828F1">
        <w:rPr>
          <w:rtl/>
        </w:rPr>
        <w:t xml:space="preserve"> </w:t>
      </w:r>
      <w:r w:rsidRPr="006828F1">
        <w:rPr>
          <w:rFonts w:hint="eastAsia"/>
          <w:rtl/>
        </w:rPr>
        <w:t>חברה</w:t>
      </w:r>
      <w:r w:rsidRPr="006828F1">
        <w:rPr>
          <w:rtl/>
        </w:rPr>
        <w:t xml:space="preserve"> </w:t>
      </w:r>
      <w:r w:rsidRPr="006828F1">
        <w:rPr>
          <w:rFonts w:hint="eastAsia"/>
          <w:rtl/>
        </w:rPr>
        <w:t>לביטוח</w:t>
      </w:r>
      <w:r w:rsidRPr="006828F1">
        <w:rPr>
          <w:rtl/>
        </w:rPr>
        <w:t xml:space="preserve"> </w:t>
      </w:r>
      <w:r w:rsidRPr="006828F1">
        <w:rPr>
          <w:rFonts w:hint="eastAsia"/>
          <w:rtl/>
        </w:rPr>
        <w:t>בע</w:t>
      </w:r>
      <w:r w:rsidRPr="006828F1">
        <w:rPr>
          <w:rtl/>
        </w:rPr>
        <w:t>"מ</w:t>
      </w:r>
      <w:r w:rsidRPr="006828F1">
        <w:rPr>
          <w:rFonts w:hint="cs"/>
          <w:rtl/>
        </w:rPr>
        <w:t>, הנחיות עבודה, "הנחיות לביצוע בדיקות התאמה ל-</w:t>
      </w:r>
      <w:r w:rsidRPr="006828F1">
        <w:rPr>
          <w:rFonts w:hint="cs"/>
        </w:rPr>
        <w:t>PPP</w:t>
      </w:r>
      <w:r w:rsidRPr="006828F1">
        <w:rPr>
          <w:rFonts w:hint="cs"/>
          <w:rtl/>
        </w:rPr>
        <w:t>" מיום 4.3.2015, סעיף 3.5.3.5.</w:t>
      </w:r>
    </w:p>
  </w:footnote>
  <w:footnote w:id="125">
    <w:p w14:paraId="1C530BF3" w14:textId="77777777" w:rsidR="00B10E6B" w:rsidRPr="006828F1" w:rsidRDefault="00B10E6B" w:rsidP="006828F1">
      <w:pPr>
        <w:pStyle w:val="a9"/>
      </w:pPr>
      <w:r w:rsidRPr="006828F1">
        <w:rPr>
          <w:rStyle w:val="FootnoteReference"/>
          <w:vertAlign w:val="baseline"/>
        </w:rPr>
        <w:footnoteRef/>
      </w:r>
      <w:r w:rsidRPr="006828F1">
        <w:rPr>
          <w:rtl/>
        </w:rPr>
        <w:t xml:space="preserve"> </w:t>
      </w:r>
      <w:r w:rsidRPr="006828F1">
        <w:rPr>
          <w:rtl/>
        </w:rPr>
        <w:tab/>
      </w:r>
      <w:r w:rsidRPr="006828F1">
        <w:rPr>
          <w:rFonts w:hint="cs"/>
          <w:rtl/>
        </w:rPr>
        <w:t>אין מבחני רגישות למרכז ההדרכה של משטרת ישראל בבית שמש (מאי 2006).</w:t>
      </w:r>
    </w:p>
  </w:footnote>
  <w:footnote w:id="126">
    <w:p w14:paraId="38FE3AA6" w14:textId="77777777" w:rsidR="00B10E6B" w:rsidRPr="006828F1" w:rsidRDefault="00B10E6B" w:rsidP="006828F1">
      <w:pPr>
        <w:pStyle w:val="a9"/>
      </w:pPr>
      <w:r w:rsidRPr="006828F1">
        <w:rPr>
          <w:rStyle w:val="FootnoteReference"/>
          <w:vertAlign w:val="baseline"/>
        </w:rPr>
        <w:footnoteRef/>
      </w:r>
      <w:r w:rsidRPr="006828F1">
        <w:rPr>
          <w:rtl/>
        </w:rPr>
        <w:t xml:space="preserve"> </w:t>
      </w:r>
      <w:r w:rsidRPr="006828F1">
        <w:rPr>
          <w:rtl/>
        </w:rPr>
        <w:tab/>
      </w:r>
      <w:r w:rsidRPr="006828F1">
        <w:rPr>
          <w:rFonts w:hint="cs"/>
          <w:rtl/>
        </w:rPr>
        <w:t>יש ניתוחי רגישות בבדיקות ההתאמה של עיר הבה"דים (יולי 2006) ושל מרה"ס-אט"ל (יוני 2009).</w:t>
      </w:r>
    </w:p>
  </w:footnote>
  <w:footnote w:id="127">
    <w:p w14:paraId="0C1CD630" w14:textId="77777777" w:rsidR="00B10E6B" w:rsidRPr="006828F1" w:rsidRDefault="00B10E6B" w:rsidP="006828F1">
      <w:pPr>
        <w:pStyle w:val="a9"/>
        <w:rPr>
          <w:rtl/>
        </w:rPr>
      </w:pPr>
      <w:r w:rsidRPr="006828F1">
        <w:rPr>
          <w:rStyle w:val="FootnoteReference"/>
          <w:vertAlign w:val="baseline"/>
        </w:rPr>
        <w:footnoteRef/>
      </w:r>
      <w:r w:rsidRPr="006828F1">
        <w:rPr>
          <w:rtl/>
        </w:rPr>
        <w:t xml:space="preserve"> </w:t>
      </w:r>
      <w:r w:rsidRPr="006828F1">
        <w:rPr>
          <w:rtl/>
        </w:rPr>
        <w:tab/>
      </w:r>
      <w:r w:rsidRPr="006828F1">
        <w:t>The World Bank, Understanding Options for Public-Private Partnerships in Infrastructure (2010)</w:t>
      </w:r>
      <w:r w:rsidRPr="006828F1">
        <w:rPr>
          <w:rFonts w:hint="cs"/>
          <w:rtl/>
        </w:rPr>
        <w:t>, עמ</w:t>
      </w:r>
      <w:r w:rsidRPr="006828F1">
        <w:rPr>
          <w:rtl/>
        </w:rPr>
        <w:t>'</w:t>
      </w:r>
      <w:r w:rsidRPr="006828F1">
        <w:rPr>
          <w:rFonts w:hint="cs"/>
          <w:rtl/>
        </w:rPr>
        <w:t xml:space="preserve"> 5.</w:t>
      </w:r>
    </w:p>
  </w:footnote>
  <w:footnote w:id="128">
    <w:p w14:paraId="4951A7C9" w14:textId="77777777" w:rsidR="00B10E6B" w:rsidRPr="006828F1" w:rsidRDefault="00B10E6B" w:rsidP="006828F1">
      <w:pPr>
        <w:pStyle w:val="a9"/>
      </w:pPr>
      <w:r w:rsidRPr="006828F1">
        <w:rPr>
          <w:rStyle w:val="FootnoteReference"/>
          <w:vertAlign w:val="baseline"/>
        </w:rPr>
        <w:footnoteRef/>
      </w:r>
      <w:r w:rsidRPr="006828F1">
        <w:rPr>
          <w:rtl/>
        </w:rPr>
        <w:t xml:space="preserve"> </w:t>
      </w:r>
      <w:r w:rsidRPr="006828F1">
        <w:rPr>
          <w:rtl/>
        </w:rPr>
        <w:tab/>
      </w:r>
      <w:r w:rsidRPr="006828F1">
        <w:rPr>
          <w:rFonts w:hint="cs"/>
          <w:rtl/>
        </w:rPr>
        <w:t>ענבל חברה לביטוח בע"מ, הנחיות עבודה, "הנחיות לביצוע בדיקות התאמה ל-</w:t>
      </w:r>
      <w:r w:rsidRPr="006828F1">
        <w:rPr>
          <w:rFonts w:hint="cs"/>
        </w:rPr>
        <w:t>PPP</w:t>
      </w:r>
      <w:r w:rsidRPr="006828F1">
        <w:rPr>
          <w:rFonts w:hint="cs"/>
          <w:rtl/>
        </w:rPr>
        <w:t>" מיום 4.3.2015, סעיף 3.6.</w:t>
      </w:r>
    </w:p>
  </w:footnote>
  <w:footnote w:id="129">
    <w:p w14:paraId="5C9E9446" w14:textId="77777777" w:rsidR="00B10E6B" w:rsidRPr="006365DE" w:rsidRDefault="00B10E6B" w:rsidP="006828F1">
      <w:pPr>
        <w:pStyle w:val="a9"/>
      </w:pPr>
      <w:r w:rsidRPr="006828F1">
        <w:rPr>
          <w:rStyle w:val="FootnoteReference"/>
          <w:vertAlign w:val="baseline"/>
        </w:rPr>
        <w:footnoteRef/>
      </w:r>
      <w:r w:rsidRPr="006828F1">
        <w:rPr>
          <w:rtl/>
        </w:rPr>
        <w:t xml:space="preserve"> </w:t>
      </w:r>
      <w:r w:rsidRPr="006828F1">
        <w:rPr>
          <w:rtl/>
        </w:rPr>
        <w:tab/>
      </w:r>
      <w:r w:rsidRPr="006828F1">
        <w:rPr>
          <w:rFonts w:hint="cs"/>
          <w:rtl/>
        </w:rPr>
        <w:t>לדוגמה, לא נערכה סקירה בין-לאומית בביצוע בדיקות ההתאמה לפרויקט מרכז ההדרכה של משטרת ישראל בבית</w:t>
      </w:r>
      <w:r w:rsidRPr="006365DE">
        <w:rPr>
          <w:rFonts w:hint="cs"/>
          <w:rtl/>
        </w:rPr>
        <w:t xml:space="preserve"> שמש (מאי 2006)</w:t>
      </w:r>
      <w:r>
        <w:rPr>
          <w:rFonts w:hint="cs"/>
          <w:rtl/>
        </w:rPr>
        <w:t xml:space="preserve"> וכן לפרויקט</w:t>
      </w:r>
      <w:r w:rsidRPr="006365DE">
        <w:rPr>
          <w:rFonts w:hint="cs"/>
          <w:rtl/>
        </w:rPr>
        <w:t xml:space="preserve"> מתקן להפקת אנרגיה מפסולת (אוגוסט 2017)</w:t>
      </w:r>
      <w:r>
        <w:rPr>
          <w:rFonts w:hint="cs"/>
          <w:rtl/>
        </w:rPr>
        <w:t>.</w:t>
      </w:r>
    </w:p>
  </w:footnote>
  <w:footnote w:id="130">
    <w:p w14:paraId="4AAB1B7E" w14:textId="77777777" w:rsidR="00B10E6B" w:rsidRDefault="00B10E6B" w:rsidP="006828F1">
      <w:pPr>
        <w:pStyle w:val="a9"/>
        <w:rPr>
          <w:rtl/>
        </w:rPr>
      </w:pPr>
      <w:r w:rsidRPr="006828F1">
        <w:footnoteRef/>
      </w:r>
      <w:r w:rsidRPr="006828F1">
        <w:rPr>
          <w:rtl/>
        </w:rPr>
        <w:t xml:space="preserve"> </w:t>
      </w:r>
      <w:r w:rsidRPr="006828F1">
        <w:rPr>
          <w:rtl/>
        </w:rPr>
        <w:tab/>
      </w:r>
      <w:r w:rsidRPr="006828F1">
        <w:rPr>
          <w:rFonts w:hint="cs"/>
          <w:rtl/>
        </w:rPr>
        <w:t>בבדיקת ההתאמה לפרויקט קמפוס טכנולוגי (ינואר 2011) נערכה סקירה והועלו תובנות על מתווה העסקה; בבדיקת ההתאמה לפרויקט אופק רחב (אוגוסט 2012) נערכה סקירה כללית של פרויקטים דומים</w:t>
      </w:r>
      <w:r w:rsidRPr="006365DE">
        <w:rPr>
          <w:rFonts w:hint="cs"/>
          <w:rtl/>
        </w:rPr>
        <w:t xml:space="preserve"> </w:t>
      </w:r>
      <w:r>
        <w:rPr>
          <w:rFonts w:hint="cs"/>
          <w:rtl/>
        </w:rPr>
        <w:t>ב</w:t>
      </w:r>
      <w:r w:rsidRPr="006365DE">
        <w:rPr>
          <w:rFonts w:hint="cs"/>
          <w:rtl/>
        </w:rPr>
        <w:t>לא תובנות. ביתר הבדיקות אין סקירה בין-לאומית.</w:t>
      </w:r>
    </w:p>
  </w:footnote>
  <w:footnote w:id="131">
    <w:p w14:paraId="214A975A" w14:textId="77777777" w:rsidR="00B10E6B" w:rsidRPr="006828F1" w:rsidRDefault="00B10E6B" w:rsidP="006828F1">
      <w:pPr>
        <w:pStyle w:val="a9"/>
      </w:pPr>
      <w:r w:rsidRPr="006828F1">
        <w:rPr>
          <w:rStyle w:val="FootnoteReference"/>
          <w:vertAlign w:val="baseline"/>
        </w:rPr>
        <w:footnoteRef/>
      </w:r>
      <w:r w:rsidRPr="006828F1">
        <w:rPr>
          <w:rtl/>
        </w:rPr>
        <w:t xml:space="preserve"> </w:t>
      </w:r>
      <w:r w:rsidRPr="006828F1">
        <w:rPr>
          <w:rtl/>
        </w:rPr>
        <w:tab/>
      </w:r>
      <w:r w:rsidRPr="006828F1">
        <w:rPr>
          <w:rFonts w:hint="eastAsia"/>
          <w:rtl/>
        </w:rPr>
        <w:t>החלטת</w:t>
      </w:r>
      <w:r w:rsidRPr="006828F1">
        <w:rPr>
          <w:rtl/>
        </w:rPr>
        <w:t xml:space="preserve"> </w:t>
      </w:r>
      <w:r w:rsidRPr="006828F1">
        <w:rPr>
          <w:rFonts w:hint="eastAsia"/>
          <w:rtl/>
        </w:rPr>
        <w:t>הממשלה</w:t>
      </w:r>
      <w:r w:rsidRPr="006828F1">
        <w:rPr>
          <w:rtl/>
        </w:rPr>
        <w:t xml:space="preserve"> 1838</w:t>
      </w:r>
      <w:r w:rsidRPr="006828F1">
        <w:rPr>
          <w:rFonts w:hint="cs"/>
          <w:rtl/>
        </w:rPr>
        <w:t xml:space="preserve">, "תכנית השקעה רב שנתית לפיתוח התחבורה הציבורית במטרופולינים" (11.8.2016). </w:t>
      </w:r>
    </w:p>
  </w:footnote>
  <w:footnote w:id="132">
    <w:p w14:paraId="459D24B9" w14:textId="77777777" w:rsidR="00B10E6B" w:rsidRPr="006828F1" w:rsidRDefault="00B10E6B" w:rsidP="006828F1">
      <w:pPr>
        <w:pStyle w:val="a9"/>
      </w:pPr>
      <w:r w:rsidRPr="006828F1">
        <w:rPr>
          <w:rStyle w:val="FootnoteReference"/>
          <w:vertAlign w:val="baseline"/>
        </w:rPr>
        <w:footnoteRef/>
      </w:r>
      <w:r w:rsidRPr="006828F1">
        <w:rPr>
          <w:rtl/>
        </w:rPr>
        <w:t xml:space="preserve"> </w:t>
      </w:r>
      <w:r w:rsidRPr="006828F1">
        <w:rPr>
          <w:rtl/>
        </w:rPr>
        <w:tab/>
      </w:r>
      <w:r w:rsidRPr="006828F1">
        <w:rPr>
          <w:rFonts w:hint="cs"/>
          <w:rtl/>
        </w:rPr>
        <w:t>רק"ל תל אביב תנוהל על ידי נתיבי תחבורה עירוניים בע"מ (נת"ע) ורק"ל חיפה-נצרת תנוהל על ידי חברת כביש חוצה ישראל בע"מ.</w:t>
      </w:r>
    </w:p>
  </w:footnote>
  <w:footnote w:id="133">
    <w:p w14:paraId="38969C8F" w14:textId="77777777" w:rsidR="00B10E6B" w:rsidRDefault="00B10E6B" w:rsidP="006828F1">
      <w:pPr>
        <w:pStyle w:val="a9"/>
      </w:pPr>
      <w:r w:rsidRPr="006828F1">
        <w:rPr>
          <w:rStyle w:val="FootnoteReference"/>
          <w:vertAlign w:val="baseline"/>
        </w:rPr>
        <w:footnoteRef/>
      </w:r>
      <w:r w:rsidRPr="006828F1">
        <w:rPr>
          <w:rtl/>
        </w:rPr>
        <w:t xml:space="preserve"> </w:t>
      </w:r>
      <w:r w:rsidRPr="006828F1">
        <w:rPr>
          <w:rtl/>
        </w:rPr>
        <w:tab/>
      </w:r>
      <w:r w:rsidRPr="006828F1">
        <w:rPr>
          <w:rFonts w:hint="cs"/>
          <w:rtl/>
        </w:rPr>
        <w:t>ראו</w:t>
      </w:r>
      <w:r>
        <w:rPr>
          <w:rFonts w:hint="cs"/>
          <w:rtl/>
        </w:rPr>
        <w:t xml:space="preserve">: </w:t>
      </w:r>
      <w:r w:rsidRPr="00B411C2">
        <w:rPr>
          <w:rFonts w:hint="eastAsia"/>
          <w:rtl/>
        </w:rPr>
        <w:t>בנק</w:t>
      </w:r>
      <w:r w:rsidRPr="00B411C2">
        <w:rPr>
          <w:rtl/>
        </w:rPr>
        <w:t xml:space="preserve"> </w:t>
      </w:r>
      <w:r w:rsidRPr="00B411C2">
        <w:rPr>
          <w:rFonts w:hint="eastAsia"/>
          <w:rtl/>
        </w:rPr>
        <w:t>ישראל</w:t>
      </w:r>
      <w:r>
        <w:rPr>
          <w:rFonts w:hint="cs"/>
          <w:rtl/>
        </w:rPr>
        <w:t xml:space="preserve">, </w:t>
      </w:r>
      <w:r w:rsidRPr="00B411C2">
        <w:rPr>
          <w:rFonts w:hint="eastAsia"/>
          <w:b/>
          <w:bCs/>
          <w:rtl/>
        </w:rPr>
        <w:t>דין</w:t>
      </w:r>
      <w:r w:rsidRPr="00B411C2">
        <w:rPr>
          <w:b/>
          <w:bCs/>
          <w:rtl/>
        </w:rPr>
        <w:t xml:space="preserve"> </w:t>
      </w:r>
      <w:r w:rsidRPr="00B411C2">
        <w:rPr>
          <w:rFonts w:hint="eastAsia"/>
          <w:b/>
          <w:bCs/>
          <w:rtl/>
        </w:rPr>
        <w:t>וחשבון</w:t>
      </w:r>
      <w:r w:rsidRPr="00B411C2">
        <w:rPr>
          <w:b/>
          <w:bCs/>
          <w:rtl/>
        </w:rPr>
        <w:t xml:space="preserve"> 2016</w:t>
      </w:r>
      <w:r>
        <w:rPr>
          <w:rFonts w:hint="cs"/>
          <w:rtl/>
        </w:rPr>
        <w:t xml:space="preserve">, עמ' 166–167. </w:t>
      </w:r>
    </w:p>
  </w:footnote>
  <w:footnote w:id="134">
    <w:p w14:paraId="0500DB24" w14:textId="77777777" w:rsidR="00B10E6B" w:rsidRDefault="00B10E6B" w:rsidP="006828F1">
      <w:pPr>
        <w:pStyle w:val="a9"/>
      </w:pPr>
      <w:r w:rsidRPr="006828F1">
        <w:footnoteRef/>
      </w:r>
      <w:r w:rsidRPr="006828F1">
        <w:rPr>
          <w:rtl/>
        </w:rPr>
        <w:t xml:space="preserve"> </w:t>
      </w:r>
      <w:r w:rsidRPr="006828F1">
        <w:rPr>
          <w:rtl/>
        </w:rPr>
        <w:tab/>
      </w:r>
      <w:r w:rsidRPr="006828F1">
        <w:rPr>
          <w:rFonts w:hint="cs"/>
          <w:rtl/>
        </w:rPr>
        <w:t>חוב עשוי להיות חוב בכיר או נחות. חוב נחות משמש כהלוואה משלימה להון (</w:t>
      </w:r>
      <w:r w:rsidRPr="006828F1">
        <w:t>Mezzanine</w:t>
      </w:r>
      <w:r w:rsidRPr="006828F1">
        <w:rPr>
          <w:rFonts w:hint="cs"/>
          <w:rtl/>
        </w:rPr>
        <w:t>). ההלוואה המשלימה להון</w:t>
      </w:r>
      <w:r w:rsidRPr="006828F1">
        <w:rPr>
          <w:rtl/>
        </w:rPr>
        <w:t xml:space="preserve"> נמצא</w:t>
      </w:r>
      <w:r w:rsidRPr="006828F1">
        <w:rPr>
          <w:rFonts w:hint="cs"/>
          <w:rtl/>
        </w:rPr>
        <w:t>ת</w:t>
      </w:r>
      <w:r w:rsidRPr="006828F1">
        <w:rPr>
          <w:rtl/>
        </w:rPr>
        <w:t xml:space="preserve"> בין ההון העצמי ובין ההון </w:t>
      </w:r>
      <w:r w:rsidRPr="006828F1">
        <w:rPr>
          <w:rFonts w:hint="cs"/>
          <w:rtl/>
        </w:rPr>
        <w:t xml:space="preserve">הזר </w:t>
      </w:r>
      <w:r w:rsidRPr="006828F1">
        <w:rPr>
          <w:rtl/>
        </w:rPr>
        <w:t>מבחינת סדר הנשייה ב</w:t>
      </w:r>
      <w:r w:rsidRPr="006828F1">
        <w:rPr>
          <w:rFonts w:hint="cs"/>
          <w:rtl/>
        </w:rPr>
        <w:t xml:space="preserve">עת </w:t>
      </w:r>
      <w:r w:rsidRPr="006828F1">
        <w:rPr>
          <w:rtl/>
        </w:rPr>
        <w:t xml:space="preserve">פירוק חברה או </w:t>
      </w:r>
      <w:r w:rsidRPr="006828F1">
        <w:rPr>
          <w:rFonts w:hint="cs"/>
          <w:rtl/>
        </w:rPr>
        <w:t xml:space="preserve">בעת </w:t>
      </w:r>
      <w:r w:rsidRPr="006828F1">
        <w:rPr>
          <w:rtl/>
        </w:rPr>
        <w:t>חלוקת</w:t>
      </w:r>
      <w:r w:rsidRPr="008F47FF">
        <w:rPr>
          <w:rtl/>
        </w:rPr>
        <w:t xml:space="preserve"> רווחים</w:t>
      </w:r>
      <w:r w:rsidRPr="008F47FF">
        <w:t>.</w:t>
      </w:r>
    </w:p>
  </w:footnote>
  <w:footnote w:id="135">
    <w:p w14:paraId="0CE3A89B" w14:textId="77777777" w:rsidR="00B10E6B" w:rsidRDefault="00B10E6B" w:rsidP="006828F1">
      <w:pPr>
        <w:pStyle w:val="a9"/>
        <w:rPr>
          <w:rtl/>
        </w:rPr>
      </w:pPr>
      <w:r w:rsidRPr="006828F1">
        <w:footnoteRef/>
      </w:r>
      <w:r w:rsidRPr="006828F1">
        <w:rPr>
          <w:rtl/>
        </w:rPr>
        <w:t xml:space="preserve"> </w:t>
      </w:r>
      <w:r w:rsidRPr="006828F1">
        <w:rPr>
          <w:rtl/>
        </w:rPr>
        <w:tab/>
      </w:r>
      <w:r w:rsidRPr="006828F1">
        <w:rPr>
          <w:rFonts w:hint="cs"/>
          <w:rtl/>
        </w:rPr>
        <w:t>שתי קרנות פרטיות - קרן להשקעה בתשתיות ישראל (תש"י) וקרן נוי - הן שותפויות המנוהלות בידי גורמים</w:t>
      </w:r>
      <w:r>
        <w:rPr>
          <w:rFonts w:hint="cs"/>
          <w:rtl/>
        </w:rPr>
        <w:t xml:space="preserve"> מקצועיים ומוחזקות בידי גופים מוסדיים ובידי שותפים נוספים, והן משקיעות בפרויקטים בתחום התשתיות בישראל. קרנות אלו החלו את פעילותן בהשקעה בהון בתקופת התפעול של פרויקטים, אך בשנים האחרונות החלו להשקיע הון החל מתקופת ההקמה. </w:t>
      </w:r>
    </w:p>
  </w:footnote>
  <w:footnote w:id="136">
    <w:p w14:paraId="14C80273" w14:textId="77777777" w:rsidR="00B10E6B" w:rsidRDefault="00B10E6B" w:rsidP="006828F1">
      <w:pPr>
        <w:pStyle w:val="a9"/>
      </w:pPr>
      <w:r w:rsidRPr="006828F1">
        <w:footnoteRef/>
      </w:r>
      <w:r w:rsidRPr="006828F1">
        <w:rPr>
          <w:rtl/>
        </w:rPr>
        <w:t xml:space="preserve"> </w:t>
      </w:r>
      <w:r w:rsidRPr="006828F1">
        <w:rPr>
          <w:rtl/>
        </w:rPr>
        <w:tab/>
      </w:r>
      <w:r w:rsidRPr="006828F1">
        <w:rPr>
          <w:rFonts w:hint="cs"/>
          <w:rtl/>
        </w:rPr>
        <w:t xml:space="preserve">ראו: </w:t>
      </w:r>
      <w:r w:rsidRPr="006828F1">
        <w:rPr>
          <w:rFonts w:hint="eastAsia"/>
          <w:rtl/>
        </w:rPr>
        <w:t>הוועדה</w:t>
      </w:r>
      <w:r w:rsidRPr="006828F1">
        <w:rPr>
          <w:rtl/>
        </w:rPr>
        <w:t xml:space="preserve"> </w:t>
      </w:r>
      <w:r w:rsidRPr="006828F1">
        <w:rPr>
          <w:rFonts w:hint="eastAsia"/>
          <w:rtl/>
        </w:rPr>
        <w:t>לקידום</w:t>
      </w:r>
      <w:r w:rsidRPr="00B411C2">
        <w:rPr>
          <w:rtl/>
        </w:rPr>
        <w:t xml:space="preserve"> </w:t>
      </w:r>
      <w:r w:rsidRPr="00B411C2">
        <w:rPr>
          <w:rFonts w:hint="eastAsia"/>
          <w:rtl/>
        </w:rPr>
        <w:t>הקמת</w:t>
      </w:r>
      <w:r w:rsidRPr="00B411C2">
        <w:rPr>
          <w:rtl/>
        </w:rPr>
        <w:t xml:space="preserve"> </w:t>
      </w:r>
      <w:r w:rsidRPr="00B411C2">
        <w:rPr>
          <w:rFonts w:hint="eastAsia"/>
          <w:rtl/>
        </w:rPr>
        <w:t>קרנות</w:t>
      </w:r>
      <w:r w:rsidRPr="00B411C2">
        <w:rPr>
          <w:rtl/>
        </w:rPr>
        <w:t xml:space="preserve"> </w:t>
      </w:r>
      <w:r w:rsidRPr="00B411C2">
        <w:rPr>
          <w:rFonts w:hint="eastAsia"/>
          <w:rtl/>
        </w:rPr>
        <w:t>נסחרות</w:t>
      </w:r>
      <w:r w:rsidRPr="00B411C2">
        <w:rPr>
          <w:rtl/>
        </w:rPr>
        <w:t xml:space="preserve"> </w:t>
      </w:r>
      <w:r w:rsidRPr="00B411C2">
        <w:rPr>
          <w:rFonts w:hint="eastAsia"/>
          <w:rtl/>
        </w:rPr>
        <w:t>להשקעה</w:t>
      </w:r>
      <w:r w:rsidRPr="00B411C2">
        <w:rPr>
          <w:rtl/>
        </w:rPr>
        <w:t xml:space="preserve"> </w:t>
      </w:r>
      <w:r w:rsidRPr="00B411C2">
        <w:rPr>
          <w:rFonts w:hint="eastAsia"/>
          <w:rtl/>
        </w:rPr>
        <w:t>בתשתיות</w:t>
      </w:r>
      <w:r>
        <w:rPr>
          <w:rFonts w:hint="cs"/>
          <w:rtl/>
        </w:rPr>
        <w:t xml:space="preserve">, </w:t>
      </w:r>
      <w:r w:rsidRPr="00B411C2">
        <w:rPr>
          <w:rFonts w:hint="eastAsia"/>
          <w:b/>
          <w:bCs/>
          <w:rtl/>
        </w:rPr>
        <w:t>דוח</w:t>
      </w:r>
      <w:r w:rsidRPr="00B411C2">
        <w:rPr>
          <w:b/>
          <w:bCs/>
          <w:rtl/>
        </w:rPr>
        <w:t xml:space="preserve"> </w:t>
      </w:r>
      <w:r w:rsidRPr="00B411C2">
        <w:rPr>
          <w:rFonts w:hint="eastAsia"/>
          <w:b/>
          <w:bCs/>
          <w:rtl/>
        </w:rPr>
        <w:t>סופי</w:t>
      </w:r>
      <w:r>
        <w:rPr>
          <w:rFonts w:hint="cs"/>
          <w:rtl/>
        </w:rPr>
        <w:t>, יוני 2019, עמ' 19.</w:t>
      </w:r>
    </w:p>
  </w:footnote>
  <w:footnote w:id="137">
    <w:p w14:paraId="5812BBD6" w14:textId="77777777" w:rsidR="00B10E6B" w:rsidRPr="006828F1" w:rsidRDefault="00B10E6B" w:rsidP="006828F1">
      <w:pPr>
        <w:pStyle w:val="a9"/>
        <w:rPr>
          <w:rtl/>
        </w:rPr>
      </w:pPr>
      <w:r w:rsidRPr="006828F1">
        <w:rPr>
          <w:rStyle w:val="FootnoteReference"/>
          <w:vertAlign w:val="baseline"/>
        </w:rPr>
        <w:footnoteRef/>
      </w:r>
      <w:r w:rsidRPr="006828F1">
        <w:rPr>
          <w:rtl/>
        </w:rPr>
        <w:t xml:space="preserve"> </w:t>
      </w:r>
      <w:r w:rsidRPr="006828F1">
        <w:rPr>
          <w:rtl/>
        </w:rPr>
        <w:tab/>
      </w:r>
      <w:r w:rsidRPr="006828F1">
        <w:rPr>
          <w:rFonts w:hint="cs"/>
          <w:rtl/>
        </w:rPr>
        <w:t xml:space="preserve">ראו לעניין זה את המלצות </w:t>
      </w:r>
      <w:r w:rsidRPr="006828F1">
        <w:rPr>
          <w:rFonts w:hint="eastAsia"/>
          <w:rtl/>
        </w:rPr>
        <w:t>הוועדה</w:t>
      </w:r>
      <w:r w:rsidRPr="006828F1">
        <w:rPr>
          <w:rtl/>
        </w:rPr>
        <w:t xml:space="preserve"> </w:t>
      </w:r>
      <w:r w:rsidRPr="006828F1">
        <w:rPr>
          <w:rFonts w:hint="eastAsia"/>
          <w:rtl/>
        </w:rPr>
        <w:t>לקידום</w:t>
      </w:r>
      <w:r w:rsidRPr="006828F1">
        <w:rPr>
          <w:rtl/>
        </w:rPr>
        <w:t xml:space="preserve"> </w:t>
      </w:r>
      <w:r w:rsidRPr="006828F1">
        <w:rPr>
          <w:rFonts w:hint="eastAsia"/>
          <w:rtl/>
        </w:rPr>
        <w:t>הקמת</w:t>
      </w:r>
      <w:r w:rsidRPr="006828F1">
        <w:rPr>
          <w:rtl/>
        </w:rPr>
        <w:t xml:space="preserve"> </w:t>
      </w:r>
      <w:r w:rsidRPr="006828F1">
        <w:rPr>
          <w:rFonts w:hint="eastAsia"/>
          <w:rtl/>
        </w:rPr>
        <w:t>קרנות</w:t>
      </w:r>
      <w:r w:rsidRPr="006828F1">
        <w:rPr>
          <w:rtl/>
        </w:rPr>
        <w:t xml:space="preserve"> </w:t>
      </w:r>
      <w:r w:rsidRPr="006828F1">
        <w:rPr>
          <w:rFonts w:hint="eastAsia"/>
          <w:rtl/>
        </w:rPr>
        <w:t>נסחרות</w:t>
      </w:r>
      <w:r w:rsidRPr="006828F1">
        <w:rPr>
          <w:rtl/>
        </w:rPr>
        <w:t xml:space="preserve"> </w:t>
      </w:r>
      <w:r w:rsidRPr="006828F1">
        <w:rPr>
          <w:rFonts w:hint="eastAsia"/>
          <w:rtl/>
        </w:rPr>
        <w:t>להשקעה</w:t>
      </w:r>
      <w:r w:rsidRPr="006828F1">
        <w:rPr>
          <w:rtl/>
        </w:rPr>
        <w:t xml:space="preserve"> </w:t>
      </w:r>
      <w:r w:rsidRPr="006828F1">
        <w:rPr>
          <w:rFonts w:hint="eastAsia"/>
          <w:rtl/>
        </w:rPr>
        <w:t>בתשתיות</w:t>
      </w:r>
      <w:r w:rsidRPr="006828F1">
        <w:rPr>
          <w:rFonts w:hint="cs"/>
          <w:rtl/>
        </w:rPr>
        <w:t xml:space="preserve">, </w:t>
      </w:r>
      <w:r w:rsidRPr="006828F1">
        <w:rPr>
          <w:rFonts w:hint="eastAsia"/>
          <w:rtl/>
        </w:rPr>
        <w:t>דוח</w:t>
      </w:r>
      <w:r w:rsidRPr="006828F1">
        <w:rPr>
          <w:rtl/>
        </w:rPr>
        <w:t xml:space="preserve"> </w:t>
      </w:r>
      <w:r w:rsidRPr="006828F1">
        <w:rPr>
          <w:rFonts w:hint="eastAsia"/>
          <w:rtl/>
        </w:rPr>
        <w:t>סופי</w:t>
      </w:r>
      <w:r w:rsidRPr="006828F1">
        <w:rPr>
          <w:rFonts w:hint="cs"/>
          <w:rtl/>
        </w:rPr>
        <w:t>, יוני 2019. יצוין כי לאחר מכן בנקים אלה מוכרים נתחים מהחוב לבנקים אחרים, לגופים מוסדיים ולגופי מימון ממדינות אחרות ומקימים קונסורציום של מלווים.</w:t>
      </w:r>
    </w:p>
  </w:footnote>
  <w:footnote w:id="138">
    <w:p w14:paraId="61BCD436" w14:textId="77777777" w:rsidR="00B10E6B" w:rsidRPr="006828F1" w:rsidRDefault="00B10E6B" w:rsidP="006828F1">
      <w:pPr>
        <w:pStyle w:val="a9"/>
        <w:rPr>
          <w:rtl/>
        </w:rPr>
      </w:pPr>
      <w:r w:rsidRPr="006828F1">
        <w:rPr>
          <w:rStyle w:val="FootnoteReference"/>
          <w:vertAlign w:val="baseline"/>
        </w:rPr>
        <w:footnoteRef/>
      </w:r>
      <w:r w:rsidRPr="006828F1">
        <w:rPr>
          <w:rtl/>
        </w:rPr>
        <w:t xml:space="preserve"> </w:t>
      </w:r>
      <w:r w:rsidRPr="006828F1">
        <w:rPr>
          <w:rtl/>
        </w:rPr>
        <w:tab/>
      </w:r>
      <w:r w:rsidRPr="006828F1">
        <w:rPr>
          <w:rFonts w:hint="eastAsia"/>
          <w:rtl/>
        </w:rPr>
        <w:t>ראו</w:t>
      </w:r>
      <w:r w:rsidRPr="006828F1">
        <w:rPr>
          <w:rtl/>
        </w:rPr>
        <w:t xml:space="preserve"> גם</w:t>
      </w:r>
      <w:r w:rsidRPr="006828F1">
        <w:rPr>
          <w:rFonts w:hint="cs"/>
          <w:rtl/>
        </w:rPr>
        <w:t>:</w:t>
      </w:r>
      <w:r w:rsidRPr="006828F1">
        <w:rPr>
          <w:rtl/>
        </w:rPr>
        <w:t xml:space="preserve"> </w:t>
      </w:r>
      <w:r w:rsidRPr="006828F1">
        <w:rPr>
          <w:rFonts w:hint="eastAsia"/>
          <w:rtl/>
        </w:rPr>
        <w:t>דוח</w:t>
      </w:r>
      <w:r w:rsidRPr="006828F1">
        <w:rPr>
          <w:rtl/>
        </w:rPr>
        <w:t xml:space="preserve"> </w:t>
      </w:r>
      <w:r w:rsidRPr="006828F1">
        <w:rPr>
          <w:rFonts w:hint="eastAsia"/>
          <w:rtl/>
        </w:rPr>
        <w:t>הוועדה</w:t>
      </w:r>
      <w:r w:rsidRPr="006828F1">
        <w:rPr>
          <w:rtl/>
        </w:rPr>
        <w:t xml:space="preserve"> </w:t>
      </w:r>
      <w:r w:rsidRPr="006828F1">
        <w:rPr>
          <w:rFonts w:hint="eastAsia"/>
          <w:rtl/>
        </w:rPr>
        <w:t>לבחינת</w:t>
      </w:r>
      <w:r w:rsidRPr="006828F1">
        <w:rPr>
          <w:rtl/>
        </w:rPr>
        <w:t xml:space="preserve"> </w:t>
      </w:r>
      <w:r w:rsidRPr="006828F1">
        <w:rPr>
          <w:rFonts w:hint="eastAsia"/>
          <w:rtl/>
        </w:rPr>
        <w:t>אופן</w:t>
      </w:r>
      <w:r w:rsidRPr="006828F1">
        <w:rPr>
          <w:rtl/>
        </w:rPr>
        <w:t xml:space="preserve"> </w:t>
      </w:r>
      <w:r w:rsidRPr="006828F1">
        <w:rPr>
          <w:rFonts w:hint="eastAsia"/>
          <w:rtl/>
        </w:rPr>
        <w:t>השקעת</w:t>
      </w:r>
      <w:r w:rsidRPr="006828F1">
        <w:rPr>
          <w:rtl/>
        </w:rPr>
        <w:t xml:space="preserve"> </w:t>
      </w:r>
      <w:r w:rsidRPr="006828F1">
        <w:rPr>
          <w:rFonts w:hint="eastAsia"/>
          <w:rtl/>
        </w:rPr>
        <w:t>גופים</w:t>
      </w:r>
      <w:r w:rsidRPr="006828F1">
        <w:rPr>
          <w:rtl/>
        </w:rPr>
        <w:t xml:space="preserve"> </w:t>
      </w:r>
      <w:r w:rsidRPr="006828F1">
        <w:rPr>
          <w:rFonts w:hint="eastAsia"/>
          <w:rtl/>
        </w:rPr>
        <w:t>מוסדיים</w:t>
      </w:r>
      <w:r w:rsidRPr="006828F1">
        <w:rPr>
          <w:rtl/>
        </w:rPr>
        <w:t xml:space="preserve"> </w:t>
      </w:r>
      <w:r w:rsidRPr="006828F1">
        <w:rPr>
          <w:rFonts w:hint="eastAsia"/>
          <w:rtl/>
        </w:rPr>
        <w:t>בהלוואות</w:t>
      </w:r>
      <w:r w:rsidRPr="006828F1">
        <w:rPr>
          <w:rtl/>
        </w:rPr>
        <w:t xml:space="preserve"> </w:t>
      </w:r>
      <w:r w:rsidRPr="006828F1">
        <w:rPr>
          <w:rFonts w:hint="eastAsia"/>
          <w:rtl/>
        </w:rPr>
        <w:t>מותאמות</w:t>
      </w:r>
      <w:r w:rsidRPr="006828F1">
        <w:rPr>
          <w:rtl/>
        </w:rPr>
        <w:t xml:space="preserve">, </w:t>
      </w:r>
      <w:r w:rsidRPr="006828F1">
        <w:rPr>
          <w:rFonts w:hint="eastAsia"/>
          <w:rtl/>
        </w:rPr>
        <w:t>דוח</w:t>
      </w:r>
      <w:r w:rsidRPr="006828F1">
        <w:rPr>
          <w:rtl/>
        </w:rPr>
        <w:t xml:space="preserve"> </w:t>
      </w:r>
      <w:r w:rsidRPr="006828F1">
        <w:rPr>
          <w:rFonts w:hint="eastAsia"/>
          <w:rtl/>
        </w:rPr>
        <w:t>סופי</w:t>
      </w:r>
      <w:r w:rsidRPr="006828F1">
        <w:rPr>
          <w:rtl/>
        </w:rPr>
        <w:t xml:space="preserve">, </w:t>
      </w:r>
      <w:r w:rsidRPr="006828F1">
        <w:rPr>
          <w:rFonts w:hint="eastAsia"/>
          <w:rtl/>
        </w:rPr>
        <w:t>אפריל</w:t>
      </w:r>
      <w:r w:rsidRPr="006828F1">
        <w:rPr>
          <w:rtl/>
        </w:rPr>
        <w:t xml:space="preserve"> 2014</w:t>
      </w:r>
      <w:r w:rsidRPr="006828F1">
        <w:rPr>
          <w:rFonts w:hint="cs"/>
          <w:rtl/>
        </w:rPr>
        <w:t>.</w:t>
      </w:r>
    </w:p>
  </w:footnote>
  <w:footnote w:id="139">
    <w:p w14:paraId="242602CC" w14:textId="77777777" w:rsidR="00B10E6B" w:rsidRPr="006828F1" w:rsidRDefault="00B10E6B" w:rsidP="006828F1">
      <w:pPr>
        <w:pStyle w:val="a9"/>
      </w:pPr>
      <w:r w:rsidRPr="006828F1">
        <w:rPr>
          <w:rStyle w:val="FootnoteReference"/>
          <w:vertAlign w:val="baseline"/>
        </w:rPr>
        <w:footnoteRef/>
      </w:r>
      <w:r w:rsidRPr="006828F1">
        <w:rPr>
          <w:rtl/>
        </w:rPr>
        <w:t xml:space="preserve"> </w:t>
      </w:r>
      <w:r w:rsidRPr="006828F1">
        <w:rPr>
          <w:rtl/>
        </w:rPr>
        <w:tab/>
      </w:r>
      <w:r w:rsidRPr="006828F1">
        <w:rPr>
          <w:rFonts w:hint="cs"/>
          <w:rtl/>
        </w:rPr>
        <w:t>על פי סעיף 2(ג) להוראה, היא חלה על חבויות במשרדי התאגיד הבנקאי בישראל בלבד (על בסיס לא מאוחד).</w:t>
      </w:r>
    </w:p>
  </w:footnote>
  <w:footnote w:id="140">
    <w:p w14:paraId="61460427" w14:textId="77777777" w:rsidR="00B10E6B" w:rsidRPr="009438FA" w:rsidRDefault="00B10E6B" w:rsidP="009438FA">
      <w:pPr>
        <w:pStyle w:val="a9"/>
        <w:rPr>
          <w:rtl/>
        </w:rPr>
      </w:pPr>
      <w:r w:rsidRPr="006828F1">
        <w:rPr>
          <w:rStyle w:val="FootnoteReference"/>
          <w:vertAlign w:val="baseline"/>
        </w:rPr>
        <w:footnoteRef/>
      </w:r>
      <w:r w:rsidRPr="006828F1">
        <w:rPr>
          <w:rtl/>
        </w:rPr>
        <w:t xml:space="preserve"> </w:t>
      </w:r>
      <w:r w:rsidRPr="009438FA">
        <w:rPr>
          <w:rtl/>
        </w:rPr>
        <w:tab/>
      </w:r>
      <w:r w:rsidRPr="009438FA">
        <w:rPr>
          <w:rFonts w:hint="cs"/>
          <w:rtl/>
        </w:rPr>
        <w:t>לעניין קביעת הסיווג הענפי, הפיקוח על הבנקים מתבסס על הנחיות הלשכה המרכזית לסטטיסטיקה (להלן - הלמ"ס) כפי שהן באות לידי ביטוי בסיווג האחיד של ענפי הכלכלה 2011, המבוסס על סיווג ענפי הכלכלה שנערך על בסיס המלצות האו"ם לסיווג אחיד של ענפי הכלכלה (</w:t>
      </w:r>
      <w:r w:rsidRPr="009438FA">
        <w:t>ISIC - International Standard Classification of All Economic Activities, Rev. 4</w:t>
      </w:r>
      <w:r w:rsidRPr="009438FA">
        <w:rPr>
          <w:rFonts w:hint="cs"/>
          <w:rtl/>
        </w:rPr>
        <w:t>), בהתייעצות עם ועדה ציבורית מייעצת שפעלה מטעם הלמ"ס והמועצה הציבורית לסטטיסטיקה.</w:t>
      </w:r>
    </w:p>
  </w:footnote>
  <w:footnote w:id="141">
    <w:p w14:paraId="561A4746" w14:textId="77777777" w:rsidR="00B10E6B" w:rsidRDefault="00B10E6B" w:rsidP="009438FA">
      <w:pPr>
        <w:pStyle w:val="a9"/>
      </w:pPr>
      <w:r w:rsidRPr="009438FA">
        <w:rPr>
          <w:rStyle w:val="FootnoteReference"/>
          <w:vertAlign w:val="baseline"/>
        </w:rPr>
        <w:footnoteRef/>
      </w:r>
      <w:r w:rsidRPr="009438FA">
        <w:rPr>
          <w:rtl/>
        </w:rPr>
        <w:t xml:space="preserve"> </w:t>
      </w:r>
      <w:r w:rsidRPr="009438FA">
        <w:rPr>
          <w:rtl/>
        </w:rPr>
        <w:tab/>
      </w:r>
      <w:r w:rsidRPr="009438FA">
        <w:rPr>
          <w:rFonts w:hint="cs"/>
          <w:rtl/>
        </w:rPr>
        <w:t>יש לציין</w:t>
      </w:r>
      <w:r>
        <w:rPr>
          <w:rFonts w:hint="cs"/>
          <w:rtl/>
        </w:rPr>
        <w:t xml:space="preserve"> כי בחישוב המגבלה הענפית נעשות הקלות אחדות ולכן השיעור המחושב נמוך יותר. </w:t>
      </w:r>
    </w:p>
  </w:footnote>
  <w:footnote w:id="142">
    <w:p w14:paraId="492D32FA" w14:textId="77777777" w:rsidR="00B10E6B" w:rsidRPr="009438FA" w:rsidRDefault="00B10E6B" w:rsidP="009438FA">
      <w:pPr>
        <w:pStyle w:val="a9"/>
        <w:rPr>
          <w:rtl/>
        </w:rPr>
      </w:pPr>
      <w:r w:rsidRPr="009438FA">
        <w:footnoteRef/>
      </w:r>
      <w:r w:rsidRPr="009438FA">
        <w:rPr>
          <w:rtl/>
        </w:rPr>
        <w:t xml:space="preserve"> </w:t>
      </w:r>
      <w:r w:rsidRPr="009438FA">
        <w:rPr>
          <w:rtl/>
        </w:rPr>
        <w:tab/>
      </w:r>
      <w:r w:rsidRPr="009438FA">
        <w:rPr>
          <w:rFonts w:hint="cs"/>
          <w:rtl/>
        </w:rPr>
        <w:t>החישוב מתייחס לפוטנציאל מימון התשתיות, ולפיו ניתן משקל לחישוב המגבלה ברמת הבנק ולא באופן מאוחד הקצאת מלוא יתרת ההשקעה לטובת תשתיות וכן להקלות באופן חישוב המגבלה בהתאם להגדרות הפיקוח על הבנקים.</w:t>
      </w:r>
    </w:p>
  </w:footnote>
  <w:footnote w:id="143">
    <w:p w14:paraId="660985E6" w14:textId="77777777" w:rsidR="00B10E6B" w:rsidRPr="009438FA" w:rsidRDefault="00B10E6B" w:rsidP="009438FA">
      <w:pPr>
        <w:pStyle w:val="a9"/>
      </w:pPr>
      <w:r w:rsidRPr="009438FA">
        <w:rPr>
          <w:rStyle w:val="FootnoteReference"/>
          <w:vertAlign w:val="baseline"/>
        </w:rPr>
        <w:footnoteRef/>
      </w:r>
      <w:r w:rsidRPr="009438FA">
        <w:rPr>
          <w:rtl/>
        </w:rPr>
        <w:t xml:space="preserve"> </w:t>
      </w:r>
      <w:r w:rsidRPr="009438FA">
        <w:rPr>
          <w:rtl/>
        </w:rPr>
        <w:tab/>
      </w:r>
      <w:r w:rsidRPr="009438FA">
        <w:rPr>
          <w:rFonts w:hint="cs"/>
          <w:rtl/>
        </w:rPr>
        <w:t>מדובר באומדן ראשוני של פרויקטים שתחילת הקמתם צפויה בין השנים 2019 – 2023.</w:t>
      </w:r>
    </w:p>
  </w:footnote>
  <w:footnote w:id="144">
    <w:p w14:paraId="1662A3AC" w14:textId="77777777" w:rsidR="00B10E6B" w:rsidRDefault="00B10E6B" w:rsidP="009438FA">
      <w:pPr>
        <w:pStyle w:val="a9"/>
      </w:pPr>
      <w:r w:rsidRPr="009438FA">
        <w:rPr>
          <w:rStyle w:val="FootnoteReference"/>
          <w:vertAlign w:val="baseline"/>
        </w:rPr>
        <w:footnoteRef/>
      </w:r>
      <w:r w:rsidRPr="009438FA">
        <w:rPr>
          <w:rtl/>
        </w:rPr>
        <w:t xml:space="preserve"> </w:t>
      </w:r>
      <w:r w:rsidRPr="009438FA">
        <w:rPr>
          <w:rtl/>
        </w:rPr>
        <w:tab/>
      </w:r>
      <w:r w:rsidRPr="009438FA">
        <w:rPr>
          <w:rFonts w:hint="cs"/>
          <w:rtl/>
        </w:rPr>
        <w:t>עוד צוין במכתב: "יתכן, כי הדבר נובע מתחרות על משאבי הבנק בין נדל"ן לתשתיות ויכול שהבנק יעדיף להשקיע בנדל</w:t>
      </w:r>
      <w:r>
        <w:rPr>
          <w:rFonts w:hint="cs"/>
          <w:rtl/>
        </w:rPr>
        <w:t>"ן מטעמי סיכון ותשואה או מטעמים אחרים".</w:t>
      </w:r>
    </w:p>
  </w:footnote>
  <w:footnote w:id="145">
    <w:p w14:paraId="612DAC2A" w14:textId="77777777" w:rsidR="00B10E6B" w:rsidRDefault="00B10E6B" w:rsidP="009438FA">
      <w:pPr>
        <w:pStyle w:val="a9"/>
      </w:pPr>
      <w:r w:rsidRPr="009438FA">
        <w:footnoteRef/>
      </w:r>
      <w:r w:rsidRPr="009438FA">
        <w:rPr>
          <w:rtl/>
        </w:rPr>
        <w:t xml:space="preserve"> </w:t>
      </w:r>
      <w:r w:rsidRPr="009438FA">
        <w:rPr>
          <w:rtl/>
        </w:rPr>
        <w:tab/>
      </w:r>
      <w:r w:rsidRPr="009438FA">
        <w:rPr>
          <w:rFonts w:hint="cs"/>
          <w:rtl/>
        </w:rPr>
        <w:t>ראו לעניין זה</w:t>
      </w:r>
      <w:r>
        <w:rPr>
          <w:rFonts w:hint="cs"/>
          <w:rtl/>
        </w:rPr>
        <w:t xml:space="preserve"> את המלצות </w:t>
      </w:r>
      <w:r w:rsidRPr="0028308B">
        <w:rPr>
          <w:rFonts w:hint="eastAsia"/>
          <w:rtl/>
        </w:rPr>
        <w:t>הוועדה</w:t>
      </w:r>
      <w:r w:rsidRPr="0028308B">
        <w:rPr>
          <w:rtl/>
        </w:rPr>
        <w:t xml:space="preserve"> </w:t>
      </w:r>
      <w:r w:rsidRPr="0028308B">
        <w:rPr>
          <w:rFonts w:hint="eastAsia"/>
          <w:rtl/>
        </w:rPr>
        <w:t>לקידום</w:t>
      </w:r>
      <w:r w:rsidRPr="0028308B">
        <w:rPr>
          <w:rtl/>
        </w:rPr>
        <w:t xml:space="preserve"> </w:t>
      </w:r>
      <w:r w:rsidRPr="0028308B">
        <w:rPr>
          <w:rFonts w:hint="eastAsia"/>
          <w:rtl/>
        </w:rPr>
        <w:t>הקמת</w:t>
      </w:r>
      <w:r w:rsidRPr="0028308B">
        <w:rPr>
          <w:rtl/>
        </w:rPr>
        <w:t xml:space="preserve"> </w:t>
      </w:r>
      <w:r w:rsidRPr="0028308B">
        <w:rPr>
          <w:rFonts w:hint="eastAsia"/>
          <w:rtl/>
        </w:rPr>
        <w:t>קרנות</w:t>
      </w:r>
      <w:r w:rsidRPr="0028308B">
        <w:rPr>
          <w:rtl/>
        </w:rPr>
        <w:t xml:space="preserve"> </w:t>
      </w:r>
      <w:r w:rsidRPr="0028308B">
        <w:rPr>
          <w:rFonts w:hint="eastAsia"/>
          <w:rtl/>
        </w:rPr>
        <w:t>נסחרות</w:t>
      </w:r>
      <w:r w:rsidRPr="0028308B">
        <w:rPr>
          <w:rtl/>
        </w:rPr>
        <w:t xml:space="preserve"> </w:t>
      </w:r>
      <w:r w:rsidRPr="0028308B">
        <w:rPr>
          <w:rFonts w:hint="eastAsia"/>
          <w:rtl/>
        </w:rPr>
        <w:t>להשקעה</w:t>
      </w:r>
      <w:r w:rsidRPr="0028308B">
        <w:rPr>
          <w:rtl/>
        </w:rPr>
        <w:t xml:space="preserve"> </w:t>
      </w:r>
      <w:r w:rsidRPr="0028308B">
        <w:rPr>
          <w:rFonts w:hint="eastAsia"/>
          <w:rtl/>
        </w:rPr>
        <w:t>בתשתיות</w:t>
      </w:r>
      <w:r>
        <w:rPr>
          <w:rFonts w:hint="cs"/>
          <w:rtl/>
        </w:rPr>
        <w:t xml:space="preserve">, </w:t>
      </w:r>
      <w:r w:rsidRPr="0028308B">
        <w:rPr>
          <w:rFonts w:hint="eastAsia"/>
          <w:b/>
          <w:bCs/>
          <w:rtl/>
        </w:rPr>
        <w:t>דוח</w:t>
      </w:r>
      <w:r w:rsidRPr="0028308B">
        <w:rPr>
          <w:b/>
          <w:bCs/>
          <w:rtl/>
        </w:rPr>
        <w:t xml:space="preserve"> </w:t>
      </w:r>
      <w:r w:rsidRPr="0028308B">
        <w:rPr>
          <w:rFonts w:hint="eastAsia"/>
          <w:b/>
          <w:bCs/>
          <w:rtl/>
        </w:rPr>
        <w:t>סופי</w:t>
      </w:r>
      <w:r>
        <w:rPr>
          <w:rFonts w:hint="cs"/>
          <w:rtl/>
        </w:rPr>
        <w:t xml:space="preserve">, יוני 2019, בדבר המודל המומלץ להקמת קרנות נסחרות להשקעה בתשתיות. הוועדה הבין-משרדית הוקמה ביום 4 במאי 2014 על ידי החשבת הכללית ויו"ר רשות ניירות ערך דאז, והיא נועדה להמליץ על אמצעים ועל מהלכים העשויים לעודד הקמת קרנות נסחרות להשקעה בתשתיות, אשר יגדילו את מספר מקורות המימון העומדים לטובת פרויקטים בתחום התשתיות, יפחיתו את עלויות האשראי וההון שלהם, יתרמו ליכולת המדינה להוציא פרויקטים בעלי חשיבות לאומית ויפתחו בפני הציבור אפיק השקעה חדש שיאפשר לו להיות שותף ישיר בהשקעות בפרויקטים אלה. המלצותיה של הוועדה בדוח האמור מספקות מסגרת מקיפה ליצירת התשתית להקמתן ולפעילותן של קרנות נסחרות להשקעה בתשתיות, שיוכלו לשמש כלי רב-חשיבות למימון פרויקטים בתחום התשתיות ולהוביל להגברת התחרות בשוק האשראי למימון הפרויקטים ובשוק הבעלות על הפרויקטים. </w:t>
      </w:r>
    </w:p>
  </w:footnote>
  <w:footnote w:id="146">
    <w:p w14:paraId="3032A751" w14:textId="6C30CE7C" w:rsidR="00B10E6B" w:rsidRPr="009438FA" w:rsidRDefault="00B10E6B" w:rsidP="009438FA">
      <w:pPr>
        <w:pStyle w:val="a9"/>
      </w:pPr>
      <w:r w:rsidRPr="009438FA">
        <w:rPr>
          <w:rStyle w:val="FootnoteReference"/>
          <w:vertAlign w:val="baseline"/>
        </w:rPr>
        <w:footnoteRef/>
      </w:r>
      <w:r w:rsidRPr="009438FA">
        <w:rPr>
          <w:rtl/>
        </w:rPr>
        <w:t xml:space="preserve"> </w:t>
      </w:r>
      <w:r w:rsidRPr="009438FA">
        <w:rPr>
          <w:rtl/>
        </w:rPr>
        <w:tab/>
        <w:t xml:space="preserve">תקנות הפיקוח על שירותים פיננסיים (שירותים פיננסיים מוסדרים) (פטור מחובת רישוי) (הוראת שעה), </w:t>
      </w:r>
      <w:r>
        <w:rPr>
          <w:rtl/>
        </w:rPr>
        <w:br/>
      </w:r>
      <w:r w:rsidRPr="009438FA">
        <w:rPr>
          <w:rtl/>
        </w:rPr>
        <w:t>תשע"ט-2018</w:t>
      </w:r>
      <w:r w:rsidRPr="009438FA">
        <w:rPr>
          <w:rFonts w:hint="cs"/>
          <w:rtl/>
        </w:rPr>
        <w:t>.</w:t>
      </w:r>
    </w:p>
  </w:footnote>
  <w:footnote w:id="147">
    <w:p w14:paraId="2249A306" w14:textId="77777777" w:rsidR="00B10E6B" w:rsidRPr="009438FA" w:rsidRDefault="00B10E6B" w:rsidP="009438FA">
      <w:pPr>
        <w:pStyle w:val="a9"/>
      </w:pPr>
      <w:r w:rsidRPr="009438FA">
        <w:rPr>
          <w:rStyle w:val="FootnoteReference"/>
          <w:vertAlign w:val="baseline"/>
        </w:rPr>
        <w:footnoteRef/>
      </w:r>
      <w:r w:rsidRPr="009438FA">
        <w:rPr>
          <w:rtl/>
        </w:rPr>
        <w:t xml:space="preserve"> </w:t>
      </w:r>
      <w:r w:rsidRPr="009438FA">
        <w:rPr>
          <w:rtl/>
        </w:rPr>
        <w:tab/>
      </w:r>
      <w:r w:rsidRPr="009438FA">
        <w:rPr>
          <w:rFonts w:hint="cs"/>
          <w:rtl/>
        </w:rPr>
        <w:t>חובת רישוי מוגדרת בסעיף 12 לחוק שירותים פיננסיים מוסדרים ולפיה "לא יעסוק אדם במתן שירות בנכס פיננסי או במתן אשראי אלא אם בידו רישיון למתן שירות בנכס פיננסי או רישיון למתן אשראי, לפי העניין, ובהתאם לתנאי הרישיון".</w:t>
      </w:r>
    </w:p>
  </w:footnote>
  <w:footnote w:id="148">
    <w:p w14:paraId="7DFFD36D" w14:textId="77777777" w:rsidR="00B10E6B" w:rsidRDefault="00B10E6B" w:rsidP="009438FA">
      <w:pPr>
        <w:pStyle w:val="a9"/>
        <w:rPr>
          <w:rtl/>
        </w:rPr>
      </w:pPr>
      <w:r w:rsidRPr="009438FA">
        <w:rPr>
          <w:rStyle w:val="FootnoteReference"/>
          <w:vertAlign w:val="baseline"/>
        </w:rPr>
        <w:footnoteRef/>
      </w:r>
      <w:r w:rsidRPr="009438FA">
        <w:rPr>
          <w:rtl/>
        </w:rPr>
        <w:t xml:space="preserve"> </w:t>
      </w:r>
      <w:r w:rsidRPr="009438FA">
        <w:rPr>
          <w:rtl/>
        </w:rPr>
        <w:tab/>
      </w:r>
      <w:r w:rsidRPr="009438FA">
        <w:rPr>
          <w:rFonts w:hint="cs"/>
          <w:rtl/>
        </w:rPr>
        <w:t>כאמור</w:t>
      </w:r>
      <w:r>
        <w:rPr>
          <w:rFonts w:hint="cs"/>
          <w:rtl/>
        </w:rPr>
        <w:t>, מתן אשראי לתשתית נעשה בדרך כלל באמצעות עסקאות סינדיקציה או קונסורציום.</w:t>
      </w:r>
    </w:p>
  </w:footnote>
  <w:footnote w:id="149">
    <w:p w14:paraId="5A5EE9EB" w14:textId="77777777" w:rsidR="00B10E6B" w:rsidRDefault="00B10E6B" w:rsidP="009438FA">
      <w:pPr>
        <w:pStyle w:val="a9"/>
        <w:rPr>
          <w:rtl/>
        </w:rPr>
      </w:pPr>
      <w:r w:rsidRPr="009438FA">
        <w:footnoteRef/>
      </w:r>
      <w:r w:rsidRPr="009438FA">
        <w:rPr>
          <w:rtl/>
        </w:rPr>
        <w:t xml:space="preserve"> </w:t>
      </w:r>
      <w:r w:rsidRPr="009438FA">
        <w:rPr>
          <w:rtl/>
        </w:rPr>
        <w:tab/>
      </w:r>
      <w:r w:rsidRPr="009438FA">
        <w:rPr>
          <w:rFonts w:hint="cs"/>
          <w:rtl/>
        </w:rPr>
        <w:t xml:space="preserve">ההנחה היא שבמדינות </w:t>
      </w:r>
      <w:r w:rsidRPr="009438FA">
        <w:t>OECD</w:t>
      </w:r>
      <w:r w:rsidRPr="009438FA">
        <w:rPr>
          <w:rFonts w:hint="cs"/>
          <w:rtl/>
        </w:rPr>
        <w:t xml:space="preserve"> יש משטר נאות של פיקוח ואסדרה, אשר ישמש תחליף מספק לפיקוח ולאסדרה</w:t>
      </w:r>
      <w:r>
        <w:rPr>
          <w:rFonts w:hint="cs"/>
          <w:rtl/>
        </w:rPr>
        <w:t xml:space="preserve"> בישראל.</w:t>
      </w:r>
    </w:p>
  </w:footnote>
  <w:footnote w:id="150">
    <w:p w14:paraId="0640B6D0" w14:textId="77777777" w:rsidR="00B10E6B" w:rsidRPr="009438FA" w:rsidRDefault="00B10E6B" w:rsidP="009438FA">
      <w:pPr>
        <w:pStyle w:val="a9"/>
      </w:pPr>
      <w:r w:rsidRPr="009438FA">
        <w:rPr>
          <w:rStyle w:val="FootnoteReference"/>
          <w:vertAlign w:val="baseline"/>
        </w:rPr>
        <w:footnoteRef/>
      </w:r>
      <w:r w:rsidRPr="009438FA">
        <w:rPr>
          <w:rtl/>
        </w:rPr>
        <w:t xml:space="preserve"> </w:t>
      </w:r>
      <w:r w:rsidRPr="009438FA">
        <w:rPr>
          <w:rtl/>
        </w:rPr>
        <w:tab/>
      </w:r>
      <w:r w:rsidRPr="009438FA">
        <w:rPr>
          <w:rFonts w:hint="cs"/>
          <w:rtl/>
        </w:rPr>
        <w:t xml:space="preserve">בהם ארגון </w:t>
      </w:r>
      <w:r w:rsidRPr="009438FA">
        <w:rPr>
          <w:rFonts w:hint="cs"/>
        </w:rPr>
        <w:t>OECD</w:t>
      </w:r>
      <w:r w:rsidRPr="009438FA">
        <w:rPr>
          <w:rFonts w:hint="cs"/>
          <w:rtl/>
        </w:rPr>
        <w:t xml:space="preserve"> והבנק העולמי (</w:t>
      </w:r>
      <w:r w:rsidRPr="009438FA">
        <w:rPr>
          <w:rFonts w:hint="cs"/>
        </w:rPr>
        <w:t>W</w:t>
      </w:r>
      <w:r w:rsidRPr="009438FA">
        <w:t>orld Bank</w:t>
      </w:r>
      <w:r w:rsidRPr="009438FA">
        <w:rPr>
          <w:rFonts w:hint="cs"/>
          <w:rtl/>
        </w:rPr>
        <w:t>).</w:t>
      </w:r>
    </w:p>
  </w:footnote>
  <w:footnote w:id="151">
    <w:p w14:paraId="7BB20640" w14:textId="77777777" w:rsidR="00B10E6B" w:rsidRPr="009438FA" w:rsidRDefault="00B10E6B" w:rsidP="009438FA">
      <w:pPr>
        <w:pStyle w:val="a9"/>
        <w:rPr>
          <w:rtl/>
        </w:rPr>
      </w:pPr>
      <w:r w:rsidRPr="009438FA">
        <w:rPr>
          <w:rStyle w:val="FootnoteReference"/>
          <w:vertAlign w:val="baseline"/>
        </w:rPr>
        <w:footnoteRef/>
      </w:r>
      <w:r w:rsidRPr="009438FA">
        <w:rPr>
          <w:rtl/>
        </w:rPr>
        <w:t xml:space="preserve"> </w:t>
      </w:r>
      <w:r w:rsidRPr="009438FA">
        <w:rPr>
          <w:rtl/>
        </w:rPr>
        <w:tab/>
      </w:r>
      <w:r w:rsidRPr="009438FA">
        <w:t>The World Bank, Public-Private Partnerships Reference Guide, Version 3 (2017)</w:t>
      </w:r>
      <w:r w:rsidRPr="009438FA">
        <w:rPr>
          <w:rFonts w:hint="cs"/>
          <w:rtl/>
        </w:rPr>
        <w:t>, עמ' 178, 184.</w:t>
      </w:r>
    </w:p>
  </w:footnote>
  <w:footnote w:id="152">
    <w:p w14:paraId="77A6CA65" w14:textId="77777777" w:rsidR="00B10E6B" w:rsidRPr="009438FA" w:rsidRDefault="00B10E6B" w:rsidP="009438FA">
      <w:pPr>
        <w:pStyle w:val="a9"/>
        <w:rPr>
          <w:rtl/>
        </w:rPr>
      </w:pPr>
      <w:r w:rsidRPr="009438FA">
        <w:rPr>
          <w:rStyle w:val="FootnoteReference"/>
          <w:vertAlign w:val="baseline"/>
        </w:rPr>
        <w:footnoteRef/>
      </w:r>
      <w:r w:rsidRPr="009438FA">
        <w:rPr>
          <w:rtl/>
        </w:rPr>
        <w:t xml:space="preserve"> </w:t>
      </w:r>
      <w:r w:rsidRPr="009438FA">
        <w:rPr>
          <w:rtl/>
        </w:rPr>
        <w:tab/>
      </w:r>
      <w:r w:rsidRPr="009438FA">
        <w:rPr>
          <w:rFonts w:hint="cs"/>
          <w:rtl/>
        </w:rPr>
        <w:t>לדוגמה,</w:t>
      </w:r>
      <w:r w:rsidRPr="009438FA">
        <w:rPr>
          <w:rtl/>
        </w:rPr>
        <w:t xml:space="preserve"> </w:t>
      </w:r>
      <w:r w:rsidRPr="009438FA">
        <w:rPr>
          <w:rFonts w:hint="cs"/>
          <w:rtl/>
        </w:rPr>
        <w:t xml:space="preserve">באמצעות </w:t>
      </w:r>
      <w:r w:rsidRPr="009438FA">
        <w:rPr>
          <w:rtl/>
        </w:rPr>
        <w:t>חוזי השקעה דו</w:t>
      </w:r>
      <w:r w:rsidRPr="009438FA">
        <w:rPr>
          <w:rFonts w:hint="cs"/>
          <w:rtl/>
        </w:rPr>
        <w:t>-</w:t>
      </w:r>
      <w:r w:rsidRPr="009438FA">
        <w:rPr>
          <w:rtl/>
        </w:rPr>
        <w:t xml:space="preserve">צדדיים </w:t>
      </w:r>
      <w:r w:rsidRPr="009438FA">
        <w:rPr>
          <w:rFonts w:hint="cs"/>
          <w:rtl/>
        </w:rPr>
        <w:t>ו</w:t>
      </w:r>
      <w:r w:rsidRPr="009438FA">
        <w:rPr>
          <w:rtl/>
        </w:rPr>
        <w:t>הסכמים רב-צדדיים</w:t>
      </w:r>
      <w:r w:rsidRPr="009438FA">
        <w:rPr>
          <w:rFonts w:hint="cs"/>
          <w:rtl/>
        </w:rPr>
        <w:t>.</w:t>
      </w:r>
    </w:p>
  </w:footnote>
  <w:footnote w:id="153">
    <w:p w14:paraId="54AF7C5A" w14:textId="77777777" w:rsidR="00B10E6B" w:rsidRDefault="00B10E6B" w:rsidP="009438FA">
      <w:pPr>
        <w:pStyle w:val="a9"/>
        <w:rPr>
          <w:rtl/>
        </w:rPr>
      </w:pPr>
      <w:r w:rsidRPr="009438FA">
        <w:rPr>
          <w:rStyle w:val="FootnoteReference"/>
          <w:vertAlign w:val="baseline"/>
        </w:rPr>
        <w:footnoteRef/>
      </w:r>
      <w:r w:rsidRPr="009438FA">
        <w:rPr>
          <w:rtl/>
        </w:rPr>
        <w:t xml:space="preserve"> </w:t>
      </w:r>
      <w:r w:rsidRPr="009438FA">
        <w:rPr>
          <w:rtl/>
        </w:rPr>
        <w:tab/>
      </w:r>
      <w:r w:rsidRPr="009438FA">
        <w:t>The World Bank, Public-Private Partnerships Reference Guide, Version 3 (2017</w:t>
      </w:r>
      <w:r>
        <w:t>)</w:t>
      </w:r>
      <w:r>
        <w:rPr>
          <w:rFonts w:hint="cs"/>
          <w:rtl/>
        </w:rPr>
        <w:t>, עמ' 154.</w:t>
      </w:r>
    </w:p>
  </w:footnote>
  <w:footnote w:id="154">
    <w:p w14:paraId="6B4265AE" w14:textId="77777777" w:rsidR="00B10E6B" w:rsidRPr="009438FA" w:rsidRDefault="00B10E6B" w:rsidP="009438FA">
      <w:pPr>
        <w:pStyle w:val="a9"/>
        <w:rPr>
          <w:rtl/>
        </w:rPr>
      </w:pPr>
      <w:r w:rsidRPr="009438FA">
        <w:rPr>
          <w:rStyle w:val="FootnoteReference"/>
          <w:vertAlign w:val="baseline"/>
        </w:rPr>
        <w:footnoteRef/>
      </w:r>
      <w:r w:rsidRPr="009438FA">
        <w:rPr>
          <w:rtl/>
        </w:rPr>
        <w:t xml:space="preserve"> </w:t>
      </w:r>
      <w:r w:rsidRPr="009438FA">
        <w:rPr>
          <w:rtl/>
        </w:rPr>
        <w:tab/>
      </w:r>
      <w:r w:rsidRPr="009438FA">
        <w:rPr>
          <w:rFonts w:hint="cs"/>
          <w:rtl/>
        </w:rPr>
        <w:t xml:space="preserve">שם, עמ' 165–185. </w:t>
      </w:r>
    </w:p>
  </w:footnote>
  <w:footnote w:id="155">
    <w:p w14:paraId="6D43AE02" w14:textId="77777777" w:rsidR="00B10E6B" w:rsidRDefault="00B10E6B" w:rsidP="009438FA">
      <w:pPr>
        <w:pStyle w:val="a9"/>
        <w:rPr>
          <w:rtl/>
        </w:rPr>
      </w:pPr>
      <w:r w:rsidRPr="009438FA">
        <w:rPr>
          <w:rStyle w:val="FootnoteReference"/>
          <w:vertAlign w:val="baseline"/>
        </w:rPr>
        <w:footnoteRef/>
      </w:r>
      <w:r w:rsidRPr="009438FA">
        <w:rPr>
          <w:rtl/>
        </w:rPr>
        <w:t xml:space="preserve"> </w:t>
      </w:r>
      <w:r w:rsidRPr="009438FA">
        <w:rPr>
          <w:rtl/>
        </w:rPr>
        <w:tab/>
      </w:r>
      <w:r w:rsidRPr="009438FA">
        <w:rPr>
          <w:rFonts w:hint="cs"/>
          <w:rtl/>
        </w:rPr>
        <w:t>מבקר</w:t>
      </w:r>
      <w:r>
        <w:rPr>
          <w:rFonts w:hint="cs"/>
          <w:rtl/>
        </w:rPr>
        <w:t xml:space="preserve"> המדינה, </w:t>
      </w:r>
      <w:r w:rsidRPr="00DC346F">
        <w:rPr>
          <w:rFonts w:hint="eastAsia"/>
          <w:b/>
          <w:bCs/>
          <w:rtl/>
        </w:rPr>
        <w:t>דוח</w:t>
      </w:r>
      <w:r w:rsidRPr="00DC346F">
        <w:rPr>
          <w:b/>
          <w:bCs/>
          <w:rtl/>
        </w:rPr>
        <w:t xml:space="preserve"> </w:t>
      </w:r>
      <w:r w:rsidRPr="00DC346F">
        <w:rPr>
          <w:rFonts w:hint="eastAsia"/>
          <w:b/>
          <w:bCs/>
          <w:rtl/>
        </w:rPr>
        <w:t>שנתי</w:t>
      </w:r>
      <w:r w:rsidRPr="00DC346F">
        <w:rPr>
          <w:b/>
          <w:bCs/>
          <w:rtl/>
        </w:rPr>
        <w:t xml:space="preserve"> 65א</w:t>
      </w:r>
      <w:r>
        <w:rPr>
          <w:rFonts w:hint="cs"/>
          <w:b/>
          <w:bCs/>
          <w:rtl/>
        </w:rPr>
        <w:t xml:space="preserve"> </w:t>
      </w:r>
      <w:r>
        <w:rPr>
          <w:rFonts w:hint="cs"/>
          <w:rtl/>
        </w:rPr>
        <w:t xml:space="preserve">(2014), "הפיקוח על הפעלת הרכבת הקלה בירושלים", עמ' 566–568. </w:t>
      </w:r>
    </w:p>
  </w:footnote>
  <w:footnote w:id="156">
    <w:p w14:paraId="58776ED9" w14:textId="77777777" w:rsidR="00B10E6B" w:rsidRPr="009438FA" w:rsidRDefault="00B10E6B" w:rsidP="009438FA">
      <w:pPr>
        <w:pStyle w:val="a9"/>
      </w:pPr>
      <w:r w:rsidRPr="009438FA">
        <w:rPr>
          <w:rStyle w:val="FootnoteReference"/>
          <w:vertAlign w:val="baseline"/>
        </w:rPr>
        <w:footnoteRef/>
      </w:r>
      <w:r w:rsidRPr="009438FA">
        <w:rPr>
          <w:rtl/>
        </w:rPr>
        <w:t xml:space="preserve"> </w:t>
      </w:r>
      <w:r w:rsidRPr="009438FA">
        <w:rPr>
          <w:rtl/>
        </w:rPr>
        <w:tab/>
      </w:r>
      <w:r w:rsidRPr="009438FA">
        <w:rPr>
          <w:rFonts w:hint="cs"/>
          <w:rtl/>
        </w:rPr>
        <w:t>המשבר הכלכלי העולמי בשנת 2008 שהתפתח בעקבות משבר הסאב-פריים בארצות הברית בשנת 2007.</w:t>
      </w:r>
    </w:p>
  </w:footnote>
  <w:footnote w:id="157">
    <w:p w14:paraId="78E458DD" w14:textId="77777777" w:rsidR="00B10E6B" w:rsidRPr="00E169DE" w:rsidRDefault="00B10E6B" w:rsidP="009438FA">
      <w:pPr>
        <w:pStyle w:val="a9"/>
        <w:rPr>
          <w:b/>
          <w:bCs/>
        </w:rPr>
      </w:pPr>
      <w:r w:rsidRPr="009438FA">
        <w:rPr>
          <w:rStyle w:val="FootnoteReference"/>
          <w:vertAlign w:val="baseline"/>
        </w:rPr>
        <w:footnoteRef/>
      </w:r>
      <w:r w:rsidRPr="009438FA">
        <w:rPr>
          <w:rtl/>
        </w:rPr>
        <w:t xml:space="preserve"> </w:t>
      </w:r>
      <w:r w:rsidRPr="009438FA">
        <w:rPr>
          <w:rtl/>
        </w:rPr>
        <w:tab/>
      </w:r>
      <w:r w:rsidRPr="009438FA">
        <w:rPr>
          <w:rFonts w:hint="cs"/>
          <w:rtl/>
        </w:rPr>
        <w:t>עת</w:t>
      </w:r>
      <w:r>
        <w:rPr>
          <w:rFonts w:hint="cs"/>
          <w:rtl/>
        </w:rPr>
        <w:t xml:space="preserve">"מ 13057-11-13 </w:t>
      </w:r>
      <w:r w:rsidRPr="00D31BCD">
        <w:rPr>
          <w:rFonts w:hint="cs"/>
          <w:b/>
          <w:bCs/>
          <w:rtl/>
        </w:rPr>
        <w:t>חוצה צפון בע"מ נ' מדינת ישראל - החשבת הכללית ואח'</w:t>
      </w:r>
      <w:r>
        <w:rPr>
          <w:rFonts w:hint="cs"/>
          <w:rtl/>
        </w:rPr>
        <w:t xml:space="preserve">. אם התעורר בוועדת </w:t>
      </w:r>
      <w:r w:rsidRPr="009438FA">
        <w:rPr>
          <w:rFonts w:hint="cs"/>
          <w:rtl/>
        </w:rPr>
        <w:t>המכרזים החשד כי מדובר בהצעה במחיר היצף או במחיר הפסד, ההצעה עשויה להידחות. ראו לעניין זה סעיף 2.4.6</w:t>
      </w:r>
      <w:r>
        <w:rPr>
          <w:rFonts w:hint="cs"/>
          <w:rtl/>
        </w:rPr>
        <w:t>.5 להוראת תכ"ם 7.4.3.5 בנושא "פרסום מכרז וניהולו" (מהדורה 06/01).</w:t>
      </w:r>
    </w:p>
  </w:footnote>
  <w:footnote w:id="158">
    <w:p w14:paraId="6B3214E9" w14:textId="77777777" w:rsidR="00B10E6B" w:rsidRDefault="00B10E6B" w:rsidP="00881D79">
      <w:pPr>
        <w:pStyle w:val="a9"/>
        <w:rPr>
          <w:rtl/>
        </w:rPr>
      </w:pPr>
      <w:r w:rsidRPr="00881D79">
        <w:footnoteRef/>
      </w:r>
      <w:r w:rsidRPr="00881D79">
        <w:rPr>
          <w:rtl/>
        </w:rPr>
        <w:t xml:space="preserve"> </w:t>
      </w:r>
      <w:r w:rsidRPr="00881D79">
        <w:rPr>
          <w:rtl/>
        </w:rPr>
        <w:tab/>
      </w:r>
      <w:r w:rsidRPr="00881D79">
        <w:rPr>
          <w:rFonts w:hint="cs"/>
          <w:rtl/>
        </w:rPr>
        <w:t>המשכן</w:t>
      </w:r>
      <w:r>
        <w:rPr>
          <w:rFonts w:hint="cs"/>
          <w:rtl/>
        </w:rPr>
        <w:t xml:space="preserve"> לבוררות ופתרון סכסוכים, </w:t>
      </w:r>
      <w:r w:rsidRPr="00F54AA8">
        <w:rPr>
          <w:rFonts w:hint="eastAsia"/>
          <w:b/>
          <w:bCs/>
          <w:rtl/>
        </w:rPr>
        <w:t>פסק</w:t>
      </w:r>
      <w:r w:rsidRPr="00F54AA8">
        <w:rPr>
          <w:b/>
          <w:bCs/>
          <w:rtl/>
        </w:rPr>
        <w:t xml:space="preserve"> </w:t>
      </w:r>
      <w:r w:rsidRPr="00F54AA8">
        <w:rPr>
          <w:rFonts w:hint="eastAsia"/>
          <w:b/>
          <w:bCs/>
          <w:rtl/>
        </w:rPr>
        <w:t>בוררות</w:t>
      </w:r>
      <w:r w:rsidRPr="00F54AA8">
        <w:rPr>
          <w:b/>
          <w:bCs/>
          <w:rtl/>
        </w:rPr>
        <w:t xml:space="preserve"> </w:t>
      </w:r>
      <w:r w:rsidRPr="00F54AA8">
        <w:rPr>
          <w:rFonts w:hint="eastAsia"/>
          <w:b/>
          <w:bCs/>
          <w:rtl/>
        </w:rPr>
        <w:t>שבין</w:t>
      </w:r>
      <w:r w:rsidRPr="00F54AA8">
        <w:rPr>
          <w:b/>
          <w:bCs/>
          <w:rtl/>
        </w:rPr>
        <w:t xml:space="preserve"> </w:t>
      </w:r>
      <w:r w:rsidRPr="00F54AA8">
        <w:rPr>
          <w:rFonts w:hint="eastAsia"/>
          <w:b/>
          <w:bCs/>
          <w:rtl/>
        </w:rPr>
        <w:t>מטרופולין</w:t>
      </w:r>
      <w:r w:rsidRPr="00F54AA8">
        <w:rPr>
          <w:b/>
          <w:bCs/>
          <w:rtl/>
        </w:rPr>
        <w:t xml:space="preserve"> </w:t>
      </w:r>
      <w:r w:rsidRPr="00F54AA8">
        <w:rPr>
          <w:rFonts w:hint="eastAsia"/>
          <w:b/>
          <w:bCs/>
          <w:rtl/>
        </w:rPr>
        <w:t>טרנספורטיישן</w:t>
      </w:r>
      <w:r w:rsidRPr="00F54AA8">
        <w:rPr>
          <w:b/>
          <w:bCs/>
          <w:rtl/>
        </w:rPr>
        <w:t xml:space="preserve"> </w:t>
      </w:r>
      <w:r w:rsidRPr="00F54AA8">
        <w:rPr>
          <w:rFonts w:hint="eastAsia"/>
          <w:b/>
          <w:bCs/>
          <w:rtl/>
        </w:rPr>
        <w:t>סולושנס</w:t>
      </w:r>
      <w:r w:rsidRPr="00F54AA8">
        <w:rPr>
          <w:b/>
          <w:bCs/>
          <w:rtl/>
        </w:rPr>
        <w:t xml:space="preserve"> </w:t>
      </w:r>
      <w:r w:rsidRPr="00F54AA8">
        <w:rPr>
          <w:rFonts w:hint="eastAsia"/>
          <w:b/>
          <w:bCs/>
          <w:rtl/>
        </w:rPr>
        <w:t>בע</w:t>
      </w:r>
      <w:r w:rsidRPr="00F54AA8">
        <w:rPr>
          <w:b/>
          <w:bCs/>
          <w:rtl/>
        </w:rPr>
        <w:t xml:space="preserve">"מ </w:t>
      </w:r>
      <w:r w:rsidRPr="00F54AA8">
        <w:rPr>
          <w:rFonts w:hint="eastAsia"/>
          <w:b/>
          <w:bCs/>
          <w:rtl/>
        </w:rPr>
        <w:t>למדינת</w:t>
      </w:r>
      <w:r w:rsidRPr="00F54AA8">
        <w:rPr>
          <w:b/>
          <w:bCs/>
          <w:rtl/>
        </w:rPr>
        <w:t xml:space="preserve"> </w:t>
      </w:r>
      <w:r w:rsidRPr="00F54AA8">
        <w:rPr>
          <w:rFonts w:hint="eastAsia"/>
          <w:b/>
          <w:bCs/>
          <w:rtl/>
        </w:rPr>
        <w:t>ישראל</w:t>
      </w:r>
      <w:r>
        <w:rPr>
          <w:rFonts w:hint="cs"/>
          <w:rtl/>
        </w:rPr>
        <w:t xml:space="preserve"> (2015).</w:t>
      </w:r>
    </w:p>
  </w:footnote>
  <w:footnote w:id="159">
    <w:p w14:paraId="7B592DF2" w14:textId="77777777" w:rsidR="00B10E6B" w:rsidRDefault="00B10E6B" w:rsidP="00881D79">
      <w:pPr>
        <w:pStyle w:val="a9"/>
        <w:rPr>
          <w:rtl/>
        </w:rPr>
      </w:pPr>
      <w:r w:rsidRPr="00881D79">
        <w:footnoteRef/>
      </w:r>
      <w:r w:rsidRPr="00881D79">
        <w:rPr>
          <w:rtl/>
        </w:rPr>
        <w:t xml:space="preserve"> </w:t>
      </w:r>
      <w:r w:rsidRPr="00881D79">
        <w:rPr>
          <w:rtl/>
        </w:rPr>
        <w:tab/>
      </w:r>
      <w:r w:rsidRPr="00881D79">
        <w:t>Her Majesty's Treasury, A New Approach to Public Private Partnerships</w:t>
      </w:r>
      <w:r>
        <w:t xml:space="preserve"> (2012)</w:t>
      </w:r>
      <w:r>
        <w:rPr>
          <w:rFonts w:hint="cs"/>
          <w:rtl/>
        </w:rPr>
        <w:t>, עמ' 49-47.</w:t>
      </w:r>
    </w:p>
  </w:footnote>
  <w:footnote w:id="160">
    <w:p w14:paraId="27448E22" w14:textId="77777777" w:rsidR="00B10E6B" w:rsidRDefault="00B10E6B" w:rsidP="00881D79">
      <w:pPr>
        <w:pStyle w:val="a9"/>
      </w:pPr>
      <w:r w:rsidRPr="00881D79">
        <w:footnoteRef/>
      </w:r>
      <w:r w:rsidRPr="00881D79">
        <w:rPr>
          <w:rtl/>
        </w:rPr>
        <w:t xml:space="preserve"> </w:t>
      </w:r>
      <w:r w:rsidRPr="00881D79">
        <w:rPr>
          <w:rtl/>
        </w:rPr>
        <w:tab/>
      </w:r>
      <w:r w:rsidRPr="00881D79">
        <w:rPr>
          <w:rFonts w:hint="eastAsia"/>
          <w:rtl/>
        </w:rPr>
        <w:t>מבקר</w:t>
      </w:r>
      <w:r w:rsidRPr="00CE277B">
        <w:rPr>
          <w:rtl/>
        </w:rPr>
        <w:t xml:space="preserve"> </w:t>
      </w:r>
      <w:r w:rsidRPr="00CE277B">
        <w:rPr>
          <w:rFonts w:hint="eastAsia"/>
          <w:rtl/>
        </w:rPr>
        <w:t>המדינה</w:t>
      </w:r>
      <w:r>
        <w:rPr>
          <w:rFonts w:hint="cs"/>
          <w:rtl/>
        </w:rPr>
        <w:t xml:space="preserve">, </w:t>
      </w:r>
      <w:r w:rsidRPr="00CE277B">
        <w:rPr>
          <w:rFonts w:hint="eastAsia"/>
          <w:b/>
          <w:bCs/>
          <w:rtl/>
        </w:rPr>
        <w:t>דוח</w:t>
      </w:r>
      <w:r w:rsidRPr="00CE277B">
        <w:rPr>
          <w:b/>
          <w:bCs/>
          <w:rtl/>
        </w:rPr>
        <w:t xml:space="preserve"> </w:t>
      </w:r>
      <w:r w:rsidRPr="00CE277B">
        <w:rPr>
          <w:rFonts w:hint="eastAsia"/>
          <w:b/>
          <w:bCs/>
          <w:rtl/>
        </w:rPr>
        <w:t>ביקורת</w:t>
      </w:r>
      <w:r w:rsidRPr="00CE277B">
        <w:rPr>
          <w:b/>
          <w:bCs/>
          <w:rtl/>
        </w:rPr>
        <w:t xml:space="preserve"> </w:t>
      </w:r>
      <w:r w:rsidRPr="00CE277B">
        <w:rPr>
          <w:rFonts w:hint="eastAsia"/>
          <w:b/>
          <w:bCs/>
          <w:rtl/>
        </w:rPr>
        <w:t>שנתי</w:t>
      </w:r>
      <w:r w:rsidRPr="00CE277B">
        <w:rPr>
          <w:b/>
          <w:bCs/>
          <w:rtl/>
        </w:rPr>
        <w:t xml:space="preserve"> 67א</w:t>
      </w:r>
      <w:r>
        <w:rPr>
          <w:rFonts w:hint="cs"/>
          <w:rtl/>
        </w:rPr>
        <w:t xml:space="preserve"> (2016), "חברת כביש חוצה ישראל בע"מ", 2016, עמ' 809.</w:t>
      </w:r>
    </w:p>
  </w:footnote>
  <w:footnote w:id="161">
    <w:p w14:paraId="0C0D7384" w14:textId="77777777" w:rsidR="00B10E6B" w:rsidRPr="002C06B9" w:rsidRDefault="00B10E6B" w:rsidP="0051671A">
      <w:pPr>
        <w:pStyle w:val="a9"/>
      </w:pPr>
      <w:r w:rsidRPr="0051671A">
        <w:footnoteRef/>
      </w:r>
      <w:r w:rsidRPr="0051671A">
        <w:rPr>
          <w:rtl/>
        </w:rPr>
        <w:t xml:space="preserve"> </w:t>
      </w:r>
      <w:r w:rsidRPr="0051671A">
        <w:rPr>
          <w:rtl/>
        </w:rPr>
        <w:tab/>
      </w:r>
      <w:r w:rsidRPr="0051671A">
        <w:rPr>
          <w:rFonts w:hint="eastAsia"/>
          <w:rtl/>
        </w:rPr>
        <w:t>מבקר</w:t>
      </w:r>
      <w:r w:rsidRPr="003A0C9F">
        <w:rPr>
          <w:rtl/>
        </w:rPr>
        <w:t xml:space="preserve"> </w:t>
      </w:r>
      <w:r w:rsidRPr="003A0C9F">
        <w:rPr>
          <w:rFonts w:hint="eastAsia"/>
          <w:rtl/>
        </w:rPr>
        <w:t>המדינה</w:t>
      </w:r>
      <w:r>
        <w:rPr>
          <w:rFonts w:hint="cs"/>
          <w:rtl/>
        </w:rPr>
        <w:t>,</w:t>
      </w:r>
      <w:r w:rsidRPr="002C06B9">
        <w:rPr>
          <w:rtl/>
        </w:rPr>
        <w:t xml:space="preserve"> </w:t>
      </w:r>
      <w:r w:rsidRPr="003A0C9F">
        <w:rPr>
          <w:rFonts w:hint="eastAsia"/>
          <w:b/>
          <w:bCs/>
          <w:rtl/>
        </w:rPr>
        <w:t>דוח</w:t>
      </w:r>
      <w:r w:rsidRPr="003A0C9F">
        <w:rPr>
          <w:b/>
          <w:bCs/>
          <w:rtl/>
        </w:rPr>
        <w:t xml:space="preserve"> </w:t>
      </w:r>
      <w:r w:rsidRPr="003A0C9F">
        <w:rPr>
          <w:rFonts w:hint="eastAsia"/>
          <w:b/>
          <w:bCs/>
          <w:rtl/>
        </w:rPr>
        <w:t>ביקורת</w:t>
      </w:r>
      <w:r w:rsidRPr="003A0C9F">
        <w:rPr>
          <w:b/>
          <w:bCs/>
          <w:rtl/>
        </w:rPr>
        <w:t xml:space="preserve"> </w:t>
      </w:r>
      <w:r w:rsidRPr="003A0C9F">
        <w:rPr>
          <w:rFonts w:hint="eastAsia"/>
          <w:b/>
          <w:bCs/>
          <w:rtl/>
        </w:rPr>
        <w:t>שנתי</w:t>
      </w:r>
      <w:r w:rsidRPr="003A0C9F">
        <w:rPr>
          <w:b/>
          <w:bCs/>
          <w:rtl/>
        </w:rPr>
        <w:t xml:space="preserve"> 65א</w:t>
      </w:r>
      <w:r>
        <w:rPr>
          <w:rFonts w:hint="cs"/>
          <w:rtl/>
        </w:rPr>
        <w:t xml:space="preserve"> (2014)</w:t>
      </w:r>
      <w:r w:rsidRPr="002C06B9">
        <w:rPr>
          <w:rtl/>
        </w:rPr>
        <w:t xml:space="preserve">, "הפיקוח </w:t>
      </w:r>
      <w:r w:rsidRPr="002C06B9">
        <w:rPr>
          <w:rFonts w:hint="eastAsia"/>
          <w:rtl/>
        </w:rPr>
        <w:t>על</w:t>
      </w:r>
      <w:r w:rsidRPr="002C06B9">
        <w:rPr>
          <w:rtl/>
        </w:rPr>
        <w:t xml:space="preserve"> </w:t>
      </w:r>
      <w:r w:rsidRPr="002C06B9">
        <w:rPr>
          <w:rFonts w:hint="eastAsia"/>
          <w:rtl/>
        </w:rPr>
        <w:t>הפעלת</w:t>
      </w:r>
      <w:r w:rsidRPr="002C06B9">
        <w:rPr>
          <w:rtl/>
        </w:rPr>
        <w:t xml:space="preserve"> </w:t>
      </w:r>
      <w:r w:rsidRPr="002C06B9">
        <w:rPr>
          <w:rFonts w:hint="eastAsia"/>
          <w:rtl/>
        </w:rPr>
        <w:t>הרכבת</w:t>
      </w:r>
      <w:r w:rsidRPr="002C06B9">
        <w:rPr>
          <w:rtl/>
        </w:rPr>
        <w:t xml:space="preserve"> </w:t>
      </w:r>
      <w:r w:rsidRPr="002C06B9">
        <w:rPr>
          <w:rFonts w:hint="eastAsia"/>
          <w:rtl/>
        </w:rPr>
        <w:t>הקלה</w:t>
      </w:r>
      <w:r w:rsidRPr="002C06B9">
        <w:rPr>
          <w:rtl/>
        </w:rPr>
        <w:t xml:space="preserve"> </w:t>
      </w:r>
      <w:r w:rsidRPr="002C06B9">
        <w:rPr>
          <w:rFonts w:hint="eastAsia"/>
          <w:rtl/>
        </w:rPr>
        <w:t>בירושלים</w:t>
      </w:r>
      <w:r w:rsidRPr="002C06B9">
        <w:rPr>
          <w:rtl/>
        </w:rPr>
        <w:t xml:space="preserve">", </w:t>
      </w:r>
      <w:r w:rsidRPr="002C06B9">
        <w:rPr>
          <w:rFonts w:hint="eastAsia"/>
          <w:rtl/>
        </w:rPr>
        <w:t>עמ</w:t>
      </w:r>
      <w:r>
        <w:rPr>
          <w:rFonts w:hint="cs"/>
          <w:rtl/>
        </w:rPr>
        <w:t xml:space="preserve">' </w:t>
      </w:r>
      <w:r w:rsidRPr="002C06B9">
        <w:rPr>
          <w:rtl/>
        </w:rPr>
        <w:t>557, 569.</w:t>
      </w:r>
    </w:p>
  </w:footnote>
  <w:footnote w:id="162">
    <w:p w14:paraId="7B15352A" w14:textId="77777777" w:rsidR="00B10E6B" w:rsidRPr="002C06B9" w:rsidRDefault="00B10E6B" w:rsidP="0051671A">
      <w:pPr>
        <w:pStyle w:val="a9"/>
        <w:rPr>
          <w:rtl/>
        </w:rPr>
      </w:pPr>
      <w:r w:rsidRPr="0051671A">
        <w:footnoteRef/>
      </w:r>
      <w:r w:rsidRPr="0051671A">
        <w:rPr>
          <w:rtl/>
        </w:rPr>
        <w:t xml:space="preserve"> </w:t>
      </w:r>
      <w:r w:rsidRPr="0051671A">
        <w:rPr>
          <w:rtl/>
        </w:rPr>
        <w:tab/>
      </w:r>
      <w:r w:rsidRPr="0051671A">
        <w:rPr>
          <w:rFonts w:hint="eastAsia"/>
          <w:rtl/>
        </w:rPr>
        <w:t>מבקר</w:t>
      </w:r>
      <w:r w:rsidRPr="003A0C9F">
        <w:rPr>
          <w:rtl/>
        </w:rPr>
        <w:t xml:space="preserve"> </w:t>
      </w:r>
      <w:r w:rsidRPr="003A0C9F">
        <w:rPr>
          <w:rFonts w:hint="eastAsia"/>
          <w:rtl/>
        </w:rPr>
        <w:t>המדינה</w:t>
      </w:r>
      <w:r>
        <w:rPr>
          <w:rFonts w:hint="cs"/>
          <w:rtl/>
        </w:rPr>
        <w:t>,</w:t>
      </w:r>
      <w:r w:rsidRPr="002C06B9">
        <w:rPr>
          <w:rtl/>
        </w:rPr>
        <w:t xml:space="preserve"> </w:t>
      </w:r>
      <w:r w:rsidRPr="003A0C9F">
        <w:rPr>
          <w:rFonts w:hint="eastAsia"/>
          <w:b/>
          <w:bCs/>
          <w:rtl/>
        </w:rPr>
        <w:t>דוח</w:t>
      </w:r>
      <w:r w:rsidRPr="003A0C9F">
        <w:rPr>
          <w:b/>
          <w:bCs/>
          <w:rtl/>
        </w:rPr>
        <w:t xml:space="preserve"> </w:t>
      </w:r>
      <w:r w:rsidRPr="003A0C9F">
        <w:rPr>
          <w:rFonts w:hint="eastAsia"/>
          <w:b/>
          <w:bCs/>
          <w:rtl/>
        </w:rPr>
        <w:t>ביקורת</w:t>
      </w:r>
      <w:r w:rsidRPr="003A0C9F">
        <w:rPr>
          <w:b/>
          <w:bCs/>
          <w:rtl/>
        </w:rPr>
        <w:t xml:space="preserve"> </w:t>
      </w:r>
      <w:r w:rsidRPr="003A0C9F">
        <w:rPr>
          <w:rFonts w:hint="eastAsia"/>
          <w:b/>
          <w:bCs/>
          <w:rtl/>
        </w:rPr>
        <w:t>שנתי</w:t>
      </w:r>
      <w:r w:rsidRPr="003A0C9F">
        <w:rPr>
          <w:b/>
          <w:bCs/>
          <w:rtl/>
        </w:rPr>
        <w:t xml:space="preserve"> 67א</w:t>
      </w:r>
      <w:r>
        <w:rPr>
          <w:rFonts w:hint="cs"/>
          <w:rtl/>
        </w:rPr>
        <w:t xml:space="preserve"> (2016)</w:t>
      </w:r>
      <w:r w:rsidRPr="002C06B9">
        <w:rPr>
          <w:rtl/>
        </w:rPr>
        <w:t xml:space="preserve">, "חברת </w:t>
      </w:r>
      <w:r w:rsidRPr="002C06B9">
        <w:rPr>
          <w:rFonts w:hint="eastAsia"/>
          <w:rtl/>
        </w:rPr>
        <w:t>כביש</w:t>
      </w:r>
      <w:r w:rsidRPr="002C06B9">
        <w:rPr>
          <w:rtl/>
        </w:rPr>
        <w:t xml:space="preserve"> </w:t>
      </w:r>
      <w:r w:rsidRPr="002C06B9">
        <w:rPr>
          <w:rFonts w:hint="eastAsia"/>
          <w:rtl/>
        </w:rPr>
        <w:t>חוצה</w:t>
      </w:r>
      <w:r w:rsidRPr="002C06B9">
        <w:rPr>
          <w:rtl/>
        </w:rPr>
        <w:t xml:space="preserve"> </w:t>
      </w:r>
      <w:r w:rsidRPr="002C06B9">
        <w:rPr>
          <w:rFonts w:hint="eastAsia"/>
          <w:rtl/>
        </w:rPr>
        <w:t>ישראל</w:t>
      </w:r>
      <w:r w:rsidRPr="002C06B9">
        <w:rPr>
          <w:rtl/>
        </w:rPr>
        <w:t xml:space="preserve"> </w:t>
      </w:r>
      <w:r w:rsidRPr="002C06B9">
        <w:rPr>
          <w:rFonts w:hint="eastAsia"/>
          <w:rtl/>
        </w:rPr>
        <w:t>בע</w:t>
      </w:r>
      <w:r w:rsidRPr="002C06B9">
        <w:rPr>
          <w:rtl/>
        </w:rPr>
        <w:t xml:space="preserve">"מ", </w:t>
      </w:r>
      <w:r w:rsidRPr="002C06B9">
        <w:rPr>
          <w:rFonts w:hint="eastAsia"/>
          <w:rtl/>
        </w:rPr>
        <w:t>עמ</w:t>
      </w:r>
      <w:r>
        <w:rPr>
          <w:rFonts w:hint="cs"/>
          <w:rtl/>
        </w:rPr>
        <w:t>'</w:t>
      </w:r>
      <w:r w:rsidRPr="002C06B9">
        <w:rPr>
          <w:rtl/>
        </w:rPr>
        <w:t xml:space="preserve"> 818.</w:t>
      </w:r>
    </w:p>
  </w:footnote>
  <w:footnote w:id="163">
    <w:p w14:paraId="77A57E85" w14:textId="4F5B4D41" w:rsidR="00B10E6B" w:rsidRPr="0051671A" w:rsidRDefault="00B10E6B" w:rsidP="0051671A">
      <w:pPr>
        <w:pStyle w:val="a9"/>
        <w:rPr>
          <w:rtl/>
        </w:rPr>
      </w:pPr>
      <w:r w:rsidRPr="0051671A">
        <w:rPr>
          <w:rStyle w:val="FootnoteReference"/>
          <w:vertAlign w:val="baseline"/>
        </w:rPr>
        <w:footnoteRef/>
      </w:r>
      <w:r w:rsidRPr="0051671A">
        <w:rPr>
          <w:rtl/>
        </w:rPr>
        <w:t xml:space="preserve"> </w:t>
      </w:r>
      <w:r w:rsidRPr="0051671A">
        <w:rPr>
          <w:rtl/>
        </w:rPr>
        <w:tab/>
      </w:r>
      <w:r w:rsidRPr="0051671A">
        <w:rPr>
          <w:rFonts w:hint="eastAsia"/>
          <w:rtl/>
        </w:rPr>
        <w:t>ראו</w:t>
      </w:r>
      <w:r w:rsidRPr="0051671A">
        <w:rPr>
          <w:rFonts w:hint="cs"/>
          <w:rtl/>
        </w:rPr>
        <w:t>:</w:t>
      </w:r>
      <w:r w:rsidRPr="0051671A">
        <w:rPr>
          <w:rtl/>
        </w:rPr>
        <w:t xml:space="preserve"> </w:t>
      </w:r>
      <w:r w:rsidRPr="0051671A">
        <w:t>The World Bank, Public-Private Partnerships Reference Guide, Version 3 (2017)</w:t>
      </w:r>
      <w:r w:rsidRPr="0051671A">
        <w:rPr>
          <w:rtl/>
        </w:rPr>
        <w:t xml:space="preserve">, </w:t>
      </w:r>
      <w:r w:rsidRPr="0051671A">
        <w:rPr>
          <w:rFonts w:hint="eastAsia"/>
          <w:rtl/>
        </w:rPr>
        <w:t>עמ</w:t>
      </w:r>
      <w:r w:rsidRPr="0051671A">
        <w:rPr>
          <w:rtl/>
        </w:rPr>
        <w:t>'</w:t>
      </w:r>
      <w:r w:rsidRPr="0051671A">
        <w:rPr>
          <w:rFonts w:hint="eastAsia"/>
          <w:rtl/>
        </w:rPr>
        <w:t xml:space="preserve"> </w:t>
      </w:r>
      <w:r w:rsidRPr="0051671A">
        <w:rPr>
          <w:rtl/>
        </w:rPr>
        <w:t>178</w:t>
      </w:r>
      <w:r w:rsidR="00E4373D">
        <w:rPr>
          <w:rFonts w:hint="cs"/>
          <w:rtl/>
        </w:rPr>
        <w:t>.</w:t>
      </w:r>
    </w:p>
  </w:footnote>
  <w:footnote w:id="164">
    <w:p w14:paraId="22F3B4AC" w14:textId="77777777" w:rsidR="00B10E6B" w:rsidRPr="0051671A" w:rsidRDefault="00B10E6B" w:rsidP="0051671A">
      <w:pPr>
        <w:pStyle w:val="a9"/>
        <w:rPr>
          <w:rtl/>
        </w:rPr>
      </w:pPr>
      <w:r w:rsidRPr="0051671A">
        <w:rPr>
          <w:rStyle w:val="FootnoteReference"/>
          <w:vertAlign w:val="baseline"/>
        </w:rPr>
        <w:footnoteRef/>
      </w:r>
      <w:r w:rsidRPr="0051671A">
        <w:rPr>
          <w:rtl/>
        </w:rPr>
        <w:t xml:space="preserve"> </w:t>
      </w:r>
      <w:r w:rsidRPr="0051671A">
        <w:rPr>
          <w:rtl/>
        </w:rPr>
        <w:tab/>
      </w:r>
      <w:r w:rsidRPr="0051671A">
        <w:rPr>
          <w:rFonts w:hint="cs"/>
          <w:rtl/>
        </w:rPr>
        <w:t>ראו: שם, עמ' 182.</w:t>
      </w:r>
    </w:p>
  </w:footnote>
  <w:footnote w:id="165">
    <w:p w14:paraId="7A66E3CD" w14:textId="77777777" w:rsidR="00B10E6B" w:rsidRPr="0051671A" w:rsidRDefault="00B10E6B" w:rsidP="0051671A">
      <w:pPr>
        <w:pStyle w:val="a9"/>
        <w:rPr>
          <w:rtl/>
        </w:rPr>
      </w:pPr>
      <w:r w:rsidRPr="0051671A">
        <w:rPr>
          <w:rStyle w:val="FootnoteReference"/>
          <w:vertAlign w:val="baseline"/>
        </w:rPr>
        <w:footnoteRef/>
      </w:r>
      <w:r w:rsidRPr="0051671A">
        <w:rPr>
          <w:rtl/>
        </w:rPr>
        <w:t xml:space="preserve"> </w:t>
      </w:r>
      <w:r w:rsidRPr="0051671A">
        <w:rPr>
          <w:rtl/>
        </w:rPr>
        <w:tab/>
      </w:r>
      <w:r w:rsidRPr="0051671A">
        <w:rPr>
          <w:rFonts w:hint="cs"/>
          <w:rtl/>
        </w:rPr>
        <w:t>משרד מבקר המדינה העיר בעבר על הצורך בפיקוח ובקרה על פעולות גופים מפוקחים מחשש ל"שבי רגולטורי" של המאסדר העשוי לנבוע מפערי ידע ומחשש שמא ינצלו הגופים המפוקחים את הוראות</w:t>
      </w:r>
      <w:r>
        <w:rPr>
          <w:rFonts w:hint="cs"/>
          <w:rtl/>
        </w:rPr>
        <w:t xml:space="preserve"> האסדרה. ראו: </w:t>
      </w:r>
      <w:r w:rsidRPr="003A0C9F">
        <w:rPr>
          <w:rFonts w:hint="eastAsia"/>
          <w:rtl/>
        </w:rPr>
        <w:t>מבקר</w:t>
      </w:r>
      <w:r w:rsidRPr="003A0C9F">
        <w:rPr>
          <w:rtl/>
        </w:rPr>
        <w:t xml:space="preserve"> </w:t>
      </w:r>
      <w:r w:rsidRPr="0051671A">
        <w:rPr>
          <w:rFonts w:hint="eastAsia"/>
          <w:rtl/>
        </w:rPr>
        <w:t>המדינה</w:t>
      </w:r>
      <w:r w:rsidRPr="0051671A">
        <w:rPr>
          <w:rFonts w:hint="cs"/>
          <w:rtl/>
        </w:rPr>
        <w:t xml:space="preserve">, </w:t>
      </w:r>
      <w:r w:rsidRPr="0051671A">
        <w:rPr>
          <w:rFonts w:hint="eastAsia"/>
          <w:rtl/>
        </w:rPr>
        <w:t>דוח</w:t>
      </w:r>
      <w:r w:rsidRPr="0051671A">
        <w:rPr>
          <w:rtl/>
        </w:rPr>
        <w:t xml:space="preserve"> </w:t>
      </w:r>
      <w:r w:rsidRPr="0051671A">
        <w:rPr>
          <w:rFonts w:hint="eastAsia"/>
          <w:rtl/>
        </w:rPr>
        <w:t>ביקורת</w:t>
      </w:r>
      <w:r w:rsidRPr="0051671A">
        <w:rPr>
          <w:rtl/>
        </w:rPr>
        <w:t xml:space="preserve"> </w:t>
      </w:r>
      <w:r w:rsidRPr="0051671A">
        <w:rPr>
          <w:rFonts w:hint="eastAsia"/>
          <w:rtl/>
        </w:rPr>
        <w:t>שנתי</w:t>
      </w:r>
      <w:r w:rsidRPr="0051671A">
        <w:rPr>
          <w:rtl/>
        </w:rPr>
        <w:t xml:space="preserve"> 66א</w:t>
      </w:r>
      <w:r w:rsidRPr="0051671A">
        <w:rPr>
          <w:rFonts w:hint="cs"/>
          <w:rtl/>
        </w:rPr>
        <w:t xml:space="preserve"> (2015), "התמודדות הממשלה עם הריכוזיות במשק", עמ' 12.</w:t>
      </w:r>
    </w:p>
  </w:footnote>
  <w:footnote w:id="166">
    <w:p w14:paraId="583E2DF3" w14:textId="77777777" w:rsidR="00B10E6B" w:rsidRPr="0051671A" w:rsidRDefault="00B10E6B" w:rsidP="0051671A">
      <w:pPr>
        <w:pStyle w:val="a9"/>
        <w:rPr>
          <w:rtl/>
        </w:rPr>
      </w:pPr>
      <w:r w:rsidRPr="0051671A">
        <w:rPr>
          <w:rStyle w:val="FootnoteReference"/>
          <w:vertAlign w:val="baseline"/>
        </w:rPr>
        <w:footnoteRef/>
      </w:r>
      <w:r w:rsidRPr="0051671A">
        <w:rPr>
          <w:rtl/>
        </w:rPr>
        <w:t xml:space="preserve"> </w:t>
      </w:r>
      <w:r w:rsidRPr="0051671A">
        <w:rPr>
          <w:rtl/>
        </w:rPr>
        <w:tab/>
      </w:r>
      <w:r w:rsidRPr="0051671A">
        <w:rPr>
          <w:rFonts w:hint="cs"/>
          <w:rtl/>
        </w:rPr>
        <w:t>לדוגמה: ברזיל וצרפת.</w:t>
      </w:r>
    </w:p>
  </w:footnote>
  <w:footnote w:id="167">
    <w:p w14:paraId="6475B47E" w14:textId="77777777" w:rsidR="00B10E6B" w:rsidRPr="0051671A" w:rsidRDefault="00B10E6B" w:rsidP="0051671A">
      <w:pPr>
        <w:pStyle w:val="a9"/>
        <w:rPr>
          <w:rtl/>
        </w:rPr>
      </w:pPr>
      <w:r w:rsidRPr="0051671A">
        <w:rPr>
          <w:rStyle w:val="FootnoteReference"/>
          <w:vertAlign w:val="baseline"/>
        </w:rPr>
        <w:footnoteRef/>
      </w:r>
      <w:r w:rsidRPr="0051671A">
        <w:rPr>
          <w:rtl/>
        </w:rPr>
        <w:t xml:space="preserve"> </w:t>
      </w:r>
      <w:r w:rsidRPr="0051671A">
        <w:rPr>
          <w:rtl/>
        </w:rPr>
        <w:tab/>
      </w:r>
      <w:r w:rsidRPr="0051671A">
        <w:rPr>
          <w:rFonts w:hint="cs"/>
          <w:rtl/>
        </w:rPr>
        <w:t>לדוגמה: בריטניה, צ'ילה וקוריאה.</w:t>
      </w:r>
    </w:p>
  </w:footnote>
  <w:footnote w:id="168">
    <w:p w14:paraId="129A3139" w14:textId="77777777" w:rsidR="00B10E6B" w:rsidRPr="0051671A" w:rsidRDefault="00B10E6B" w:rsidP="0051671A">
      <w:pPr>
        <w:pStyle w:val="a9"/>
        <w:rPr>
          <w:rtl/>
        </w:rPr>
      </w:pPr>
      <w:r w:rsidRPr="0051671A">
        <w:rPr>
          <w:rStyle w:val="FootnoteReference"/>
          <w:vertAlign w:val="baseline"/>
        </w:rPr>
        <w:footnoteRef/>
      </w:r>
      <w:r w:rsidRPr="0051671A">
        <w:rPr>
          <w:rtl/>
        </w:rPr>
        <w:t xml:space="preserve"> </w:t>
      </w:r>
      <w:r w:rsidRPr="0051671A">
        <w:rPr>
          <w:rtl/>
        </w:rPr>
        <w:tab/>
      </w:r>
      <w:r w:rsidRPr="0051671A">
        <w:rPr>
          <w:rFonts w:hint="cs"/>
          <w:rtl/>
        </w:rPr>
        <w:t xml:space="preserve">ראו: </w:t>
      </w:r>
      <w:r w:rsidRPr="0051671A">
        <w:t>The World Bank, Public-Private Partnerships Reference Guide, Version 3 (2017)</w:t>
      </w:r>
      <w:r w:rsidRPr="0051671A">
        <w:rPr>
          <w:rFonts w:hint="cs"/>
          <w:rtl/>
        </w:rPr>
        <w:t xml:space="preserve">, עמ' 74 - 75. </w:t>
      </w:r>
    </w:p>
  </w:footnote>
  <w:footnote w:id="169">
    <w:p w14:paraId="405F1D51" w14:textId="77777777" w:rsidR="00B10E6B" w:rsidRPr="00972B44" w:rsidRDefault="00B10E6B" w:rsidP="0051671A">
      <w:pPr>
        <w:pStyle w:val="a9"/>
        <w:rPr>
          <w:rtl/>
        </w:rPr>
      </w:pPr>
      <w:r w:rsidRPr="0051671A">
        <w:footnoteRef/>
      </w:r>
      <w:r w:rsidRPr="0051671A">
        <w:rPr>
          <w:rtl/>
        </w:rPr>
        <w:t xml:space="preserve"> </w:t>
      </w:r>
      <w:r w:rsidRPr="0051671A">
        <w:rPr>
          <w:rtl/>
        </w:rPr>
        <w:tab/>
      </w:r>
      <w:r w:rsidRPr="0051671A">
        <w:rPr>
          <w:rFonts w:hint="eastAsia"/>
          <w:rtl/>
        </w:rPr>
        <w:t>משרד</w:t>
      </w:r>
      <w:r w:rsidRPr="003A0C9F">
        <w:rPr>
          <w:rtl/>
        </w:rPr>
        <w:t xml:space="preserve"> </w:t>
      </w:r>
      <w:r w:rsidRPr="003A0C9F">
        <w:rPr>
          <w:rFonts w:hint="eastAsia"/>
          <w:rtl/>
        </w:rPr>
        <w:t>האנרגיה</w:t>
      </w:r>
      <w:r w:rsidRPr="003A0C9F">
        <w:rPr>
          <w:rtl/>
        </w:rPr>
        <w:t>,</w:t>
      </w:r>
      <w:r w:rsidRPr="00972B44">
        <w:rPr>
          <w:rtl/>
        </w:rPr>
        <w:t xml:space="preserve"> </w:t>
      </w:r>
      <w:r w:rsidRPr="003A0C9F">
        <w:rPr>
          <w:rFonts w:hint="eastAsia"/>
          <w:b/>
          <w:bCs/>
          <w:rtl/>
        </w:rPr>
        <w:t>ועדת</w:t>
      </w:r>
      <w:r w:rsidRPr="003A0C9F">
        <w:rPr>
          <w:b/>
          <w:bCs/>
          <w:rtl/>
        </w:rPr>
        <w:t xml:space="preserve"> </w:t>
      </w:r>
      <w:r w:rsidRPr="003A0C9F">
        <w:rPr>
          <w:rFonts w:hint="eastAsia"/>
          <w:b/>
          <w:bCs/>
          <w:rtl/>
        </w:rPr>
        <w:t>הבדיקה</w:t>
      </w:r>
      <w:r w:rsidRPr="003A0C9F">
        <w:rPr>
          <w:b/>
          <w:bCs/>
          <w:rtl/>
        </w:rPr>
        <w:t xml:space="preserve"> </w:t>
      </w:r>
      <w:r w:rsidRPr="003A0C9F">
        <w:rPr>
          <w:rFonts w:hint="eastAsia"/>
          <w:b/>
          <w:bCs/>
          <w:rtl/>
        </w:rPr>
        <w:t>לאירועים</w:t>
      </w:r>
      <w:r w:rsidRPr="003A0C9F">
        <w:rPr>
          <w:b/>
          <w:bCs/>
          <w:rtl/>
        </w:rPr>
        <w:t xml:space="preserve"> </w:t>
      </w:r>
      <w:r w:rsidRPr="003A0C9F">
        <w:rPr>
          <w:rFonts w:hint="eastAsia"/>
          <w:b/>
          <w:bCs/>
          <w:rtl/>
        </w:rPr>
        <w:t>במתקן</w:t>
      </w:r>
      <w:r w:rsidRPr="003A0C9F">
        <w:rPr>
          <w:b/>
          <w:bCs/>
          <w:rtl/>
        </w:rPr>
        <w:t xml:space="preserve"> </w:t>
      </w:r>
      <w:r w:rsidRPr="003A0C9F">
        <w:rPr>
          <w:rFonts w:hint="eastAsia"/>
          <w:b/>
          <w:bCs/>
          <w:rtl/>
        </w:rPr>
        <w:t>ההתפלה</w:t>
      </w:r>
      <w:r w:rsidRPr="003A0C9F">
        <w:rPr>
          <w:b/>
          <w:bCs/>
          <w:rtl/>
        </w:rPr>
        <w:t xml:space="preserve"> </w:t>
      </w:r>
      <w:r w:rsidRPr="003A0C9F">
        <w:rPr>
          <w:rFonts w:hint="eastAsia"/>
          <w:b/>
          <w:bCs/>
          <w:rtl/>
        </w:rPr>
        <w:t>שורק</w:t>
      </w:r>
      <w:r w:rsidRPr="00972B44">
        <w:rPr>
          <w:rtl/>
        </w:rPr>
        <w:t xml:space="preserve"> (2019).</w:t>
      </w:r>
    </w:p>
  </w:footnote>
  <w:footnote w:id="170">
    <w:p w14:paraId="1BF47C74" w14:textId="77777777" w:rsidR="00B10E6B" w:rsidRPr="00017500" w:rsidRDefault="00B10E6B" w:rsidP="00017500">
      <w:pPr>
        <w:pStyle w:val="a9"/>
        <w:rPr>
          <w:rtl/>
        </w:rPr>
      </w:pPr>
      <w:r w:rsidRPr="00017500">
        <w:rPr>
          <w:rStyle w:val="FootnoteReference"/>
          <w:vertAlign w:val="baseline"/>
        </w:rPr>
        <w:footnoteRef/>
      </w:r>
      <w:r w:rsidRPr="00017500">
        <w:rPr>
          <w:rtl/>
        </w:rPr>
        <w:t xml:space="preserve"> </w:t>
      </w:r>
      <w:r w:rsidRPr="00017500">
        <w:rPr>
          <w:rtl/>
        </w:rPr>
        <w:tab/>
      </w:r>
      <w:r w:rsidRPr="00017500">
        <w:t>OECD, Public-Private Partnerships and investment in Infrastructure (2010)</w:t>
      </w:r>
      <w:r w:rsidRPr="00017500">
        <w:rPr>
          <w:rtl/>
        </w:rPr>
        <w:t xml:space="preserve">, </w:t>
      </w:r>
      <w:r w:rsidRPr="00017500">
        <w:rPr>
          <w:rFonts w:hint="eastAsia"/>
          <w:rtl/>
        </w:rPr>
        <w:t>עמ</w:t>
      </w:r>
      <w:r w:rsidRPr="00017500">
        <w:rPr>
          <w:rFonts w:hint="cs"/>
          <w:rtl/>
        </w:rPr>
        <w:t>' 11, 22.</w:t>
      </w:r>
    </w:p>
  </w:footnote>
  <w:footnote w:id="171">
    <w:p w14:paraId="0D572152" w14:textId="77777777" w:rsidR="00B10E6B" w:rsidRDefault="00B10E6B" w:rsidP="00017500">
      <w:pPr>
        <w:pStyle w:val="a9"/>
      </w:pPr>
      <w:r w:rsidRPr="00017500">
        <w:rPr>
          <w:rStyle w:val="FootnoteReference"/>
          <w:vertAlign w:val="baseline"/>
        </w:rPr>
        <w:footnoteRef/>
      </w:r>
      <w:r w:rsidRPr="00017500">
        <w:rPr>
          <w:rtl/>
        </w:rPr>
        <w:t xml:space="preserve"> </w:t>
      </w:r>
      <w:r w:rsidRPr="00017500">
        <w:rPr>
          <w:rtl/>
        </w:rPr>
        <w:tab/>
      </w:r>
      <w:r w:rsidRPr="00017500">
        <w:rPr>
          <w:rFonts w:hint="cs"/>
          <w:rtl/>
        </w:rPr>
        <w:t>יחידה שתפקידה</w:t>
      </w:r>
      <w:r>
        <w:rPr>
          <w:rFonts w:hint="cs"/>
          <w:rtl/>
        </w:rPr>
        <w:t xml:space="preserve"> העיקרי לפקח על עבודת הזכיין. מתוך: </w:t>
      </w:r>
      <w:r w:rsidRPr="00206E2D">
        <w:rPr>
          <w:rFonts w:hint="eastAsia"/>
          <w:rtl/>
        </w:rPr>
        <w:t>מבקר</w:t>
      </w:r>
      <w:r w:rsidRPr="00206E2D">
        <w:rPr>
          <w:rtl/>
        </w:rPr>
        <w:t xml:space="preserve"> </w:t>
      </w:r>
      <w:r w:rsidRPr="00206E2D">
        <w:rPr>
          <w:rFonts w:hint="eastAsia"/>
          <w:rtl/>
        </w:rPr>
        <w:t>המדינה</w:t>
      </w:r>
      <w:r>
        <w:rPr>
          <w:rFonts w:hint="cs"/>
          <w:rtl/>
        </w:rPr>
        <w:t xml:space="preserve">, </w:t>
      </w:r>
      <w:r w:rsidRPr="00206E2D">
        <w:rPr>
          <w:rFonts w:hint="eastAsia"/>
          <w:b/>
          <w:bCs/>
          <w:rtl/>
        </w:rPr>
        <w:t>דוח</w:t>
      </w:r>
      <w:r w:rsidRPr="00206E2D">
        <w:rPr>
          <w:b/>
          <w:bCs/>
          <w:rtl/>
        </w:rPr>
        <w:t xml:space="preserve"> </w:t>
      </w:r>
      <w:r w:rsidRPr="00206E2D">
        <w:rPr>
          <w:rFonts w:hint="eastAsia"/>
          <w:b/>
          <w:bCs/>
          <w:rtl/>
        </w:rPr>
        <w:t>שנתי</w:t>
      </w:r>
      <w:r w:rsidRPr="00206E2D">
        <w:rPr>
          <w:b/>
          <w:bCs/>
          <w:rtl/>
        </w:rPr>
        <w:t xml:space="preserve"> 65א</w:t>
      </w:r>
      <w:r>
        <w:rPr>
          <w:rFonts w:hint="cs"/>
          <w:rtl/>
        </w:rPr>
        <w:t xml:space="preserve"> (2014), "הפיקוח על הפעלת הרכבת הקלה בירושלים", עמ' 555.</w:t>
      </w:r>
    </w:p>
  </w:footnote>
  <w:footnote w:id="172">
    <w:p w14:paraId="62A5FC96" w14:textId="77777777" w:rsidR="00B10E6B" w:rsidRPr="00017500" w:rsidRDefault="00B10E6B" w:rsidP="00017500">
      <w:pPr>
        <w:pStyle w:val="a9"/>
        <w:rPr>
          <w:rtl/>
        </w:rPr>
      </w:pPr>
      <w:r w:rsidRPr="00017500">
        <w:rPr>
          <w:rStyle w:val="FootnoteReference"/>
          <w:vertAlign w:val="baseline"/>
        </w:rPr>
        <w:footnoteRef/>
      </w:r>
      <w:r w:rsidRPr="00017500">
        <w:rPr>
          <w:rtl/>
        </w:rPr>
        <w:t xml:space="preserve"> </w:t>
      </w:r>
      <w:r w:rsidRPr="00017500">
        <w:rPr>
          <w:rtl/>
        </w:rPr>
        <w:tab/>
      </w:r>
      <w:r w:rsidRPr="00017500">
        <w:rPr>
          <w:rFonts w:hint="cs"/>
          <w:rtl/>
        </w:rPr>
        <w:t>שינוי בתוכנית ההפעלה של הרכבת הקלה שעוגן בתוספות להסכם הזיכיון שנחתמו לאחר יולי 2015. לפי השינוי, תדירותה של הגעת הרכבות בשעות השיא תפחת בכל שש דקות, ובשעות שאינן שעות שיא - בחלקן תגבר התדירות ובחלקן תפחת.</w:t>
      </w:r>
    </w:p>
    <w:p w14:paraId="14D7F05E" w14:textId="77777777" w:rsidR="00B10E6B" w:rsidRDefault="00B10E6B" w:rsidP="00017500">
      <w:pPr>
        <w:pStyle w:val="a9"/>
        <w:rPr>
          <w:rtl/>
        </w:rPr>
      </w:pPr>
      <w:r w:rsidRPr="00017500">
        <w:rPr>
          <w:rtl/>
        </w:rPr>
        <w:tab/>
      </w:r>
      <w:r w:rsidRPr="00017500">
        <w:rPr>
          <w:rFonts w:hint="cs"/>
          <w:rtl/>
        </w:rPr>
        <w:t>מתוך</w:t>
      </w:r>
      <w:r>
        <w:rPr>
          <w:rFonts w:hint="cs"/>
          <w:rtl/>
        </w:rPr>
        <w:t xml:space="preserve">: </w:t>
      </w:r>
      <w:r w:rsidRPr="00206E2D">
        <w:rPr>
          <w:rFonts w:hint="eastAsia"/>
          <w:rtl/>
        </w:rPr>
        <w:t>מבקר</w:t>
      </w:r>
      <w:r w:rsidRPr="00206E2D">
        <w:rPr>
          <w:rtl/>
        </w:rPr>
        <w:t xml:space="preserve"> </w:t>
      </w:r>
      <w:r w:rsidRPr="00206E2D">
        <w:rPr>
          <w:rFonts w:hint="eastAsia"/>
          <w:rtl/>
        </w:rPr>
        <w:t>המדינה</w:t>
      </w:r>
      <w:r>
        <w:rPr>
          <w:rFonts w:hint="cs"/>
          <w:rtl/>
        </w:rPr>
        <w:t xml:space="preserve">, </w:t>
      </w:r>
      <w:r w:rsidRPr="00206E2D">
        <w:rPr>
          <w:rFonts w:hint="eastAsia"/>
          <w:b/>
          <w:bCs/>
          <w:rtl/>
        </w:rPr>
        <w:t>דוח</w:t>
      </w:r>
      <w:r w:rsidRPr="00206E2D">
        <w:rPr>
          <w:b/>
          <w:bCs/>
          <w:rtl/>
        </w:rPr>
        <w:t xml:space="preserve"> </w:t>
      </w:r>
      <w:r w:rsidRPr="00206E2D">
        <w:rPr>
          <w:rFonts w:hint="eastAsia"/>
          <w:b/>
          <w:bCs/>
          <w:rtl/>
        </w:rPr>
        <w:t>ביקורת</w:t>
      </w:r>
      <w:r w:rsidRPr="00206E2D">
        <w:rPr>
          <w:b/>
          <w:bCs/>
          <w:rtl/>
        </w:rPr>
        <w:t xml:space="preserve"> </w:t>
      </w:r>
      <w:r w:rsidRPr="00206E2D">
        <w:rPr>
          <w:rFonts w:hint="eastAsia"/>
          <w:b/>
          <w:bCs/>
          <w:rtl/>
        </w:rPr>
        <w:t>מיוחד</w:t>
      </w:r>
      <w:r>
        <w:rPr>
          <w:rFonts w:hint="cs"/>
          <w:b/>
          <w:bCs/>
          <w:rtl/>
        </w:rPr>
        <w:t>:</w:t>
      </w:r>
      <w:r w:rsidRPr="00206E2D">
        <w:rPr>
          <w:b/>
          <w:bCs/>
          <w:rtl/>
        </w:rPr>
        <w:t xml:space="preserve"> </w:t>
      </w:r>
      <w:r w:rsidRPr="00206E2D">
        <w:rPr>
          <w:rFonts w:hint="eastAsia"/>
          <w:b/>
          <w:bCs/>
          <w:rtl/>
        </w:rPr>
        <w:t>משבר</w:t>
      </w:r>
      <w:r w:rsidRPr="00206E2D">
        <w:rPr>
          <w:b/>
          <w:bCs/>
          <w:rtl/>
        </w:rPr>
        <w:t xml:space="preserve"> </w:t>
      </w:r>
      <w:r w:rsidRPr="00206E2D">
        <w:rPr>
          <w:rFonts w:hint="eastAsia"/>
          <w:b/>
          <w:bCs/>
          <w:rtl/>
        </w:rPr>
        <w:t>התחבורה</w:t>
      </w:r>
      <w:r w:rsidRPr="00206E2D">
        <w:rPr>
          <w:b/>
          <w:bCs/>
          <w:rtl/>
        </w:rPr>
        <w:t xml:space="preserve"> </w:t>
      </w:r>
      <w:r w:rsidRPr="00206E2D">
        <w:rPr>
          <w:rFonts w:hint="eastAsia"/>
          <w:b/>
          <w:bCs/>
          <w:rtl/>
        </w:rPr>
        <w:t>הציבורית</w:t>
      </w:r>
      <w:r>
        <w:rPr>
          <w:rFonts w:hint="cs"/>
          <w:rtl/>
        </w:rPr>
        <w:t xml:space="preserve"> (2019), "השירות לנוסעים של הרכבת הקלה בירושלים", עמ' 498, 503.</w:t>
      </w:r>
    </w:p>
  </w:footnote>
  <w:footnote w:id="173">
    <w:p w14:paraId="3B2D12E0" w14:textId="77777777" w:rsidR="00B10E6B" w:rsidRDefault="00B10E6B" w:rsidP="00017500">
      <w:pPr>
        <w:pStyle w:val="a9"/>
        <w:rPr>
          <w:rtl/>
        </w:rPr>
      </w:pPr>
      <w:r w:rsidRPr="00017500">
        <w:footnoteRef/>
      </w:r>
      <w:r w:rsidRPr="00017500">
        <w:rPr>
          <w:rtl/>
        </w:rPr>
        <w:t xml:space="preserve"> </w:t>
      </w:r>
      <w:r w:rsidRPr="00017500">
        <w:rPr>
          <w:rtl/>
        </w:rPr>
        <w:tab/>
      </w:r>
      <w:r w:rsidRPr="00017500">
        <w:rPr>
          <w:rFonts w:hint="cs"/>
          <w:rtl/>
        </w:rPr>
        <w:t>עת"</w:t>
      </w:r>
      <w:r w:rsidRPr="00190233">
        <w:rPr>
          <w:rFonts w:hint="cs"/>
          <w:rtl/>
        </w:rPr>
        <w:t xml:space="preserve">מ 7667-04-10 </w:t>
      </w:r>
      <w:r w:rsidRPr="00190233">
        <w:rPr>
          <w:rFonts w:hint="cs"/>
          <w:b/>
          <w:bCs/>
        </w:rPr>
        <w:t>P</w:t>
      </w:r>
      <w:r w:rsidRPr="00190233">
        <w:rPr>
          <w:b/>
          <w:bCs/>
        </w:rPr>
        <w:t>ullman Power LLC</w:t>
      </w:r>
      <w:r w:rsidRPr="00190233">
        <w:rPr>
          <w:rFonts w:hint="cs"/>
          <w:b/>
          <w:bCs/>
          <w:rtl/>
        </w:rPr>
        <w:t xml:space="preserve"> נ' חברת החשמל לישראל בע"מ</w:t>
      </w:r>
      <w:r>
        <w:rPr>
          <w:rFonts w:hint="cs"/>
          <w:rtl/>
        </w:rPr>
        <w:t>.</w:t>
      </w:r>
    </w:p>
  </w:footnote>
  <w:footnote w:id="174">
    <w:p w14:paraId="4B39F537" w14:textId="77777777" w:rsidR="00B10E6B" w:rsidRDefault="00B10E6B" w:rsidP="00017500">
      <w:pPr>
        <w:pStyle w:val="a9"/>
        <w:rPr>
          <w:rtl/>
        </w:rPr>
      </w:pPr>
      <w:r w:rsidRPr="00017500">
        <w:footnoteRef/>
      </w:r>
      <w:r w:rsidRPr="00017500">
        <w:rPr>
          <w:rtl/>
        </w:rPr>
        <w:t xml:space="preserve"> </w:t>
      </w:r>
      <w:r w:rsidRPr="00017500">
        <w:rPr>
          <w:rtl/>
        </w:rPr>
        <w:tab/>
      </w:r>
      <w:r w:rsidRPr="00017500">
        <w:rPr>
          <w:rFonts w:hint="cs"/>
          <w:rtl/>
        </w:rPr>
        <w:t>בר</w:t>
      </w:r>
      <w:r>
        <w:rPr>
          <w:rFonts w:hint="cs"/>
          <w:rtl/>
        </w:rPr>
        <w:t xml:space="preserve">"ם 6573/09 </w:t>
      </w:r>
      <w:r w:rsidRPr="002A27EE">
        <w:rPr>
          <w:rFonts w:hint="cs"/>
          <w:b/>
          <w:bCs/>
          <w:rtl/>
        </w:rPr>
        <w:t>דוד שחר ובניו (1995) בע"מ נ' מע"צ-החברה הלאומית לדרכים בישראל בע"מ</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BAF7D" w14:textId="192DC3D3" w:rsidR="00B10E6B" w:rsidRDefault="00B10E6B" w:rsidP="005614EB">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56704" behindDoc="1" locked="0" layoutInCell="1" allowOverlap="1" wp14:anchorId="39C805EF" wp14:editId="093C60F2">
          <wp:simplePos x="0" y="0"/>
          <wp:positionH relativeFrom="column">
            <wp:posOffset>-635</wp:posOffset>
          </wp:positionH>
          <wp:positionV relativeFrom="paragraph">
            <wp:posOffset>-81915</wp:posOffset>
          </wp:positionV>
          <wp:extent cx="5219700" cy="30924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2</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1172F310" w14:textId="31FB5013" w:rsidR="00B10E6B" w:rsidRPr="001526AC" w:rsidRDefault="00B10E6B" w:rsidP="001526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B10E6B" w:rsidRPr="00D15500" w:rsidRDefault="00B10E6B"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0288" behindDoc="0" locked="0" layoutInCell="1" allowOverlap="1" wp14:anchorId="6BA65175" wp14:editId="6C5FD43E">
          <wp:simplePos x="0" y="0"/>
          <wp:positionH relativeFrom="column">
            <wp:posOffset>1509601</wp:posOffset>
          </wp:positionH>
          <wp:positionV relativeFrom="paragraph">
            <wp:posOffset>-19685</wp:posOffset>
          </wp:positionV>
          <wp:extent cx="379095" cy="250190"/>
          <wp:effectExtent l="0" t="0" r="1905"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335E2E6F">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B10E6B" w:rsidRPr="005B4811" w:rsidRDefault="00B10E6B"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2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B10E6B" w:rsidRPr="005B4811" w:rsidRDefault="00B10E6B"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4144" behindDoc="0" locked="0" layoutInCell="1" allowOverlap="1" wp14:anchorId="7228728C" wp14:editId="3F281EFB">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B10E6B" w:rsidRPr="005B4811" w:rsidRDefault="00B10E6B"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27" type="#_x0000_t202" style="position:absolute;left:0;text-align:left;margin-left:321.15pt;margin-top:-.9pt;width:70.55pt;height:123.65pt;flip:x;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B10E6B" w:rsidRPr="005B4811" w:rsidRDefault="00B10E6B"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421E8F4D">
          <wp:simplePos x="0" y="0"/>
          <wp:positionH relativeFrom="column">
            <wp:posOffset>4955969</wp:posOffset>
          </wp:positionH>
          <wp:positionV relativeFrom="paragraph">
            <wp:posOffset>-43815</wp:posOffset>
          </wp:positionV>
          <wp:extent cx="245110" cy="301625"/>
          <wp:effectExtent l="0" t="0" r="2540" b="3175"/>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3030E6FC"/>
    <w:lvl w:ilvl="0">
      <w:start w:val="1"/>
      <w:numFmt w:val="decimal"/>
      <w:pStyle w:val="a"/>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0DDD178A"/>
    <w:multiLevelType w:val="hybridMultilevel"/>
    <w:tmpl w:val="FEFEF4F2"/>
    <w:lvl w:ilvl="0" w:tplc="85847C20">
      <w:start w:val="1"/>
      <w:numFmt w:val="bullet"/>
      <w:pStyle w:val="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3" w15:restartNumberingAfterBreak="0">
    <w:nsid w:val="180B0E4D"/>
    <w:multiLevelType w:val="hybridMultilevel"/>
    <w:tmpl w:val="C5504224"/>
    <w:lvl w:ilvl="0" w:tplc="89F85E30">
      <w:start w:val="1"/>
      <w:numFmt w:val="decimal"/>
      <w:lvlText w:val="%1."/>
      <w:lvlJc w:val="left"/>
      <w:pPr>
        <w:ind w:left="720" w:hanging="360"/>
      </w:pPr>
      <w:rPr>
        <w:rFonts w:eastAsiaTheme="maj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0"/>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15:restartNumberingAfterBreak="0">
    <w:nsid w:val="243B15E6"/>
    <w:multiLevelType w:val="hybridMultilevel"/>
    <w:tmpl w:val="25327808"/>
    <w:lvl w:ilvl="0" w:tplc="9BB88822">
      <w:start w:val="1"/>
      <w:numFmt w:val="decimal"/>
      <w:lvlText w:val="%1."/>
      <w:lvlJc w:val="left"/>
      <w:pPr>
        <w:ind w:left="720" w:hanging="360"/>
      </w:pPr>
      <w:rPr>
        <w:rFonts w:eastAsiaTheme="maj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7" w15:restartNumberingAfterBreak="0">
    <w:nsid w:val="322039FB"/>
    <w:multiLevelType w:val="hybridMultilevel"/>
    <w:tmpl w:val="473AF78E"/>
    <w:lvl w:ilvl="0" w:tplc="36DE4FA2">
      <w:start w:val="1"/>
      <w:numFmt w:val="hebrew1"/>
      <w:lvlText w:val="%1."/>
      <w:lvlJc w:val="left"/>
      <w:pPr>
        <w:ind w:left="360" w:hanging="360"/>
      </w:pPr>
      <w:rPr>
        <w:rFonts w:hint="default"/>
      </w:rPr>
    </w:lvl>
    <w:lvl w:ilvl="1" w:tplc="5AFAB75C">
      <w:start w:val="1"/>
      <w:numFmt w:val="lowerLetter"/>
      <w:lvlText w:val="%2."/>
      <w:lvlJc w:val="left"/>
      <w:pPr>
        <w:ind w:left="1080" w:hanging="360"/>
      </w:pPr>
    </w:lvl>
    <w:lvl w:ilvl="2" w:tplc="DF903C7E" w:tentative="1">
      <w:start w:val="1"/>
      <w:numFmt w:val="lowerRoman"/>
      <w:lvlText w:val="%3."/>
      <w:lvlJc w:val="right"/>
      <w:pPr>
        <w:ind w:left="1800" w:hanging="180"/>
      </w:pPr>
    </w:lvl>
    <w:lvl w:ilvl="3" w:tplc="FC2A595A" w:tentative="1">
      <w:start w:val="1"/>
      <w:numFmt w:val="decimal"/>
      <w:lvlText w:val="%4."/>
      <w:lvlJc w:val="left"/>
      <w:pPr>
        <w:ind w:left="2520" w:hanging="360"/>
      </w:pPr>
    </w:lvl>
    <w:lvl w:ilvl="4" w:tplc="43EE8E30" w:tentative="1">
      <w:start w:val="1"/>
      <w:numFmt w:val="lowerLetter"/>
      <w:lvlText w:val="%5."/>
      <w:lvlJc w:val="left"/>
      <w:pPr>
        <w:ind w:left="3240" w:hanging="360"/>
      </w:pPr>
    </w:lvl>
    <w:lvl w:ilvl="5" w:tplc="57EC7176" w:tentative="1">
      <w:start w:val="1"/>
      <w:numFmt w:val="lowerRoman"/>
      <w:lvlText w:val="%6."/>
      <w:lvlJc w:val="right"/>
      <w:pPr>
        <w:ind w:left="3960" w:hanging="180"/>
      </w:pPr>
    </w:lvl>
    <w:lvl w:ilvl="6" w:tplc="578E5ED8" w:tentative="1">
      <w:start w:val="1"/>
      <w:numFmt w:val="decimal"/>
      <w:lvlText w:val="%7."/>
      <w:lvlJc w:val="left"/>
      <w:pPr>
        <w:ind w:left="4680" w:hanging="360"/>
      </w:pPr>
    </w:lvl>
    <w:lvl w:ilvl="7" w:tplc="00F62412" w:tentative="1">
      <w:start w:val="1"/>
      <w:numFmt w:val="lowerLetter"/>
      <w:lvlText w:val="%8."/>
      <w:lvlJc w:val="left"/>
      <w:pPr>
        <w:ind w:left="5400" w:hanging="360"/>
      </w:pPr>
    </w:lvl>
    <w:lvl w:ilvl="8" w:tplc="37D43C6A" w:tentative="1">
      <w:start w:val="1"/>
      <w:numFmt w:val="lowerRoman"/>
      <w:lvlText w:val="%9."/>
      <w:lvlJc w:val="right"/>
      <w:pPr>
        <w:ind w:left="6120" w:hanging="180"/>
      </w:pPr>
    </w:lvl>
  </w:abstractNum>
  <w:abstractNum w:abstractNumId="8" w15:restartNumberingAfterBreak="0">
    <w:nsid w:val="351D65F9"/>
    <w:multiLevelType w:val="hybridMultilevel"/>
    <w:tmpl w:val="667ADF0A"/>
    <w:lvl w:ilvl="0" w:tplc="4732CB30">
      <w:start w:val="1"/>
      <w:numFmt w:val="decimal"/>
      <w:lvlText w:val="%1."/>
      <w:lvlJc w:val="left"/>
      <w:pPr>
        <w:ind w:left="672" w:hanging="360"/>
      </w:pPr>
      <w:rPr>
        <w:rFonts w:hint="default"/>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9" w15:restartNumberingAfterBreak="0">
    <w:nsid w:val="36632274"/>
    <w:multiLevelType w:val="hybridMultilevel"/>
    <w:tmpl w:val="B85E6F8A"/>
    <w:lvl w:ilvl="0" w:tplc="A8B22F1C">
      <w:start w:val="1"/>
      <w:numFmt w:val="hebrew1"/>
      <w:lvlText w:val="%1."/>
      <w:lvlJc w:val="left"/>
      <w:pPr>
        <w:ind w:left="720" w:hanging="360"/>
      </w:pPr>
      <w:rPr>
        <w:rFonts w:eastAsiaTheme="maj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3BC1088C"/>
    <w:multiLevelType w:val="multilevel"/>
    <w:tmpl w:val="1B9ECDF4"/>
    <w:lvl w:ilvl="0">
      <w:start w:val="1"/>
      <w:numFmt w:val="decimal"/>
      <w:pStyle w:val="a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2"/>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411036A3"/>
    <w:multiLevelType w:val="hybridMultilevel"/>
    <w:tmpl w:val="2B12D1DA"/>
    <w:lvl w:ilvl="0" w:tplc="BDDEA004">
      <w:start w:val="1"/>
      <w:numFmt w:val="hebrew1"/>
      <w:lvlText w:val="%1."/>
      <w:lvlJc w:val="left"/>
      <w:pPr>
        <w:ind w:left="720" w:hanging="360"/>
      </w:pPr>
      <w:rPr>
        <w:rFonts w:eastAsiaTheme="maj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9C2999"/>
    <w:multiLevelType w:val="multilevel"/>
    <w:tmpl w:val="065C52B0"/>
    <w:lvl w:ilvl="0">
      <w:start w:val="1"/>
      <w:numFmt w:val="hebrew1"/>
      <w:lvlRestart w:val="0"/>
      <w:pStyle w:val="a3"/>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52A00758"/>
    <w:multiLevelType w:val="hybridMultilevel"/>
    <w:tmpl w:val="5C56C628"/>
    <w:lvl w:ilvl="0" w:tplc="BFDE5D78">
      <w:start w:val="1"/>
      <w:numFmt w:val="decimal"/>
      <w:lvlText w:val="%1."/>
      <w:lvlJc w:val="left"/>
      <w:pPr>
        <w:ind w:left="672" w:hanging="360"/>
      </w:pPr>
      <w:rPr>
        <w:rFonts w:eastAsiaTheme="majorEastAsia" w:hint="default"/>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15" w15:restartNumberingAfterBreak="0">
    <w:nsid w:val="53AC29FA"/>
    <w:multiLevelType w:val="hybridMultilevel"/>
    <w:tmpl w:val="260E3514"/>
    <w:lvl w:ilvl="0" w:tplc="D758F6E6">
      <w:start w:val="1"/>
      <w:numFmt w:val="hebrew1"/>
      <w:lvlText w:val="%1."/>
      <w:lvlJc w:val="center"/>
      <w:pPr>
        <w:ind w:left="502" w:hanging="360"/>
      </w:pPr>
      <w:rPr>
        <w:rFonts w:hint="default"/>
      </w:rPr>
    </w:lvl>
    <w:lvl w:ilvl="1" w:tplc="72B61C8C" w:tentative="1">
      <w:start w:val="1"/>
      <w:numFmt w:val="lowerLetter"/>
      <w:lvlText w:val="%2."/>
      <w:lvlJc w:val="left"/>
      <w:pPr>
        <w:ind w:left="1392" w:hanging="360"/>
      </w:pPr>
    </w:lvl>
    <w:lvl w:ilvl="2" w:tplc="995022FA" w:tentative="1">
      <w:start w:val="1"/>
      <w:numFmt w:val="lowerRoman"/>
      <w:lvlText w:val="%3."/>
      <w:lvlJc w:val="right"/>
      <w:pPr>
        <w:ind w:left="2112" w:hanging="180"/>
      </w:pPr>
    </w:lvl>
    <w:lvl w:ilvl="3" w:tplc="242AA76C" w:tentative="1">
      <w:start w:val="1"/>
      <w:numFmt w:val="decimal"/>
      <w:lvlText w:val="%4."/>
      <w:lvlJc w:val="left"/>
      <w:pPr>
        <w:ind w:left="2832" w:hanging="360"/>
      </w:pPr>
    </w:lvl>
    <w:lvl w:ilvl="4" w:tplc="44945FB4" w:tentative="1">
      <w:start w:val="1"/>
      <w:numFmt w:val="lowerLetter"/>
      <w:lvlText w:val="%5."/>
      <w:lvlJc w:val="left"/>
      <w:pPr>
        <w:ind w:left="3552" w:hanging="360"/>
      </w:pPr>
    </w:lvl>
    <w:lvl w:ilvl="5" w:tplc="F6DAA2E0" w:tentative="1">
      <w:start w:val="1"/>
      <w:numFmt w:val="lowerRoman"/>
      <w:lvlText w:val="%6."/>
      <w:lvlJc w:val="right"/>
      <w:pPr>
        <w:ind w:left="4272" w:hanging="180"/>
      </w:pPr>
    </w:lvl>
    <w:lvl w:ilvl="6" w:tplc="0458F520">
      <w:start w:val="1"/>
      <w:numFmt w:val="decimal"/>
      <w:lvlText w:val="%7."/>
      <w:lvlJc w:val="left"/>
      <w:pPr>
        <w:ind w:left="4992" w:hanging="360"/>
      </w:pPr>
    </w:lvl>
    <w:lvl w:ilvl="7" w:tplc="785C0848" w:tentative="1">
      <w:start w:val="1"/>
      <w:numFmt w:val="lowerLetter"/>
      <w:lvlText w:val="%8."/>
      <w:lvlJc w:val="left"/>
      <w:pPr>
        <w:ind w:left="5712" w:hanging="360"/>
      </w:pPr>
    </w:lvl>
    <w:lvl w:ilvl="8" w:tplc="16A629CC" w:tentative="1">
      <w:start w:val="1"/>
      <w:numFmt w:val="lowerRoman"/>
      <w:lvlText w:val="%9."/>
      <w:lvlJc w:val="right"/>
      <w:pPr>
        <w:ind w:left="6432" w:hanging="180"/>
      </w:pPr>
    </w:lvl>
  </w:abstractNum>
  <w:abstractNum w:abstractNumId="16" w15:restartNumberingAfterBreak="0">
    <w:nsid w:val="5BAC1F8C"/>
    <w:multiLevelType w:val="hybridMultilevel"/>
    <w:tmpl w:val="383600F0"/>
    <w:lvl w:ilvl="0" w:tplc="AA7832A0">
      <w:start w:val="1"/>
      <w:numFmt w:val="hebrew1"/>
      <w:lvlText w:val="(%1)"/>
      <w:lvlJc w:val="left"/>
      <w:pPr>
        <w:ind w:left="360" w:hanging="360"/>
      </w:pPr>
      <w:rPr>
        <w:rFonts w:hint="default"/>
      </w:rPr>
    </w:lvl>
    <w:lvl w:ilvl="1" w:tplc="9F748E1E" w:tentative="1">
      <w:start w:val="1"/>
      <w:numFmt w:val="lowerLetter"/>
      <w:lvlText w:val="%2."/>
      <w:lvlJc w:val="left"/>
      <w:pPr>
        <w:ind w:left="1080" w:hanging="360"/>
      </w:pPr>
    </w:lvl>
    <w:lvl w:ilvl="2" w:tplc="C1D0F264" w:tentative="1">
      <w:start w:val="1"/>
      <w:numFmt w:val="lowerRoman"/>
      <w:lvlText w:val="%3."/>
      <w:lvlJc w:val="right"/>
      <w:pPr>
        <w:ind w:left="1800" w:hanging="180"/>
      </w:pPr>
    </w:lvl>
    <w:lvl w:ilvl="3" w:tplc="65223D7E" w:tentative="1">
      <w:start w:val="1"/>
      <w:numFmt w:val="decimal"/>
      <w:lvlText w:val="%4."/>
      <w:lvlJc w:val="left"/>
      <w:pPr>
        <w:ind w:left="2520" w:hanging="360"/>
      </w:pPr>
    </w:lvl>
    <w:lvl w:ilvl="4" w:tplc="78E8C9E2" w:tentative="1">
      <w:start w:val="1"/>
      <w:numFmt w:val="lowerLetter"/>
      <w:lvlText w:val="%5."/>
      <w:lvlJc w:val="left"/>
      <w:pPr>
        <w:ind w:left="3240" w:hanging="360"/>
      </w:pPr>
    </w:lvl>
    <w:lvl w:ilvl="5" w:tplc="97D8E5F4" w:tentative="1">
      <w:start w:val="1"/>
      <w:numFmt w:val="lowerRoman"/>
      <w:lvlText w:val="%6."/>
      <w:lvlJc w:val="right"/>
      <w:pPr>
        <w:ind w:left="3960" w:hanging="180"/>
      </w:pPr>
    </w:lvl>
    <w:lvl w:ilvl="6" w:tplc="66427DF8" w:tentative="1">
      <w:start w:val="1"/>
      <w:numFmt w:val="decimal"/>
      <w:lvlText w:val="%7."/>
      <w:lvlJc w:val="left"/>
      <w:pPr>
        <w:ind w:left="4680" w:hanging="360"/>
      </w:pPr>
    </w:lvl>
    <w:lvl w:ilvl="7" w:tplc="32CAFD50" w:tentative="1">
      <w:start w:val="1"/>
      <w:numFmt w:val="lowerLetter"/>
      <w:lvlText w:val="%8."/>
      <w:lvlJc w:val="left"/>
      <w:pPr>
        <w:ind w:left="5400" w:hanging="360"/>
      </w:pPr>
    </w:lvl>
    <w:lvl w:ilvl="8" w:tplc="78F01C7A" w:tentative="1">
      <w:start w:val="1"/>
      <w:numFmt w:val="lowerRoman"/>
      <w:lvlText w:val="%9."/>
      <w:lvlJc w:val="right"/>
      <w:pPr>
        <w:ind w:left="6120" w:hanging="180"/>
      </w:pPr>
    </w:lvl>
  </w:abstractNum>
  <w:abstractNum w:abstractNumId="1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15:restartNumberingAfterBreak="0">
    <w:nsid w:val="5F743717"/>
    <w:multiLevelType w:val="multilevel"/>
    <w:tmpl w:val="54B40DD4"/>
    <w:lvl w:ilvl="0">
      <w:start w:val="1"/>
      <w:numFmt w:val="decimal"/>
      <w:pStyle w:val="a4"/>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9" w15:restartNumberingAfterBreak="0">
    <w:nsid w:val="639C359A"/>
    <w:multiLevelType w:val="hybridMultilevel"/>
    <w:tmpl w:val="A906F18C"/>
    <w:lvl w:ilvl="0" w:tplc="5CCEBCC2">
      <w:start w:val="1"/>
      <w:numFmt w:val="hebrew1"/>
      <w:lvlText w:val="(%1)"/>
      <w:lvlJc w:val="left"/>
      <w:pPr>
        <w:ind w:left="720" w:hanging="360"/>
      </w:pPr>
      <w:rPr>
        <w:rFonts w:hint="default"/>
      </w:rPr>
    </w:lvl>
    <w:lvl w:ilvl="1" w:tplc="0AD4C3FA" w:tentative="1">
      <w:start w:val="1"/>
      <w:numFmt w:val="lowerLetter"/>
      <w:lvlText w:val="%2."/>
      <w:lvlJc w:val="left"/>
      <w:pPr>
        <w:ind w:left="1440" w:hanging="360"/>
      </w:pPr>
    </w:lvl>
    <w:lvl w:ilvl="2" w:tplc="DFDCB2F8" w:tentative="1">
      <w:start w:val="1"/>
      <w:numFmt w:val="lowerRoman"/>
      <w:lvlText w:val="%3."/>
      <w:lvlJc w:val="right"/>
      <w:pPr>
        <w:ind w:left="2160" w:hanging="180"/>
      </w:pPr>
    </w:lvl>
    <w:lvl w:ilvl="3" w:tplc="5AE0DE96" w:tentative="1">
      <w:start w:val="1"/>
      <w:numFmt w:val="decimal"/>
      <w:lvlText w:val="%4."/>
      <w:lvlJc w:val="left"/>
      <w:pPr>
        <w:ind w:left="2880" w:hanging="360"/>
      </w:pPr>
    </w:lvl>
    <w:lvl w:ilvl="4" w:tplc="C87CDA48" w:tentative="1">
      <w:start w:val="1"/>
      <w:numFmt w:val="lowerLetter"/>
      <w:lvlText w:val="%5."/>
      <w:lvlJc w:val="left"/>
      <w:pPr>
        <w:ind w:left="3600" w:hanging="360"/>
      </w:pPr>
    </w:lvl>
    <w:lvl w:ilvl="5" w:tplc="7DB28942" w:tentative="1">
      <w:start w:val="1"/>
      <w:numFmt w:val="lowerRoman"/>
      <w:lvlText w:val="%6."/>
      <w:lvlJc w:val="right"/>
      <w:pPr>
        <w:ind w:left="4320" w:hanging="180"/>
      </w:pPr>
    </w:lvl>
    <w:lvl w:ilvl="6" w:tplc="4A0036AA" w:tentative="1">
      <w:start w:val="1"/>
      <w:numFmt w:val="decimal"/>
      <w:lvlText w:val="%7."/>
      <w:lvlJc w:val="left"/>
      <w:pPr>
        <w:ind w:left="5040" w:hanging="360"/>
      </w:pPr>
    </w:lvl>
    <w:lvl w:ilvl="7" w:tplc="A0961644" w:tentative="1">
      <w:start w:val="1"/>
      <w:numFmt w:val="lowerLetter"/>
      <w:lvlText w:val="%8."/>
      <w:lvlJc w:val="left"/>
      <w:pPr>
        <w:ind w:left="5760" w:hanging="360"/>
      </w:pPr>
    </w:lvl>
    <w:lvl w:ilvl="8" w:tplc="8020AD9A" w:tentative="1">
      <w:start w:val="1"/>
      <w:numFmt w:val="lowerRoman"/>
      <w:lvlText w:val="%9."/>
      <w:lvlJc w:val="right"/>
      <w:pPr>
        <w:ind w:left="6480" w:hanging="180"/>
      </w:pPr>
    </w:lvl>
  </w:abstractNum>
  <w:abstractNum w:abstractNumId="20"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a5"/>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7D365B29"/>
    <w:multiLevelType w:val="multilevel"/>
    <w:tmpl w:val="E3AA6D54"/>
    <w:lvl w:ilvl="0">
      <w:start w:val="1"/>
      <w:numFmt w:val="hebrew1"/>
      <w:pStyle w:val="a6"/>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2" w15:restartNumberingAfterBreak="0">
    <w:nsid w:val="7F443862"/>
    <w:multiLevelType w:val="hybridMultilevel"/>
    <w:tmpl w:val="8BC0ABF0"/>
    <w:lvl w:ilvl="0" w:tplc="5D808ACA">
      <w:start w:val="1"/>
      <w:numFmt w:val="bullet"/>
      <w:lvlText w:val=""/>
      <w:lvlJc w:val="left"/>
      <w:pPr>
        <w:ind w:left="360" w:hanging="360"/>
      </w:pPr>
      <w:rPr>
        <w:rFonts w:ascii="Symbol" w:hAnsi="Symbol" w:hint="default"/>
        <w:vertAlign w:val="superscript"/>
      </w:rPr>
    </w:lvl>
    <w:lvl w:ilvl="1" w:tplc="C776A2C2" w:tentative="1">
      <w:start w:val="1"/>
      <w:numFmt w:val="bullet"/>
      <w:lvlText w:val="o"/>
      <w:lvlJc w:val="left"/>
      <w:pPr>
        <w:ind w:left="1080" w:hanging="360"/>
      </w:pPr>
      <w:rPr>
        <w:rFonts w:ascii="Courier New" w:hAnsi="Courier New" w:cs="Courier New" w:hint="default"/>
      </w:rPr>
    </w:lvl>
    <w:lvl w:ilvl="2" w:tplc="8CA65FEA" w:tentative="1">
      <w:start w:val="1"/>
      <w:numFmt w:val="bullet"/>
      <w:lvlText w:val=""/>
      <w:lvlJc w:val="left"/>
      <w:pPr>
        <w:ind w:left="1800" w:hanging="360"/>
      </w:pPr>
      <w:rPr>
        <w:rFonts w:ascii="Wingdings" w:hAnsi="Wingdings" w:hint="default"/>
      </w:rPr>
    </w:lvl>
    <w:lvl w:ilvl="3" w:tplc="2518560C" w:tentative="1">
      <w:start w:val="1"/>
      <w:numFmt w:val="bullet"/>
      <w:lvlText w:val=""/>
      <w:lvlJc w:val="left"/>
      <w:pPr>
        <w:ind w:left="2520" w:hanging="360"/>
      </w:pPr>
      <w:rPr>
        <w:rFonts w:ascii="Symbol" w:hAnsi="Symbol" w:hint="default"/>
      </w:rPr>
    </w:lvl>
    <w:lvl w:ilvl="4" w:tplc="7D8E0F7C" w:tentative="1">
      <w:start w:val="1"/>
      <w:numFmt w:val="bullet"/>
      <w:lvlText w:val="o"/>
      <w:lvlJc w:val="left"/>
      <w:pPr>
        <w:ind w:left="3240" w:hanging="360"/>
      </w:pPr>
      <w:rPr>
        <w:rFonts w:ascii="Courier New" w:hAnsi="Courier New" w:cs="Courier New" w:hint="default"/>
      </w:rPr>
    </w:lvl>
    <w:lvl w:ilvl="5" w:tplc="7A80E536" w:tentative="1">
      <w:start w:val="1"/>
      <w:numFmt w:val="bullet"/>
      <w:lvlText w:val=""/>
      <w:lvlJc w:val="left"/>
      <w:pPr>
        <w:ind w:left="3960" w:hanging="360"/>
      </w:pPr>
      <w:rPr>
        <w:rFonts w:ascii="Wingdings" w:hAnsi="Wingdings" w:hint="default"/>
      </w:rPr>
    </w:lvl>
    <w:lvl w:ilvl="6" w:tplc="E83CD80A" w:tentative="1">
      <w:start w:val="1"/>
      <w:numFmt w:val="bullet"/>
      <w:lvlText w:val=""/>
      <w:lvlJc w:val="left"/>
      <w:pPr>
        <w:ind w:left="4680" w:hanging="360"/>
      </w:pPr>
      <w:rPr>
        <w:rFonts w:ascii="Symbol" w:hAnsi="Symbol" w:hint="default"/>
      </w:rPr>
    </w:lvl>
    <w:lvl w:ilvl="7" w:tplc="83D4F4E4" w:tentative="1">
      <w:start w:val="1"/>
      <w:numFmt w:val="bullet"/>
      <w:lvlText w:val="o"/>
      <w:lvlJc w:val="left"/>
      <w:pPr>
        <w:ind w:left="5400" w:hanging="360"/>
      </w:pPr>
      <w:rPr>
        <w:rFonts w:ascii="Courier New" w:hAnsi="Courier New" w:cs="Courier New" w:hint="default"/>
      </w:rPr>
    </w:lvl>
    <w:lvl w:ilvl="8" w:tplc="7212BDF2" w:tentative="1">
      <w:start w:val="1"/>
      <w:numFmt w:val="bullet"/>
      <w:lvlText w:val=""/>
      <w:lvlJc w:val="left"/>
      <w:pPr>
        <w:ind w:left="6120" w:hanging="360"/>
      </w:pPr>
      <w:rPr>
        <w:rFonts w:ascii="Wingdings" w:hAnsi="Wingdings" w:hint="default"/>
      </w:rPr>
    </w:lvl>
  </w:abstractNum>
  <w:num w:numId="1">
    <w:abstractNumId w:val="4"/>
  </w:num>
  <w:num w:numId="2">
    <w:abstractNumId w:val="11"/>
  </w:num>
  <w:num w:numId="3">
    <w:abstractNumId w:val="20"/>
  </w:num>
  <w:num w:numId="4">
    <w:abstractNumId w:val="17"/>
  </w:num>
  <w:num w:numId="5">
    <w:abstractNumId w:val="6"/>
  </w:num>
  <w:num w:numId="6">
    <w:abstractNumId w:val="10"/>
  </w:num>
  <w:num w:numId="7">
    <w:abstractNumId w:val="21"/>
  </w:num>
  <w:num w:numId="8">
    <w:abstractNumId w:val="0"/>
  </w:num>
  <w:num w:numId="9">
    <w:abstractNumId w:val="13"/>
  </w:num>
  <w:num w:numId="10">
    <w:abstractNumId w:val="2"/>
  </w:num>
  <w:num w:numId="11">
    <w:abstractNumId w:val="18"/>
  </w:num>
  <w:num w:numId="12">
    <w:abstractNumId w:val="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5"/>
  </w:num>
  <w:num w:numId="29">
    <w:abstractNumId w:val="7"/>
  </w:num>
  <w:num w:numId="30">
    <w:abstractNumId w:val="22"/>
  </w:num>
  <w:num w:numId="31">
    <w:abstractNumId w:val="19"/>
  </w:num>
  <w:num w:numId="32">
    <w:abstractNumId w:val="8"/>
  </w:num>
  <w:num w:numId="33">
    <w:abstractNumId w:val="14"/>
  </w:num>
  <w:num w:numId="34">
    <w:abstractNumId w:val="12"/>
  </w:num>
  <w:num w:numId="35">
    <w:abstractNumId w:val="9"/>
  </w:num>
  <w:num w:numId="36">
    <w:abstractNumId w:val="3"/>
  </w:num>
  <w:num w:numId="37">
    <w:abstractNumId w:val="5"/>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btnwarning" w:val="1"/>
    <w:docVar w:name="sivug" w:val="1"/>
    <w:docVar w:name="space" w:val="1.3"/>
  </w:docVars>
  <w:rsids>
    <w:rsidRoot w:val="009D05CC"/>
    <w:rsid w:val="0000085D"/>
    <w:rsid w:val="00001D5A"/>
    <w:rsid w:val="00002EF7"/>
    <w:rsid w:val="00003B77"/>
    <w:rsid w:val="00003D51"/>
    <w:rsid w:val="00003F96"/>
    <w:rsid w:val="0000520D"/>
    <w:rsid w:val="000054B7"/>
    <w:rsid w:val="00005EE0"/>
    <w:rsid w:val="00006B59"/>
    <w:rsid w:val="000100D8"/>
    <w:rsid w:val="0001014C"/>
    <w:rsid w:val="00011BFC"/>
    <w:rsid w:val="00011DF7"/>
    <w:rsid w:val="00012657"/>
    <w:rsid w:val="00013BC3"/>
    <w:rsid w:val="000155F0"/>
    <w:rsid w:val="000157CF"/>
    <w:rsid w:val="00015A22"/>
    <w:rsid w:val="000168DE"/>
    <w:rsid w:val="0001735B"/>
    <w:rsid w:val="00017500"/>
    <w:rsid w:val="000206F1"/>
    <w:rsid w:val="00021FFB"/>
    <w:rsid w:val="00023E81"/>
    <w:rsid w:val="00024E0C"/>
    <w:rsid w:val="000251E2"/>
    <w:rsid w:val="0002582E"/>
    <w:rsid w:val="00026367"/>
    <w:rsid w:val="000264D7"/>
    <w:rsid w:val="00026ACC"/>
    <w:rsid w:val="0002705C"/>
    <w:rsid w:val="000303C9"/>
    <w:rsid w:val="00031C68"/>
    <w:rsid w:val="00031C69"/>
    <w:rsid w:val="00031CEB"/>
    <w:rsid w:val="00032932"/>
    <w:rsid w:val="0003410F"/>
    <w:rsid w:val="0003494D"/>
    <w:rsid w:val="00035B80"/>
    <w:rsid w:val="00036B0F"/>
    <w:rsid w:val="00040918"/>
    <w:rsid w:val="00040C4D"/>
    <w:rsid w:val="000413AB"/>
    <w:rsid w:val="000419ED"/>
    <w:rsid w:val="00042688"/>
    <w:rsid w:val="00042837"/>
    <w:rsid w:val="0004293F"/>
    <w:rsid w:val="00043204"/>
    <w:rsid w:val="000436EC"/>
    <w:rsid w:val="00043931"/>
    <w:rsid w:val="000448BE"/>
    <w:rsid w:val="00045038"/>
    <w:rsid w:val="000456D3"/>
    <w:rsid w:val="00046670"/>
    <w:rsid w:val="000470AE"/>
    <w:rsid w:val="00047976"/>
    <w:rsid w:val="00047A92"/>
    <w:rsid w:val="00047CF6"/>
    <w:rsid w:val="000501A4"/>
    <w:rsid w:val="00050BDE"/>
    <w:rsid w:val="00050DDE"/>
    <w:rsid w:val="00052281"/>
    <w:rsid w:val="00052AE4"/>
    <w:rsid w:val="000532AA"/>
    <w:rsid w:val="00053AA7"/>
    <w:rsid w:val="00053D09"/>
    <w:rsid w:val="00054B57"/>
    <w:rsid w:val="0005582D"/>
    <w:rsid w:val="0005596D"/>
    <w:rsid w:val="00055CB5"/>
    <w:rsid w:val="00055E07"/>
    <w:rsid w:val="00055E4C"/>
    <w:rsid w:val="00055EC9"/>
    <w:rsid w:val="00056B3E"/>
    <w:rsid w:val="000571B9"/>
    <w:rsid w:val="0005725C"/>
    <w:rsid w:val="00057574"/>
    <w:rsid w:val="00060045"/>
    <w:rsid w:val="00060178"/>
    <w:rsid w:val="00061760"/>
    <w:rsid w:val="0006189A"/>
    <w:rsid w:val="000618D0"/>
    <w:rsid w:val="00063297"/>
    <w:rsid w:val="00063A11"/>
    <w:rsid w:val="0006411D"/>
    <w:rsid w:val="00064637"/>
    <w:rsid w:val="00066579"/>
    <w:rsid w:val="00066AF6"/>
    <w:rsid w:val="0006721D"/>
    <w:rsid w:val="000672AB"/>
    <w:rsid w:val="000675B0"/>
    <w:rsid w:val="00067A76"/>
    <w:rsid w:val="00067F12"/>
    <w:rsid w:val="000706BF"/>
    <w:rsid w:val="000707EE"/>
    <w:rsid w:val="00070E3F"/>
    <w:rsid w:val="000710A8"/>
    <w:rsid w:val="00071F2E"/>
    <w:rsid w:val="00072B83"/>
    <w:rsid w:val="00072FE8"/>
    <w:rsid w:val="000736B3"/>
    <w:rsid w:val="000738F6"/>
    <w:rsid w:val="00073D9F"/>
    <w:rsid w:val="0007429C"/>
    <w:rsid w:val="00074533"/>
    <w:rsid w:val="00074F31"/>
    <w:rsid w:val="00076758"/>
    <w:rsid w:val="00076ED7"/>
    <w:rsid w:val="0007717F"/>
    <w:rsid w:val="0007762A"/>
    <w:rsid w:val="00077B79"/>
    <w:rsid w:val="00080072"/>
    <w:rsid w:val="00081D0E"/>
    <w:rsid w:val="000824F8"/>
    <w:rsid w:val="0008345D"/>
    <w:rsid w:val="00083692"/>
    <w:rsid w:val="00084E3A"/>
    <w:rsid w:val="00085086"/>
    <w:rsid w:val="00085A22"/>
    <w:rsid w:val="00085B99"/>
    <w:rsid w:val="00086738"/>
    <w:rsid w:val="00086BCD"/>
    <w:rsid w:val="000907D0"/>
    <w:rsid w:val="00091811"/>
    <w:rsid w:val="00091A72"/>
    <w:rsid w:val="00093E30"/>
    <w:rsid w:val="0009432F"/>
    <w:rsid w:val="00094D5D"/>
    <w:rsid w:val="00094F15"/>
    <w:rsid w:val="0009524E"/>
    <w:rsid w:val="0009559D"/>
    <w:rsid w:val="00096CF4"/>
    <w:rsid w:val="00097CDE"/>
    <w:rsid w:val="000A00AE"/>
    <w:rsid w:val="000A01F2"/>
    <w:rsid w:val="000A0884"/>
    <w:rsid w:val="000A0915"/>
    <w:rsid w:val="000A134E"/>
    <w:rsid w:val="000A15B1"/>
    <w:rsid w:val="000A1610"/>
    <w:rsid w:val="000A26F1"/>
    <w:rsid w:val="000A2BD8"/>
    <w:rsid w:val="000A3690"/>
    <w:rsid w:val="000A4686"/>
    <w:rsid w:val="000A5140"/>
    <w:rsid w:val="000A567C"/>
    <w:rsid w:val="000A5B75"/>
    <w:rsid w:val="000A65A9"/>
    <w:rsid w:val="000A69A7"/>
    <w:rsid w:val="000B1102"/>
    <w:rsid w:val="000B1C94"/>
    <w:rsid w:val="000B2074"/>
    <w:rsid w:val="000B2C5B"/>
    <w:rsid w:val="000B2DBE"/>
    <w:rsid w:val="000B3056"/>
    <w:rsid w:val="000B3A23"/>
    <w:rsid w:val="000B4419"/>
    <w:rsid w:val="000B55BB"/>
    <w:rsid w:val="000B597C"/>
    <w:rsid w:val="000B6604"/>
    <w:rsid w:val="000B7912"/>
    <w:rsid w:val="000B7B95"/>
    <w:rsid w:val="000C05CB"/>
    <w:rsid w:val="000C089C"/>
    <w:rsid w:val="000C0B98"/>
    <w:rsid w:val="000C0F17"/>
    <w:rsid w:val="000C164B"/>
    <w:rsid w:val="000C16F6"/>
    <w:rsid w:val="000C27DC"/>
    <w:rsid w:val="000C2AB9"/>
    <w:rsid w:val="000C404B"/>
    <w:rsid w:val="000C43E0"/>
    <w:rsid w:val="000C492E"/>
    <w:rsid w:val="000C50A1"/>
    <w:rsid w:val="000C5E23"/>
    <w:rsid w:val="000C6AAF"/>
    <w:rsid w:val="000C7459"/>
    <w:rsid w:val="000D11EB"/>
    <w:rsid w:val="000D1714"/>
    <w:rsid w:val="000D2056"/>
    <w:rsid w:val="000D22F0"/>
    <w:rsid w:val="000D2F93"/>
    <w:rsid w:val="000D53BB"/>
    <w:rsid w:val="000D5B81"/>
    <w:rsid w:val="000D5C0B"/>
    <w:rsid w:val="000D7666"/>
    <w:rsid w:val="000E013E"/>
    <w:rsid w:val="000E1E90"/>
    <w:rsid w:val="000E1FBD"/>
    <w:rsid w:val="000E2359"/>
    <w:rsid w:val="000E23EA"/>
    <w:rsid w:val="000E2715"/>
    <w:rsid w:val="000E2B2C"/>
    <w:rsid w:val="000E3022"/>
    <w:rsid w:val="000E3D52"/>
    <w:rsid w:val="000E44FD"/>
    <w:rsid w:val="000E4DF7"/>
    <w:rsid w:val="000E50E1"/>
    <w:rsid w:val="000E5149"/>
    <w:rsid w:val="000E5834"/>
    <w:rsid w:val="000E6198"/>
    <w:rsid w:val="000E6F44"/>
    <w:rsid w:val="000E73AF"/>
    <w:rsid w:val="000E7622"/>
    <w:rsid w:val="000F158C"/>
    <w:rsid w:val="000F1DEA"/>
    <w:rsid w:val="000F2408"/>
    <w:rsid w:val="000F3700"/>
    <w:rsid w:val="000F3A4E"/>
    <w:rsid w:val="000F4578"/>
    <w:rsid w:val="000F4B6E"/>
    <w:rsid w:val="000F60AB"/>
    <w:rsid w:val="000F6F38"/>
    <w:rsid w:val="000F76A8"/>
    <w:rsid w:val="000F7725"/>
    <w:rsid w:val="000F78AE"/>
    <w:rsid w:val="00101157"/>
    <w:rsid w:val="00101681"/>
    <w:rsid w:val="00101BB0"/>
    <w:rsid w:val="00101D0F"/>
    <w:rsid w:val="0010231B"/>
    <w:rsid w:val="001026B0"/>
    <w:rsid w:val="00102EF3"/>
    <w:rsid w:val="0010413A"/>
    <w:rsid w:val="00105970"/>
    <w:rsid w:val="00106A59"/>
    <w:rsid w:val="00107175"/>
    <w:rsid w:val="0010747A"/>
    <w:rsid w:val="00107A35"/>
    <w:rsid w:val="00107D4A"/>
    <w:rsid w:val="00111AD4"/>
    <w:rsid w:val="00111F8A"/>
    <w:rsid w:val="00112134"/>
    <w:rsid w:val="00112E28"/>
    <w:rsid w:val="00113C2F"/>
    <w:rsid w:val="00113E28"/>
    <w:rsid w:val="00114325"/>
    <w:rsid w:val="00114E4E"/>
    <w:rsid w:val="00115432"/>
    <w:rsid w:val="001157CE"/>
    <w:rsid w:val="00115E66"/>
    <w:rsid w:val="001172DF"/>
    <w:rsid w:val="00117408"/>
    <w:rsid w:val="0012150C"/>
    <w:rsid w:val="00121EA1"/>
    <w:rsid w:val="0012279D"/>
    <w:rsid w:val="001239A8"/>
    <w:rsid w:val="001239E1"/>
    <w:rsid w:val="00124DC1"/>
    <w:rsid w:val="00125628"/>
    <w:rsid w:val="00125881"/>
    <w:rsid w:val="001305E5"/>
    <w:rsid w:val="001321A1"/>
    <w:rsid w:val="0013406B"/>
    <w:rsid w:val="00134F83"/>
    <w:rsid w:val="001354CB"/>
    <w:rsid w:val="00135695"/>
    <w:rsid w:val="00135742"/>
    <w:rsid w:val="00135A23"/>
    <w:rsid w:val="00136479"/>
    <w:rsid w:val="00136496"/>
    <w:rsid w:val="0013664A"/>
    <w:rsid w:val="0013667B"/>
    <w:rsid w:val="00136A10"/>
    <w:rsid w:val="0013702C"/>
    <w:rsid w:val="00137337"/>
    <w:rsid w:val="001378D5"/>
    <w:rsid w:val="00137FF0"/>
    <w:rsid w:val="00140CC4"/>
    <w:rsid w:val="00141BD6"/>
    <w:rsid w:val="00142206"/>
    <w:rsid w:val="00143176"/>
    <w:rsid w:val="00143FFA"/>
    <w:rsid w:val="00144908"/>
    <w:rsid w:val="00144BB3"/>
    <w:rsid w:val="00144C4B"/>
    <w:rsid w:val="001451A4"/>
    <w:rsid w:val="001460BB"/>
    <w:rsid w:val="001466D7"/>
    <w:rsid w:val="0014715B"/>
    <w:rsid w:val="00150611"/>
    <w:rsid w:val="00150A48"/>
    <w:rsid w:val="00150BE4"/>
    <w:rsid w:val="00150BE7"/>
    <w:rsid w:val="00150BEB"/>
    <w:rsid w:val="00150CC9"/>
    <w:rsid w:val="00150F89"/>
    <w:rsid w:val="00152452"/>
    <w:rsid w:val="001526AC"/>
    <w:rsid w:val="00152C2F"/>
    <w:rsid w:val="00153149"/>
    <w:rsid w:val="00153A60"/>
    <w:rsid w:val="00153D95"/>
    <w:rsid w:val="00154091"/>
    <w:rsid w:val="0015454A"/>
    <w:rsid w:val="00154682"/>
    <w:rsid w:val="00154827"/>
    <w:rsid w:val="00154F60"/>
    <w:rsid w:val="00155501"/>
    <w:rsid w:val="00156CAA"/>
    <w:rsid w:val="00156DEF"/>
    <w:rsid w:val="0015702B"/>
    <w:rsid w:val="00157577"/>
    <w:rsid w:val="00157D86"/>
    <w:rsid w:val="00160155"/>
    <w:rsid w:val="0016031C"/>
    <w:rsid w:val="00161124"/>
    <w:rsid w:val="00161DA5"/>
    <w:rsid w:val="00162EAF"/>
    <w:rsid w:val="001630E8"/>
    <w:rsid w:val="001637C1"/>
    <w:rsid w:val="001639FB"/>
    <w:rsid w:val="001643E4"/>
    <w:rsid w:val="00164534"/>
    <w:rsid w:val="00164B64"/>
    <w:rsid w:val="00164C99"/>
    <w:rsid w:val="00165E43"/>
    <w:rsid w:val="00166477"/>
    <w:rsid w:val="00166D27"/>
    <w:rsid w:val="00170230"/>
    <w:rsid w:val="00170320"/>
    <w:rsid w:val="00170625"/>
    <w:rsid w:val="0017146B"/>
    <w:rsid w:val="00171B4A"/>
    <w:rsid w:val="0017200D"/>
    <w:rsid w:val="0017265F"/>
    <w:rsid w:val="001730B0"/>
    <w:rsid w:val="0017362E"/>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50C6"/>
    <w:rsid w:val="0018586A"/>
    <w:rsid w:val="001858E5"/>
    <w:rsid w:val="00185B85"/>
    <w:rsid w:val="0018758B"/>
    <w:rsid w:val="0019015A"/>
    <w:rsid w:val="00190396"/>
    <w:rsid w:val="00190F93"/>
    <w:rsid w:val="00191FF6"/>
    <w:rsid w:val="00192E51"/>
    <w:rsid w:val="00192F16"/>
    <w:rsid w:val="00193071"/>
    <w:rsid w:val="0019399F"/>
    <w:rsid w:val="00194286"/>
    <w:rsid w:val="00195BC7"/>
    <w:rsid w:val="00195EBA"/>
    <w:rsid w:val="001960B4"/>
    <w:rsid w:val="00197B6F"/>
    <w:rsid w:val="00197B8A"/>
    <w:rsid w:val="001A0CA6"/>
    <w:rsid w:val="001A2081"/>
    <w:rsid w:val="001A2F88"/>
    <w:rsid w:val="001A325B"/>
    <w:rsid w:val="001A38A7"/>
    <w:rsid w:val="001A3974"/>
    <w:rsid w:val="001A40B6"/>
    <w:rsid w:val="001A5D04"/>
    <w:rsid w:val="001A613C"/>
    <w:rsid w:val="001A6276"/>
    <w:rsid w:val="001A72F6"/>
    <w:rsid w:val="001A7D06"/>
    <w:rsid w:val="001B1655"/>
    <w:rsid w:val="001B17FB"/>
    <w:rsid w:val="001B2821"/>
    <w:rsid w:val="001B285C"/>
    <w:rsid w:val="001B2ACB"/>
    <w:rsid w:val="001B2D16"/>
    <w:rsid w:val="001B2DBB"/>
    <w:rsid w:val="001B3BE6"/>
    <w:rsid w:val="001B3EFA"/>
    <w:rsid w:val="001B41A2"/>
    <w:rsid w:val="001B4B0A"/>
    <w:rsid w:val="001B4EA7"/>
    <w:rsid w:val="001B5656"/>
    <w:rsid w:val="001B58E5"/>
    <w:rsid w:val="001B5DFF"/>
    <w:rsid w:val="001B65B8"/>
    <w:rsid w:val="001B70CA"/>
    <w:rsid w:val="001B75F0"/>
    <w:rsid w:val="001C00D8"/>
    <w:rsid w:val="001C057E"/>
    <w:rsid w:val="001C2CAD"/>
    <w:rsid w:val="001C308D"/>
    <w:rsid w:val="001C3232"/>
    <w:rsid w:val="001C34D5"/>
    <w:rsid w:val="001C3ED9"/>
    <w:rsid w:val="001C45D9"/>
    <w:rsid w:val="001C49B8"/>
    <w:rsid w:val="001C5A02"/>
    <w:rsid w:val="001C5BF5"/>
    <w:rsid w:val="001C72B2"/>
    <w:rsid w:val="001D1192"/>
    <w:rsid w:val="001D223A"/>
    <w:rsid w:val="001D2793"/>
    <w:rsid w:val="001D2F2A"/>
    <w:rsid w:val="001D3679"/>
    <w:rsid w:val="001D3CC2"/>
    <w:rsid w:val="001D461F"/>
    <w:rsid w:val="001D6714"/>
    <w:rsid w:val="001D713E"/>
    <w:rsid w:val="001D77E6"/>
    <w:rsid w:val="001E00C3"/>
    <w:rsid w:val="001E0D0D"/>
    <w:rsid w:val="001E1C40"/>
    <w:rsid w:val="001E1EC3"/>
    <w:rsid w:val="001E1FB9"/>
    <w:rsid w:val="001E1FD1"/>
    <w:rsid w:val="001E23E2"/>
    <w:rsid w:val="001E3778"/>
    <w:rsid w:val="001E3F7F"/>
    <w:rsid w:val="001E475C"/>
    <w:rsid w:val="001E59BD"/>
    <w:rsid w:val="001E641F"/>
    <w:rsid w:val="001E773D"/>
    <w:rsid w:val="001F068F"/>
    <w:rsid w:val="001F407D"/>
    <w:rsid w:val="001F5566"/>
    <w:rsid w:val="001F6AE0"/>
    <w:rsid w:val="001F6B1F"/>
    <w:rsid w:val="001F6BA7"/>
    <w:rsid w:val="00200434"/>
    <w:rsid w:val="00200E5B"/>
    <w:rsid w:val="002014C8"/>
    <w:rsid w:val="00202068"/>
    <w:rsid w:val="00202878"/>
    <w:rsid w:val="00202F8B"/>
    <w:rsid w:val="00203277"/>
    <w:rsid w:val="00203604"/>
    <w:rsid w:val="002064F7"/>
    <w:rsid w:val="00206BDB"/>
    <w:rsid w:val="00206C9D"/>
    <w:rsid w:val="0021058F"/>
    <w:rsid w:val="0021135F"/>
    <w:rsid w:val="0021150C"/>
    <w:rsid w:val="002127FD"/>
    <w:rsid w:val="00212B04"/>
    <w:rsid w:val="00212EEA"/>
    <w:rsid w:val="002130B4"/>
    <w:rsid w:val="00214BC0"/>
    <w:rsid w:val="00214CAA"/>
    <w:rsid w:val="002154D1"/>
    <w:rsid w:val="00215BEE"/>
    <w:rsid w:val="0021654E"/>
    <w:rsid w:val="0022072A"/>
    <w:rsid w:val="0022100A"/>
    <w:rsid w:val="00221160"/>
    <w:rsid w:val="002213EE"/>
    <w:rsid w:val="00221922"/>
    <w:rsid w:val="00221B94"/>
    <w:rsid w:val="00222AAD"/>
    <w:rsid w:val="00224723"/>
    <w:rsid w:val="002248C1"/>
    <w:rsid w:val="00224C04"/>
    <w:rsid w:val="002251A4"/>
    <w:rsid w:val="00225718"/>
    <w:rsid w:val="00225CAE"/>
    <w:rsid w:val="00227E88"/>
    <w:rsid w:val="0023004B"/>
    <w:rsid w:val="00230B94"/>
    <w:rsid w:val="00231C3C"/>
    <w:rsid w:val="00231DC5"/>
    <w:rsid w:val="00232836"/>
    <w:rsid w:val="002338F8"/>
    <w:rsid w:val="00234167"/>
    <w:rsid w:val="00234AB5"/>
    <w:rsid w:val="00234F9B"/>
    <w:rsid w:val="0023589B"/>
    <w:rsid w:val="00235AEE"/>
    <w:rsid w:val="00235D75"/>
    <w:rsid w:val="002366CE"/>
    <w:rsid w:val="0024001A"/>
    <w:rsid w:val="00240887"/>
    <w:rsid w:val="002419F2"/>
    <w:rsid w:val="00243E20"/>
    <w:rsid w:val="00244096"/>
    <w:rsid w:val="0024417D"/>
    <w:rsid w:val="00244C55"/>
    <w:rsid w:val="00245470"/>
    <w:rsid w:val="00246CD7"/>
    <w:rsid w:val="00247C83"/>
    <w:rsid w:val="00250370"/>
    <w:rsid w:val="0025068A"/>
    <w:rsid w:val="00250751"/>
    <w:rsid w:val="002516DF"/>
    <w:rsid w:val="00254CF4"/>
    <w:rsid w:val="00255877"/>
    <w:rsid w:val="0025701A"/>
    <w:rsid w:val="002575ED"/>
    <w:rsid w:val="002576EB"/>
    <w:rsid w:val="00260BF5"/>
    <w:rsid w:val="00260D04"/>
    <w:rsid w:val="0026130F"/>
    <w:rsid w:val="00261C84"/>
    <w:rsid w:val="00263521"/>
    <w:rsid w:val="00263DB7"/>
    <w:rsid w:val="00265428"/>
    <w:rsid w:val="0027101D"/>
    <w:rsid w:val="0027121E"/>
    <w:rsid w:val="0027188F"/>
    <w:rsid w:val="002739B2"/>
    <w:rsid w:val="00275A79"/>
    <w:rsid w:val="00276D55"/>
    <w:rsid w:val="002813A0"/>
    <w:rsid w:val="00281F46"/>
    <w:rsid w:val="002841CB"/>
    <w:rsid w:val="00284ABA"/>
    <w:rsid w:val="00284B06"/>
    <w:rsid w:val="00285EC0"/>
    <w:rsid w:val="0028686C"/>
    <w:rsid w:val="0028694C"/>
    <w:rsid w:val="00286A23"/>
    <w:rsid w:val="00291775"/>
    <w:rsid w:val="002920D3"/>
    <w:rsid w:val="00292A58"/>
    <w:rsid w:val="00293FC3"/>
    <w:rsid w:val="00294784"/>
    <w:rsid w:val="00294AF0"/>
    <w:rsid w:val="00296A9F"/>
    <w:rsid w:val="00297B77"/>
    <w:rsid w:val="00297FD7"/>
    <w:rsid w:val="002A04CC"/>
    <w:rsid w:val="002A0F46"/>
    <w:rsid w:val="002A1117"/>
    <w:rsid w:val="002A18D6"/>
    <w:rsid w:val="002A2132"/>
    <w:rsid w:val="002A2C5A"/>
    <w:rsid w:val="002A4153"/>
    <w:rsid w:val="002A4707"/>
    <w:rsid w:val="002A4B57"/>
    <w:rsid w:val="002A53E2"/>
    <w:rsid w:val="002A57EB"/>
    <w:rsid w:val="002A598C"/>
    <w:rsid w:val="002A6418"/>
    <w:rsid w:val="002A64F8"/>
    <w:rsid w:val="002A68DE"/>
    <w:rsid w:val="002A6A8F"/>
    <w:rsid w:val="002A6B3B"/>
    <w:rsid w:val="002A7D21"/>
    <w:rsid w:val="002B10E8"/>
    <w:rsid w:val="002B30DB"/>
    <w:rsid w:val="002B5C10"/>
    <w:rsid w:val="002B5D65"/>
    <w:rsid w:val="002B637F"/>
    <w:rsid w:val="002B65DC"/>
    <w:rsid w:val="002B6FB4"/>
    <w:rsid w:val="002C06EB"/>
    <w:rsid w:val="002C1D86"/>
    <w:rsid w:val="002C1EE0"/>
    <w:rsid w:val="002C28D3"/>
    <w:rsid w:val="002C2B0E"/>
    <w:rsid w:val="002C316A"/>
    <w:rsid w:val="002C3B87"/>
    <w:rsid w:val="002C4139"/>
    <w:rsid w:val="002C4302"/>
    <w:rsid w:val="002C4BF3"/>
    <w:rsid w:val="002C4F9F"/>
    <w:rsid w:val="002C54FF"/>
    <w:rsid w:val="002C65B3"/>
    <w:rsid w:val="002C6D22"/>
    <w:rsid w:val="002C70A2"/>
    <w:rsid w:val="002C7D35"/>
    <w:rsid w:val="002D1688"/>
    <w:rsid w:val="002D2963"/>
    <w:rsid w:val="002D3201"/>
    <w:rsid w:val="002D3AC8"/>
    <w:rsid w:val="002D4E81"/>
    <w:rsid w:val="002D555F"/>
    <w:rsid w:val="002D572F"/>
    <w:rsid w:val="002D5930"/>
    <w:rsid w:val="002D65CF"/>
    <w:rsid w:val="002D6964"/>
    <w:rsid w:val="002D69A4"/>
    <w:rsid w:val="002D6DBD"/>
    <w:rsid w:val="002D79C7"/>
    <w:rsid w:val="002E0151"/>
    <w:rsid w:val="002E01CC"/>
    <w:rsid w:val="002E188D"/>
    <w:rsid w:val="002E1E1F"/>
    <w:rsid w:val="002E24BB"/>
    <w:rsid w:val="002E2DB0"/>
    <w:rsid w:val="002E3AA6"/>
    <w:rsid w:val="002E424B"/>
    <w:rsid w:val="002E4818"/>
    <w:rsid w:val="002E5757"/>
    <w:rsid w:val="002E6B3E"/>
    <w:rsid w:val="002E707E"/>
    <w:rsid w:val="002E70B8"/>
    <w:rsid w:val="002E7528"/>
    <w:rsid w:val="002F06E7"/>
    <w:rsid w:val="002F1184"/>
    <w:rsid w:val="002F11D2"/>
    <w:rsid w:val="002F1610"/>
    <w:rsid w:val="002F2019"/>
    <w:rsid w:val="002F24F0"/>
    <w:rsid w:val="002F29CA"/>
    <w:rsid w:val="002F3162"/>
    <w:rsid w:val="002F42B0"/>
    <w:rsid w:val="002F5163"/>
    <w:rsid w:val="002F5628"/>
    <w:rsid w:val="002F5A80"/>
    <w:rsid w:val="002F5B51"/>
    <w:rsid w:val="002F5CEC"/>
    <w:rsid w:val="002F6FA5"/>
    <w:rsid w:val="002F724D"/>
    <w:rsid w:val="002F77AF"/>
    <w:rsid w:val="002F7C75"/>
    <w:rsid w:val="0030043A"/>
    <w:rsid w:val="00300F74"/>
    <w:rsid w:val="0030114C"/>
    <w:rsid w:val="00301153"/>
    <w:rsid w:val="003020D6"/>
    <w:rsid w:val="00302134"/>
    <w:rsid w:val="00302DC7"/>
    <w:rsid w:val="0030338B"/>
    <w:rsid w:val="003038A7"/>
    <w:rsid w:val="00304D83"/>
    <w:rsid w:val="00304E57"/>
    <w:rsid w:val="003050D0"/>
    <w:rsid w:val="0030516B"/>
    <w:rsid w:val="00305A00"/>
    <w:rsid w:val="003067B1"/>
    <w:rsid w:val="003071E1"/>
    <w:rsid w:val="00307A51"/>
    <w:rsid w:val="003108E3"/>
    <w:rsid w:val="00311190"/>
    <w:rsid w:val="0031135A"/>
    <w:rsid w:val="00313D58"/>
    <w:rsid w:val="00313EEC"/>
    <w:rsid w:val="00315624"/>
    <w:rsid w:val="00315BD6"/>
    <w:rsid w:val="00315D7F"/>
    <w:rsid w:val="00315FF2"/>
    <w:rsid w:val="00316385"/>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6EF0"/>
    <w:rsid w:val="003271AB"/>
    <w:rsid w:val="00327593"/>
    <w:rsid w:val="0032765C"/>
    <w:rsid w:val="00327D99"/>
    <w:rsid w:val="003318C2"/>
    <w:rsid w:val="00332F33"/>
    <w:rsid w:val="00333BC5"/>
    <w:rsid w:val="00334A65"/>
    <w:rsid w:val="00334D20"/>
    <w:rsid w:val="00335267"/>
    <w:rsid w:val="0033564C"/>
    <w:rsid w:val="003356A2"/>
    <w:rsid w:val="00335A0A"/>
    <w:rsid w:val="00337048"/>
    <w:rsid w:val="003370BA"/>
    <w:rsid w:val="00337846"/>
    <w:rsid w:val="0033799E"/>
    <w:rsid w:val="0034038A"/>
    <w:rsid w:val="003405D2"/>
    <w:rsid w:val="003405E7"/>
    <w:rsid w:val="0034070F"/>
    <w:rsid w:val="00340C7C"/>
    <w:rsid w:val="00340D4D"/>
    <w:rsid w:val="0034149F"/>
    <w:rsid w:val="003419FB"/>
    <w:rsid w:val="00341C37"/>
    <w:rsid w:val="00343B0B"/>
    <w:rsid w:val="00344346"/>
    <w:rsid w:val="00345868"/>
    <w:rsid w:val="0034637E"/>
    <w:rsid w:val="003466B0"/>
    <w:rsid w:val="00346930"/>
    <w:rsid w:val="00347612"/>
    <w:rsid w:val="00347A15"/>
    <w:rsid w:val="003513C7"/>
    <w:rsid w:val="0035145F"/>
    <w:rsid w:val="00351F4E"/>
    <w:rsid w:val="0035448A"/>
    <w:rsid w:val="00355453"/>
    <w:rsid w:val="003559A1"/>
    <w:rsid w:val="00355B59"/>
    <w:rsid w:val="00356540"/>
    <w:rsid w:val="00356926"/>
    <w:rsid w:val="00356C79"/>
    <w:rsid w:val="00356CD5"/>
    <w:rsid w:val="00357544"/>
    <w:rsid w:val="003606C0"/>
    <w:rsid w:val="00361812"/>
    <w:rsid w:val="00363344"/>
    <w:rsid w:val="003633E1"/>
    <w:rsid w:val="00363FE3"/>
    <w:rsid w:val="003640C2"/>
    <w:rsid w:val="00364581"/>
    <w:rsid w:val="003651FF"/>
    <w:rsid w:val="0036568B"/>
    <w:rsid w:val="00365C9E"/>
    <w:rsid w:val="00365D63"/>
    <w:rsid w:val="00365DC9"/>
    <w:rsid w:val="00365DE2"/>
    <w:rsid w:val="0036639F"/>
    <w:rsid w:val="003675CC"/>
    <w:rsid w:val="00371181"/>
    <w:rsid w:val="0037128C"/>
    <w:rsid w:val="00371316"/>
    <w:rsid w:val="00371B1D"/>
    <w:rsid w:val="0037230B"/>
    <w:rsid w:val="00372476"/>
    <w:rsid w:val="0037259B"/>
    <w:rsid w:val="0037289B"/>
    <w:rsid w:val="003729F9"/>
    <w:rsid w:val="003734FE"/>
    <w:rsid w:val="0037370B"/>
    <w:rsid w:val="00373CE2"/>
    <w:rsid w:val="003757DE"/>
    <w:rsid w:val="00375AE4"/>
    <w:rsid w:val="00375C87"/>
    <w:rsid w:val="00375F4A"/>
    <w:rsid w:val="00376061"/>
    <w:rsid w:val="00376625"/>
    <w:rsid w:val="0037752E"/>
    <w:rsid w:val="0037753E"/>
    <w:rsid w:val="00377B33"/>
    <w:rsid w:val="00380052"/>
    <w:rsid w:val="003801D8"/>
    <w:rsid w:val="003806AE"/>
    <w:rsid w:val="00381983"/>
    <w:rsid w:val="00382741"/>
    <w:rsid w:val="00382981"/>
    <w:rsid w:val="003839AA"/>
    <w:rsid w:val="003843E4"/>
    <w:rsid w:val="00385426"/>
    <w:rsid w:val="00385CBB"/>
    <w:rsid w:val="00385E7C"/>
    <w:rsid w:val="00387987"/>
    <w:rsid w:val="00387B78"/>
    <w:rsid w:val="003907CF"/>
    <w:rsid w:val="00391776"/>
    <w:rsid w:val="00391943"/>
    <w:rsid w:val="00391D47"/>
    <w:rsid w:val="00392578"/>
    <w:rsid w:val="003926A8"/>
    <w:rsid w:val="003929A4"/>
    <w:rsid w:val="00392CEC"/>
    <w:rsid w:val="00392E92"/>
    <w:rsid w:val="003933A5"/>
    <w:rsid w:val="003941E1"/>
    <w:rsid w:val="0039563E"/>
    <w:rsid w:val="0039592D"/>
    <w:rsid w:val="00396082"/>
    <w:rsid w:val="00396D3F"/>
    <w:rsid w:val="00396EB2"/>
    <w:rsid w:val="003971AD"/>
    <w:rsid w:val="00397234"/>
    <w:rsid w:val="003972E8"/>
    <w:rsid w:val="00397B41"/>
    <w:rsid w:val="00397C56"/>
    <w:rsid w:val="003A042B"/>
    <w:rsid w:val="003A08AE"/>
    <w:rsid w:val="003A3D05"/>
    <w:rsid w:val="003A613A"/>
    <w:rsid w:val="003A66EF"/>
    <w:rsid w:val="003A769E"/>
    <w:rsid w:val="003A780A"/>
    <w:rsid w:val="003B0B84"/>
    <w:rsid w:val="003B166B"/>
    <w:rsid w:val="003B1F61"/>
    <w:rsid w:val="003B30AD"/>
    <w:rsid w:val="003B4CBF"/>
    <w:rsid w:val="003B505F"/>
    <w:rsid w:val="003B5853"/>
    <w:rsid w:val="003B5A1E"/>
    <w:rsid w:val="003B5E39"/>
    <w:rsid w:val="003B639B"/>
    <w:rsid w:val="003B71E3"/>
    <w:rsid w:val="003B7A94"/>
    <w:rsid w:val="003C0A02"/>
    <w:rsid w:val="003C2534"/>
    <w:rsid w:val="003C26AC"/>
    <w:rsid w:val="003C2A0B"/>
    <w:rsid w:val="003C2EC6"/>
    <w:rsid w:val="003C3358"/>
    <w:rsid w:val="003C4F30"/>
    <w:rsid w:val="003C5044"/>
    <w:rsid w:val="003C5153"/>
    <w:rsid w:val="003C5BB1"/>
    <w:rsid w:val="003C6C20"/>
    <w:rsid w:val="003C73F8"/>
    <w:rsid w:val="003C7AD3"/>
    <w:rsid w:val="003C7B2D"/>
    <w:rsid w:val="003D0F91"/>
    <w:rsid w:val="003D16F2"/>
    <w:rsid w:val="003D1D5C"/>
    <w:rsid w:val="003D2796"/>
    <w:rsid w:val="003D2AE6"/>
    <w:rsid w:val="003D3533"/>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20EB"/>
    <w:rsid w:val="003E26E6"/>
    <w:rsid w:val="003E2F13"/>
    <w:rsid w:val="003E31EE"/>
    <w:rsid w:val="003E364E"/>
    <w:rsid w:val="003E4D5A"/>
    <w:rsid w:val="003E58C2"/>
    <w:rsid w:val="003E5FCA"/>
    <w:rsid w:val="003E66A4"/>
    <w:rsid w:val="003E6F99"/>
    <w:rsid w:val="003E77E9"/>
    <w:rsid w:val="003E798E"/>
    <w:rsid w:val="003F06E0"/>
    <w:rsid w:val="003F0C61"/>
    <w:rsid w:val="003F0D90"/>
    <w:rsid w:val="003F0E51"/>
    <w:rsid w:val="003F2708"/>
    <w:rsid w:val="003F2DBB"/>
    <w:rsid w:val="003F2F7C"/>
    <w:rsid w:val="003F316F"/>
    <w:rsid w:val="003F48CD"/>
    <w:rsid w:val="003F5B6A"/>
    <w:rsid w:val="003F6A36"/>
    <w:rsid w:val="003F6CB2"/>
    <w:rsid w:val="003F6D65"/>
    <w:rsid w:val="003F7B2B"/>
    <w:rsid w:val="004002DD"/>
    <w:rsid w:val="00400D5E"/>
    <w:rsid w:val="00401ED1"/>
    <w:rsid w:val="004029F9"/>
    <w:rsid w:val="00403EED"/>
    <w:rsid w:val="0040494A"/>
    <w:rsid w:val="00405277"/>
    <w:rsid w:val="004064E0"/>
    <w:rsid w:val="00406F61"/>
    <w:rsid w:val="00406FEF"/>
    <w:rsid w:val="004078B5"/>
    <w:rsid w:val="0041045D"/>
    <w:rsid w:val="004105DF"/>
    <w:rsid w:val="00410935"/>
    <w:rsid w:val="00410D75"/>
    <w:rsid w:val="00411671"/>
    <w:rsid w:val="0041180B"/>
    <w:rsid w:val="00411AFD"/>
    <w:rsid w:val="0041212D"/>
    <w:rsid w:val="0041284E"/>
    <w:rsid w:val="00412889"/>
    <w:rsid w:val="00413464"/>
    <w:rsid w:val="00413826"/>
    <w:rsid w:val="00414A8A"/>
    <w:rsid w:val="004156B7"/>
    <w:rsid w:val="00416D06"/>
    <w:rsid w:val="00417266"/>
    <w:rsid w:val="004175BE"/>
    <w:rsid w:val="004177C6"/>
    <w:rsid w:val="00417D4C"/>
    <w:rsid w:val="00420371"/>
    <w:rsid w:val="004204DC"/>
    <w:rsid w:val="004206BA"/>
    <w:rsid w:val="0042090E"/>
    <w:rsid w:val="0042091E"/>
    <w:rsid w:val="00420DB1"/>
    <w:rsid w:val="00421D2C"/>
    <w:rsid w:val="0042232C"/>
    <w:rsid w:val="0042545B"/>
    <w:rsid w:val="00425E72"/>
    <w:rsid w:val="00425E85"/>
    <w:rsid w:val="00426862"/>
    <w:rsid w:val="00426CE7"/>
    <w:rsid w:val="00426D50"/>
    <w:rsid w:val="004276E0"/>
    <w:rsid w:val="00427A72"/>
    <w:rsid w:val="00427D9F"/>
    <w:rsid w:val="00430277"/>
    <w:rsid w:val="00432A56"/>
    <w:rsid w:val="00434C19"/>
    <w:rsid w:val="0043603B"/>
    <w:rsid w:val="00436048"/>
    <w:rsid w:val="0043662F"/>
    <w:rsid w:val="00436B23"/>
    <w:rsid w:val="00436B37"/>
    <w:rsid w:val="0043791D"/>
    <w:rsid w:val="00437CB8"/>
    <w:rsid w:val="00437D9B"/>
    <w:rsid w:val="00440C19"/>
    <w:rsid w:val="004413C7"/>
    <w:rsid w:val="004414E6"/>
    <w:rsid w:val="004424B2"/>
    <w:rsid w:val="004428A8"/>
    <w:rsid w:val="00442E2D"/>
    <w:rsid w:val="00443D1B"/>
    <w:rsid w:val="00444597"/>
    <w:rsid w:val="004453BB"/>
    <w:rsid w:val="00445522"/>
    <w:rsid w:val="0044619B"/>
    <w:rsid w:val="00446802"/>
    <w:rsid w:val="004470C5"/>
    <w:rsid w:val="004474BB"/>
    <w:rsid w:val="004503E1"/>
    <w:rsid w:val="00451A68"/>
    <w:rsid w:val="00451AA2"/>
    <w:rsid w:val="00451E5C"/>
    <w:rsid w:val="0045209D"/>
    <w:rsid w:val="00452950"/>
    <w:rsid w:val="00453265"/>
    <w:rsid w:val="00453750"/>
    <w:rsid w:val="004537EC"/>
    <w:rsid w:val="00453CEB"/>
    <w:rsid w:val="004547C8"/>
    <w:rsid w:val="0045495E"/>
    <w:rsid w:val="00455BC0"/>
    <w:rsid w:val="00455C7E"/>
    <w:rsid w:val="00456A60"/>
    <w:rsid w:val="00456AD9"/>
    <w:rsid w:val="00456F88"/>
    <w:rsid w:val="00460179"/>
    <w:rsid w:val="00460B1C"/>
    <w:rsid w:val="00462348"/>
    <w:rsid w:val="00463683"/>
    <w:rsid w:val="00464D56"/>
    <w:rsid w:val="00464DF0"/>
    <w:rsid w:val="00465562"/>
    <w:rsid w:val="00465DDF"/>
    <w:rsid w:val="004661DB"/>
    <w:rsid w:val="00466B28"/>
    <w:rsid w:val="00467D5E"/>
    <w:rsid w:val="0047012B"/>
    <w:rsid w:val="004705A4"/>
    <w:rsid w:val="00471164"/>
    <w:rsid w:val="00471E18"/>
    <w:rsid w:val="00471FC6"/>
    <w:rsid w:val="004736FF"/>
    <w:rsid w:val="004743DF"/>
    <w:rsid w:val="00474EE3"/>
    <w:rsid w:val="00474EFE"/>
    <w:rsid w:val="0047620F"/>
    <w:rsid w:val="00476508"/>
    <w:rsid w:val="004767BA"/>
    <w:rsid w:val="00476DBD"/>
    <w:rsid w:val="004779AA"/>
    <w:rsid w:val="00477F44"/>
    <w:rsid w:val="00480011"/>
    <w:rsid w:val="00480107"/>
    <w:rsid w:val="004809CB"/>
    <w:rsid w:val="00482259"/>
    <w:rsid w:val="00482559"/>
    <w:rsid w:val="0048280E"/>
    <w:rsid w:val="00482C33"/>
    <w:rsid w:val="004830BE"/>
    <w:rsid w:val="004833CE"/>
    <w:rsid w:val="004836A0"/>
    <w:rsid w:val="004845B2"/>
    <w:rsid w:val="0048469E"/>
    <w:rsid w:val="00485309"/>
    <w:rsid w:val="00485787"/>
    <w:rsid w:val="00486172"/>
    <w:rsid w:val="004865D8"/>
    <w:rsid w:val="004875EB"/>
    <w:rsid w:val="0049015A"/>
    <w:rsid w:val="004902C9"/>
    <w:rsid w:val="00491199"/>
    <w:rsid w:val="004919A3"/>
    <w:rsid w:val="00491D1E"/>
    <w:rsid w:val="00492D47"/>
    <w:rsid w:val="004930AA"/>
    <w:rsid w:val="004939B6"/>
    <w:rsid w:val="00493AE1"/>
    <w:rsid w:val="00493CBE"/>
    <w:rsid w:val="00494C49"/>
    <w:rsid w:val="00495214"/>
    <w:rsid w:val="004955D7"/>
    <w:rsid w:val="004965B9"/>
    <w:rsid w:val="00497103"/>
    <w:rsid w:val="004976B0"/>
    <w:rsid w:val="00497FC9"/>
    <w:rsid w:val="004A0385"/>
    <w:rsid w:val="004A07F3"/>
    <w:rsid w:val="004A0E02"/>
    <w:rsid w:val="004A0E75"/>
    <w:rsid w:val="004A144B"/>
    <w:rsid w:val="004A1FF4"/>
    <w:rsid w:val="004A30DB"/>
    <w:rsid w:val="004A3415"/>
    <w:rsid w:val="004A3A1C"/>
    <w:rsid w:val="004A5AE0"/>
    <w:rsid w:val="004A5FCA"/>
    <w:rsid w:val="004A6B9E"/>
    <w:rsid w:val="004A6C9C"/>
    <w:rsid w:val="004A6CC0"/>
    <w:rsid w:val="004A6FE6"/>
    <w:rsid w:val="004A77C4"/>
    <w:rsid w:val="004A7ABE"/>
    <w:rsid w:val="004B09A3"/>
    <w:rsid w:val="004B117A"/>
    <w:rsid w:val="004B18AE"/>
    <w:rsid w:val="004B21B0"/>
    <w:rsid w:val="004B2D77"/>
    <w:rsid w:val="004B3850"/>
    <w:rsid w:val="004B4756"/>
    <w:rsid w:val="004B6164"/>
    <w:rsid w:val="004B7C1A"/>
    <w:rsid w:val="004C056A"/>
    <w:rsid w:val="004C0FFF"/>
    <w:rsid w:val="004C1BDC"/>
    <w:rsid w:val="004C2149"/>
    <w:rsid w:val="004C2531"/>
    <w:rsid w:val="004C2B02"/>
    <w:rsid w:val="004C3342"/>
    <w:rsid w:val="004C3786"/>
    <w:rsid w:val="004C4396"/>
    <w:rsid w:val="004C4F65"/>
    <w:rsid w:val="004C6628"/>
    <w:rsid w:val="004C7A8F"/>
    <w:rsid w:val="004C7D9F"/>
    <w:rsid w:val="004D16BE"/>
    <w:rsid w:val="004D1983"/>
    <w:rsid w:val="004D1D1F"/>
    <w:rsid w:val="004D2576"/>
    <w:rsid w:val="004D2869"/>
    <w:rsid w:val="004D2D0A"/>
    <w:rsid w:val="004D3387"/>
    <w:rsid w:val="004D38B0"/>
    <w:rsid w:val="004D3AAD"/>
    <w:rsid w:val="004D4C8A"/>
    <w:rsid w:val="004D5AD1"/>
    <w:rsid w:val="004D708B"/>
    <w:rsid w:val="004D7A95"/>
    <w:rsid w:val="004E0BE3"/>
    <w:rsid w:val="004E0E03"/>
    <w:rsid w:val="004E0F37"/>
    <w:rsid w:val="004E13FA"/>
    <w:rsid w:val="004E1AA9"/>
    <w:rsid w:val="004E1D0E"/>
    <w:rsid w:val="004E1DB7"/>
    <w:rsid w:val="004E1FE7"/>
    <w:rsid w:val="004E221D"/>
    <w:rsid w:val="004E229B"/>
    <w:rsid w:val="004E3112"/>
    <w:rsid w:val="004E5265"/>
    <w:rsid w:val="004E6717"/>
    <w:rsid w:val="004E6D72"/>
    <w:rsid w:val="004E7219"/>
    <w:rsid w:val="004E7332"/>
    <w:rsid w:val="004E776C"/>
    <w:rsid w:val="004F01B0"/>
    <w:rsid w:val="004F19E2"/>
    <w:rsid w:val="004F1D1F"/>
    <w:rsid w:val="004F24FD"/>
    <w:rsid w:val="004F30E8"/>
    <w:rsid w:val="004F431D"/>
    <w:rsid w:val="004F43AB"/>
    <w:rsid w:val="004F4F1F"/>
    <w:rsid w:val="004F4F7A"/>
    <w:rsid w:val="004F4F85"/>
    <w:rsid w:val="004F539A"/>
    <w:rsid w:val="004F5B56"/>
    <w:rsid w:val="004F679D"/>
    <w:rsid w:val="0050010C"/>
    <w:rsid w:val="005001D1"/>
    <w:rsid w:val="005001D8"/>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5366"/>
    <w:rsid w:val="00510184"/>
    <w:rsid w:val="00510973"/>
    <w:rsid w:val="00510D89"/>
    <w:rsid w:val="00511F6D"/>
    <w:rsid w:val="005130A4"/>
    <w:rsid w:val="0051326F"/>
    <w:rsid w:val="00513F33"/>
    <w:rsid w:val="005147FC"/>
    <w:rsid w:val="00514DD2"/>
    <w:rsid w:val="005158BE"/>
    <w:rsid w:val="00515C82"/>
    <w:rsid w:val="0051671A"/>
    <w:rsid w:val="00516835"/>
    <w:rsid w:val="00516FB8"/>
    <w:rsid w:val="00517613"/>
    <w:rsid w:val="00520C3B"/>
    <w:rsid w:val="00520C4B"/>
    <w:rsid w:val="0052156D"/>
    <w:rsid w:val="00521A4E"/>
    <w:rsid w:val="00522475"/>
    <w:rsid w:val="005227A0"/>
    <w:rsid w:val="0052289F"/>
    <w:rsid w:val="00522FC1"/>
    <w:rsid w:val="005232B5"/>
    <w:rsid w:val="005239EA"/>
    <w:rsid w:val="005254F8"/>
    <w:rsid w:val="005259CE"/>
    <w:rsid w:val="00526053"/>
    <w:rsid w:val="005265D4"/>
    <w:rsid w:val="00526812"/>
    <w:rsid w:val="0052721A"/>
    <w:rsid w:val="00527B92"/>
    <w:rsid w:val="00527F31"/>
    <w:rsid w:val="00530147"/>
    <w:rsid w:val="0053022D"/>
    <w:rsid w:val="005315AB"/>
    <w:rsid w:val="005325F3"/>
    <w:rsid w:val="005326D9"/>
    <w:rsid w:val="00533572"/>
    <w:rsid w:val="00534021"/>
    <w:rsid w:val="005342AA"/>
    <w:rsid w:val="00534623"/>
    <w:rsid w:val="005346A1"/>
    <w:rsid w:val="005352B7"/>
    <w:rsid w:val="00535691"/>
    <w:rsid w:val="00535D72"/>
    <w:rsid w:val="00536216"/>
    <w:rsid w:val="005369F8"/>
    <w:rsid w:val="00536D35"/>
    <w:rsid w:val="005373BF"/>
    <w:rsid w:val="005379CF"/>
    <w:rsid w:val="00537EE4"/>
    <w:rsid w:val="0054001C"/>
    <w:rsid w:val="005402FF"/>
    <w:rsid w:val="005408D0"/>
    <w:rsid w:val="00540A49"/>
    <w:rsid w:val="00540FF0"/>
    <w:rsid w:val="005413A3"/>
    <w:rsid w:val="00541A40"/>
    <w:rsid w:val="00542C8D"/>
    <w:rsid w:val="00542CDA"/>
    <w:rsid w:val="00542EA3"/>
    <w:rsid w:val="00543699"/>
    <w:rsid w:val="00543A22"/>
    <w:rsid w:val="0054509A"/>
    <w:rsid w:val="00545927"/>
    <w:rsid w:val="00546559"/>
    <w:rsid w:val="005474F6"/>
    <w:rsid w:val="00547C0F"/>
    <w:rsid w:val="00550BA0"/>
    <w:rsid w:val="00550E94"/>
    <w:rsid w:val="00551B42"/>
    <w:rsid w:val="00551DB7"/>
    <w:rsid w:val="00553469"/>
    <w:rsid w:val="00554AAD"/>
    <w:rsid w:val="005554C5"/>
    <w:rsid w:val="005556CA"/>
    <w:rsid w:val="005559D1"/>
    <w:rsid w:val="00555D63"/>
    <w:rsid w:val="00556192"/>
    <w:rsid w:val="005565B2"/>
    <w:rsid w:val="00556E6F"/>
    <w:rsid w:val="00556F6F"/>
    <w:rsid w:val="00557296"/>
    <w:rsid w:val="00557A6C"/>
    <w:rsid w:val="005608B2"/>
    <w:rsid w:val="0056099A"/>
    <w:rsid w:val="00560A43"/>
    <w:rsid w:val="00561000"/>
    <w:rsid w:val="00561471"/>
    <w:rsid w:val="005614EB"/>
    <w:rsid w:val="00563749"/>
    <w:rsid w:val="00563C85"/>
    <w:rsid w:val="00563DDB"/>
    <w:rsid w:val="00564813"/>
    <w:rsid w:val="0056546C"/>
    <w:rsid w:val="0056563A"/>
    <w:rsid w:val="00565966"/>
    <w:rsid w:val="00565BD3"/>
    <w:rsid w:val="00566629"/>
    <w:rsid w:val="00567686"/>
    <w:rsid w:val="005676DC"/>
    <w:rsid w:val="005702C5"/>
    <w:rsid w:val="005715C9"/>
    <w:rsid w:val="00571D67"/>
    <w:rsid w:val="00572E40"/>
    <w:rsid w:val="00573595"/>
    <w:rsid w:val="00573801"/>
    <w:rsid w:val="00574579"/>
    <w:rsid w:val="00574593"/>
    <w:rsid w:val="00574757"/>
    <w:rsid w:val="0057527E"/>
    <w:rsid w:val="00575A1D"/>
    <w:rsid w:val="00575A7F"/>
    <w:rsid w:val="005764A9"/>
    <w:rsid w:val="00576529"/>
    <w:rsid w:val="00576867"/>
    <w:rsid w:val="00576D2C"/>
    <w:rsid w:val="00576EFD"/>
    <w:rsid w:val="00577BC4"/>
    <w:rsid w:val="00580508"/>
    <w:rsid w:val="00580C5C"/>
    <w:rsid w:val="00580DA8"/>
    <w:rsid w:val="00580F79"/>
    <w:rsid w:val="0058142E"/>
    <w:rsid w:val="00583B95"/>
    <w:rsid w:val="005850FD"/>
    <w:rsid w:val="0058597D"/>
    <w:rsid w:val="00585BB5"/>
    <w:rsid w:val="00585F34"/>
    <w:rsid w:val="00587DC2"/>
    <w:rsid w:val="005906E5"/>
    <w:rsid w:val="00590AE1"/>
    <w:rsid w:val="00590EBE"/>
    <w:rsid w:val="0059185F"/>
    <w:rsid w:val="00592EBE"/>
    <w:rsid w:val="00593050"/>
    <w:rsid w:val="0059393A"/>
    <w:rsid w:val="005950C8"/>
    <w:rsid w:val="0059531A"/>
    <w:rsid w:val="0059595B"/>
    <w:rsid w:val="00595A3D"/>
    <w:rsid w:val="00595D44"/>
    <w:rsid w:val="0059614A"/>
    <w:rsid w:val="005963B4"/>
    <w:rsid w:val="005977BF"/>
    <w:rsid w:val="0059796B"/>
    <w:rsid w:val="005A021D"/>
    <w:rsid w:val="005A0CEA"/>
    <w:rsid w:val="005A1450"/>
    <w:rsid w:val="005A1852"/>
    <w:rsid w:val="005A190A"/>
    <w:rsid w:val="005A1A1B"/>
    <w:rsid w:val="005A20C9"/>
    <w:rsid w:val="005A2216"/>
    <w:rsid w:val="005A24B5"/>
    <w:rsid w:val="005A2CFC"/>
    <w:rsid w:val="005A40BA"/>
    <w:rsid w:val="005A504A"/>
    <w:rsid w:val="005A57D6"/>
    <w:rsid w:val="005A5A70"/>
    <w:rsid w:val="005A7389"/>
    <w:rsid w:val="005A78EE"/>
    <w:rsid w:val="005A7CA2"/>
    <w:rsid w:val="005B02F2"/>
    <w:rsid w:val="005B1071"/>
    <w:rsid w:val="005B1790"/>
    <w:rsid w:val="005B1F44"/>
    <w:rsid w:val="005B20D0"/>
    <w:rsid w:val="005B3945"/>
    <w:rsid w:val="005B4811"/>
    <w:rsid w:val="005B4C75"/>
    <w:rsid w:val="005B529D"/>
    <w:rsid w:val="005B53E0"/>
    <w:rsid w:val="005B5853"/>
    <w:rsid w:val="005B5E6C"/>
    <w:rsid w:val="005B63E4"/>
    <w:rsid w:val="005B6AB5"/>
    <w:rsid w:val="005B6CCC"/>
    <w:rsid w:val="005B71CE"/>
    <w:rsid w:val="005B757C"/>
    <w:rsid w:val="005B78A1"/>
    <w:rsid w:val="005C05FF"/>
    <w:rsid w:val="005C14A0"/>
    <w:rsid w:val="005C198B"/>
    <w:rsid w:val="005C23D7"/>
    <w:rsid w:val="005C2859"/>
    <w:rsid w:val="005C438E"/>
    <w:rsid w:val="005C43F3"/>
    <w:rsid w:val="005C552D"/>
    <w:rsid w:val="005C5648"/>
    <w:rsid w:val="005C608E"/>
    <w:rsid w:val="005C62D9"/>
    <w:rsid w:val="005D00DB"/>
    <w:rsid w:val="005D07D2"/>
    <w:rsid w:val="005D0F46"/>
    <w:rsid w:val="005D14F8"/>
    <w:rsid w:val="005D1BB8"/>
    <w:rsid w:val="005D25B7"/>
    <w:rsid w:val="005D293C"/>
    <w:rsid w:val="005D30B8"/>
    <w:rsid w:val="005D48FE"/>
    <w:rsid w:val="005D5DA2"/>
    <w:rsid w:val="005D5EAC"/>
    <w:rsid w:val="005D66B0"/>
    <w:rsid w:val="005D6BA1"/>
    <w:rsid w:val="005D6C63"/>
    <w:rsid w:val="005D7598"/>
    <w:rsid w:val="005E009F"/>
    <w:rsid w:val="005E1528"/>
    <w:rsid w:val="005E2189"/>
    <w:rsid w:val="005E25F7"/>
    <w:rsid w:val="005E2A5A"/>
    <w:rsid w:val="005E2C15"/>
    <w:rsid w:val="005E3DDA"/>
    <w:rsid w:val="005E4642"/>
    <w:rsid w:val="005E46DC"/>
    <w:rsid w:val="005E4A51"/>
    <w:rsid w:val="005E4C95"/>
    <w:rsid w:val="005E58A5"/>
    <w:rsid w:val="005E5E61"/>
    <w:rsid w:val="005F00DC"/>
    <w:rsid w:val="005F038B"/>
    <w:rsid w:val="005F0B3C"/>
    <w:rsid w:val="005F0E3E"/>
    <w:rsid w:val="005F1D95"/>
    <w:rsid w:val="005F2129"/>
    <w:rsid w:val="005F27EF"/>
    <w:rsid w:val="005F3AEF"/>
    <w:rsid w:val="005F492A"/>
    <w:rsid w:val="005F49D2"/>
    <w:rsid w:val="005F4CED"/>
    <w:rsid w:val="005F5352"/>
    <w:rsid w:val="005F5527"/>
    <w:rsid w:val="005F55B4"/>
    <w:rsid w:val="005F6F91"/>
    <w:rsid w:val="005F7321"/>
    <w:rsid w:val="00600F74"/>
    <w:rsid w:val="00603ABE"/>
    <w:rsid w:val="00603F19"/>
    <w:rsid w:val="00604D69"/>
    <w:rsid w:val="006052E4"/>
    <w:rsid w:val="00605442"/>
    <w:rsid w:val="00607532"/>
    <w:rsid w:val="00607C9B"/>
    <w:rsid w:val="006104FE"/>
    <w:rsid w:val="00610930"/>
    <w:rsid w:val="00610B37"/>
    <w:rsid w:val="00611216"/>
    <w:rsid w:val="006125B0"/>
    <w:rsid w:val="00612FC6"/>
    <w:rsid w:val="00613D28"/>
    <w:rsid w:val="0061404F"/>
    <w:rsid w:val="0061424C"/>
    <w:rsid w:val="00614C2C"/>
    <w:rsid w:val="00614E96"/>
    <w:rsid w:val="00614EA9"/>
    <w:rsid w:val="00615EA0"/>
    <w:rsid w:val="00615F30"/>
    <w:rsid w:val="00616E27"/>
    <w:rsid w:val="00617088"/>
    <w:rsid w:val="00617831"/>
    <w:rsid w:val="0062007E"/>
    <w:rsid w:val="00620205"/>
    <w:rsid w:val="006202CC"/>
    <w:rsid w:val="00620470"/>
    <w:rsid w:val="00620736"/>
    <w:rsid w:val="00621EF4"/>
    <w:rsid w:val="00622128"/>
    <w:rsid w:val="006241BE"/>
    <w:rsid w:val="00625009"/>
    <w:rsid w:val="00625759"/>
    <w:rsid w:val="00625B32"/>
    <w:rsid w:val="00625B8F"/>
    <w:rsid w:val="006278CC"/>
    <w:rsid w:val="0063189C"/>
    <w:rsid w:val="00632878"/>
    <w:rsid w:val="00632C05"/>
    <w:rsid w:val="00633595"/>
    <w:rsid w:val="00634521"/>
    <w:rsid w:val="0063468C"/>
    <w:rsid w:val="00634DAD"/>
    <w:rsid w:val="006358A5"/>
    <w:rsid w:val="006359D0"/>
    <w:rsid w:val="00635B2E"/>
    <w:rsid w:val="006364F7"/>
    <w:rsid w:val="00636EAC"/>
    <w:rsid w:val="0063728E"/>
    <w:rsid w:val="006372F2"/>
    <w:rsid w:val="0063730B"/>
    <w:rsid w:val="006373B0"/>
    <w:rsid w:val="00637810"/>
    <w:rsid w:val="00637918"/>
    <w:rsid w:val="0063799F"/>
    <w:rsid w:val="00637E30"/>
    <w:rsid w:val="00640391"/>
    <w:rsid w:val="0064090C"/>
    <w:rsid w:val="00640A83"/>
    <w:rsid w:val="00642D42"/>
    <w:rsid w:val="00642E0E"/>
    <w:rsid w:val="00643044"/>
    <w:rsid w:val="006430ED"/>
    <w:rsid w:val="006434BE"/>
    <w:rsid w:val="00643B35"/>
    <w:rsid w:val="00644879"/>
    <w:rsid w:val="006454AC"/>
    <w:rsid w:val="006457EB"/>
    <w:rsid w:val="00646222"/>
    <w:rsid w:val="0064663D"/>
    <w:rsid w:val="00650191"/>
    <w:rsid w:val="00650351"/>
    <w:rsid w:val="006505DC"/>
    <w:rsid w:val="00650BE0"/>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BBC"/>
    <w:rsid w:val="006600F5"/>
    <w:rsid w:val="0066027D"/>
    <w:rsid w:val="00660609"/>
    <w:rsid w:val="006609B1"/>
    <w:rsid w:val="0066318C"/>
    <w:rsid w:val="00663AAC"/>
    <w:rsid w:val="00664533"/>
    <w:rsid w:val="0066498E"/>
    <w:rsid w:val="00665B84"/>
    <w:rsid w:val="006662AD"/>
    <w:rsid w:val="006668CA"/>
    <w:rsid w:val="0066760C"/>
    <w:rsid w:val="00667ABB"/>
    <w:rsid w:val="006708C9"/>
    <w:rsid w:val="00670B88"/>
    <w:rsid w:val="00670E84"/>
    <w:rsid w:val="0067240D"/>
    <w:rsid w:val="006726E0"/>
    <w:rsid w:val="00674A96"/>
    <w:rsid w:val="006750F1"/>
    <w:rsid w:val="00675A81"/>
    <w:rsid w:val="0067643D"/>
    <w:rsid w:val="0067675D"/>
    <w:rsid w:val="00676850"/>
    <w:rsid w:val="00677A1C"/>
    <w:rsid w:val="00677C73"/>
    <w:rsid w:val="00677F7C"/>
    <w:rsid w:val="0068074C"/>
    <w:rsid w:val="0068204F"/>
    <w:rsid w:val="006828F1"/>
    <w:rsid w:val="006834E5"/>
    <w:rsid w:val="00683815"/>
    <w:rsid w:val="00683A28"/>
    <w:rsid w:val="00684959"/>
    <w:rsid w:val="00684DEA"/>
    <w:rsid w:val="006854F2"/>
    <w:rsid w:val="0068565C"/>
    <w:rsid w:val="0068620A"/>
    <w:rsid w:val="006862BE"/>
    <w:rsid w:val="00686E12"/>
    <w:rsid w:val="00690E56"/>
    <w:rsid w:val="00691B4D"/>
    <w:rsid w:val="0069249C"/>
    <w:rsid w:val="00692613"/>
    <w:rsid w:val="0069335D"/>
    <w:rsid w:val="00694C3C"/>
    <w:rsid w:val="00697E8B"/>
    <w:rsid w:val="006A040F"/>
    <w:rsid w:val="006A1039"/>
    <w:rsid w:val="006A21AF"/>
    <w:rsid w:val="006A2D1D"/>
    <w:rsid w:val="006A49AE"/>
    <w:rsid w:val="006A4C49"/>
    <w:rsid w:val="006A5A4C"/>
    <w:rsid w:val="006A6846"/>
    <w:rsid w:val="006A7121"/>
    <w:rsid w:val="006A75AC"/>
    <w:rsid w:val="006A7897"/>
    <w:rsid w:val="006A7F23"/>
    <w:rsid w:val="006B056A"/>
    <w:rsid w:val="006B0630"/>
    <w:rsid w:val="006B0FA2"/>
    <w:rsid w:val="006B1475"/>
    <w:rsid w:val="006B1754"/>
    <w:rsid w:val="006B1A63"/>
    <w:rsid w:val="006B2A03"/>
    <w:rsid w:val="006B2ABD"/>
    <w:rsid w:val="006B2E94"/>
    <w:rsid w:val="006B3858"/>
    <w:rsid w:val="006B5363"/>
    <w:rsid w:val="006B56D9"/>
    <w:rsid w:val="006B657B"/>
    <w:rsid w:val="006B709C"/>
    <w:rsid w:val="006C01B3"/>
    <w:rsid w:val="006C0671"/>
    <w:rsid w:val="006C150F"/>
    <w:rsid w:val="006C1ABF"/>
    <w:rsid w:val="006C1BD3"/>
    <w:rsid w:val="006C1C44"/>
    <w:rsid w:val="006C1C92"/>
    <w:rsid w:val="006C1D80"/>
    <w:rsid w:val="006C34ED"/>
    <w:rsid w:val="006C3B12"/>
    <w:rsid w:val="006C3D2D"/>
    <w:rsid w:val="006C4023"/>
    <w:rsid w:val="006C4287"/>
    <w:rsid w:val="006C431D"/>
    <w:rsid w:val="006C4D54"/>
    <w:rsid w:val="006C58DF"/>
    <w:rsid w:val="006C6452"/>
    <w:rsid w:val="006C7199"/>
    <w:rsid w:val="006C7422"/>
    <w:rsid w:val="006D0087"/>
    <w:rsid w:val="006D04D2"/>
    <w:rsid w:val="006D167F"/>
    <w:rsid w:val="006D176D"/>
    <w:rsid w:val="006D280F"/>
    <w:rsid w:val="006D383A"/>
    <w:rsid w:val="006D4161"/>
    <w:rsid w:val="006D5CCE"/>
    <w:rsid w:val="006D60EF"/>
    <w:rsid w:val="006D6131"/>
    <w:rsid w:val="006D66B2"/>
    <w:rsid w:val="006D6CC0"/>
    <w:rsid w:val="006D6DC4"/>
    <w:rsid w:val="006D76F3"/>
    <w:rsid w:val="006D786C"/>
    <w:rsid w:val="006D795F"/>
    <w:rsid w:val="006D79E4"/>
    <w:rsid w:val="006D7BA7"/>
    <w:rsid w:val="006E07AA"/>
    <w:rsid w:val="006E123A"/>
    <w:rsid w:val="006E24C0"/>
    <w:rsid w:val="006E2C4B"/>
    <w:rsid w:val="006E36C3"/>
    <w:rsid w:val="006E3C03"/>
    <w:rsid w:val="006E42E4"/>
    <w:rsid w:val="006E4684"/>
    <w:rsid w:val="006E4ABF"/>
    <w:rsid w:val="006E52CE"/>
    <w:rsid w:val="006E57B4"/>
    <w:rsid w:val="006E585B"/>
    <w:rsid w:val="006E5FB1"/>
    <w:rsid w:val="006E6297"/>
    <w:rsid w:val="006E6560"/>
    <w:rsid w:val="006E663F"/>
    <w:rsid w:val="006E6CC2"/>
    <w:rsid w:val="006E6E66"/>
    <w:rsid w:val="006E787E"/>
    <w:rsid w:val="006F0215"/>
    <w:rsid w:val="006F10E1"/>
    <w:rsid w:val="006F11DD"/>
    <w:rsid w:val="006F161B"/>
    <w:rsid w:val="006F19AA"/>
    <w:rsid w:val="006F19AB"/>
    <w:rsid w:val="006F26FB"/>
    <w:rsid w:val="006F281D"/>
    <w:rsid w:val="006F285F"/>
    <w:rsid w:val="006F3142"/>
    <w:rsid w:val="006F347B"/>
    <w:rsid w:val="006F3536"/>
    <w:rsid w:val="006F3A6E"/>
    <w:rsid w:val="006F4A1E"/>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704B"/>
    <w:rsid w:val="00710AF8"/>
    <w:rsid w:val="00710BF9"/>
    <w:rsid w:val="00710F65"/>
    <w:rsid w:val="00712ACD"/>
    <w:rsid w:val="0071327A"/>
    <w:rsid w:val="00713714"/>
    <w:rsid w:val="0071397B"/>
    <w:rsid w:val="007139D1"/>
    <w:rsid w:val="00713E05"/>
    <w:rsid w:val="007149F9"/>
    <w:rsid w:val="00715002"/>
    <w:rsid w:val="007163C0"/>
    <w:rsid w:val="007202FA"/>
    <w:rsid w:val="0072059F"/>
    <w:rsid w:val="00720648"/>
    <w:rsid w:val="00720B9C"/>
    <w:rsid w:val="00720C94"/>
    <w:rsid w:val="0072199D"/>
    <w:rsid w:val="0072219B"/>
    <w:rsid w:val="00722424"/>
    <w:rsid w:val="0072288D"/>
    <w:rsid w:val="00722DED"/>
    <w:rsid w:val="00723C1D"/>
    <w:rsid w:val="00723CC5"/>
    <w:rsid w:val="007244C8"/>
    <w:rsid w:val="00724A11"/>
    <w:rsid w:val="00725154"/>
    <w:rsid w:val="007264A6"/>
    <w:rsid w:val="00726680"/>
    <w:rsid w:val="00726C56"/>
    <w:rsid w:val="00727068"/>
    <w:rsid w:val="007270D6"/>
    <w:rsid w:val="00727786"/>
    <w:rsid w:val="007278B3"/>
    <w:rsid w:val="00727AE5"/>
    <w:rsid w:val="00727E46"/>
    <w:rsid w:val="00730041"/>
    <w:rsid w:val="0073024E"/>
    <w:rsid w:val="00730D60"/>
    <w:rsid w:val="00731EC4"/>
    <w:rsid w:val="00731FA8"/>
    <w:rsid w:val="0073212E"/>
    <w:rsid w:val="0073326F"/>
    <w:rsid w:val="0073378E"/>
    <w:rsid w:val="007343B1"/>
    <w:rsid w:val="00734516"/>
    <w:rsid w:val="00734D2F"/>
    <w:rsid w:val="00735043"/>
    <w:rsid w:val="00736983"/>
    <w:rsid w:val="00737520"/>
    <w:rsid w:val="007406F6"/>
    <w:rsid w:val="00740C3E"/>
    <w:rsid w:val="00740E0F"/>
    <w:rsid w:val="00742601"/>
    <w:rsid w:val="0074450C"/>
    <w:rsid w:val="00744632"/>
    <w:rsid w:val="00744A32"/>
    <w:rsid w:val="00744A94"/>
    <w:rsid w:val="007452B3"/>
    <w:rsid w:val="0074683C"/>
    <w:rsid w:val="00746F99"/>
    <w:rsid w:val="007474F0"/>
    <w:rsid w:val="00747AC3"/>
    <w:rsid w:val="00747B67"/>
    <w:rsid w:val="00750F58"/>
    <w:rsid w:val="00752433"/>
    <w:rsid w:val="007524DB"/>
    <w:rsid w:val="007526C7"/>
    <w:rsid w:val="00753115"/>
    <w:rsid w:val="007536B9"/>
    <w:rsid w:val="00753941"/>
    <w:rsid w:val="00753A65"/>
    <w:rsid w:val="00753ADE"/>
    <w:rsid w:val="00756E3A"/>
    <w:rsid w:val="0075719C"/>
    <w:rsid w:val="00757B56"/>
    <w:rsid w:val="00760B67"/>
    <w:rsid w:val="00760F3C"/>
    <w:rsid w:val="00761CE2"/>
    <w:rsid w:val="00761E1F"/>
    <w:rsid w:val="00761E43"/>
    <w:rsid w:val="00763CCF"/>
    <w:rsid w:val="00763E35"/>
    <w:rsid w:val="00764C13"/>
    <w:rsid w:val="007657FC"/>
    <w:rsid w:val="00766829"/>
    <w:rsid w:val="00766AEC"/>
    <w:rsid w:val="0077170D"/>
    <w:rsid w:val="00771F85"/>
    <w:rsid w:val="00772487"/>
    <w:rsid w:val="00772730"/>
    <w:rsid w:val="00773308"/>
    <w:rsid w:val="0077389E"/>
    <w:rsid w:val="00773F61"/>
    <w:rsid w:val="00774E68"/>
    <w:rsid w:val="0077505C"/>
    <w:rsid w:val="0077594D"/>
    <w:rsid w:val="007761EE"/>
    <w:rsid w:val="0077727E"/>
    <w:rsid w:val="00777388"/>
    <w:rsid w:val="00777DAD"/>
    <w:rsid w:val="00780097"/>
    <w:rsid w:val="007809A9"/>
    <w:rsid w:val="00780D40"/>
    <w:rsid w:val="00781F3B"/>
    <w:rsid w:val="00783850"/>
    <w:rsid w:val="00784D2F"/>
    <w:rsid w:val="00784F53"/>
    <w:rsid w:val="00786364"/>
    <w:rsid w:val="00787591"/>
    <w:rsid w:val="007877E8"/>
    <w:rsid w:val="00787AC0"/>
    <w:rsid w:val="00787EAD"/>
    <w:rsid w:val="00790BF1"/>
    <w:rsid w:val="00791581"/>
    <w:rsid w:val="00792B80"/>
    <w:rsid w:val="007938BB"/>
    <w:rsid w:val="00795121"/>
    <w:rsid w:val="00795C02"/>
    <w:rsid w:val="00795E68"/>
    <w:rsid w:val="00795F23"/>
    <w:rsid w:val="00796843"/>
    <w:rsid w:val="0079764A"/>
    <w:rsid w:val="007A0926"/>
    <w:rsid w:val="007A1E36"/>
    <w:rsid w:val="007A3DF5"/>
    <w:rsid w:val="007A3F08"/>
    <w:rsid w:val="007A4DFA"/>
    <w:rsid w:val="007A4EBD"/>
    <w:rsid w:val="007A521B"/>
    <w:rsid w:val="007A54C1"/>
    <w:rsid w:val="007A582C"/>
    <w:rsid w:val="007A711B"/>
    <w:rsid w:val="007A75A0"/>
    <w:rsid w:val="007A7E74"/>
    <w:rsid w:val="007A7F2A"/>
    <w:rsid w:val="007B0184"/>
    <w:rsid w:val="007B06A5"/>
    <w:rsid w:val="007B0A01"/>
    <w:rsid w:val="007B0C46"/>
    <w:rsid w:val="007B112B"/>
    <w:rsid w:val="007B566B"/>
    <w:rsid w:val="007B5B26"/>
    <w:rsid w:val="007B619F"/>
    <w:rsid w:val="007B6223"/>
    <w:rsid w:val="007B6592"/>
    <w:rsid w:val="007B687A"/>
    <w:rsid w:val="007B691A"/>
    <w:rsid w:val="007B6D25"/>
    <w:rsid w:val="007B78B6"/>
    <w:rsid w:val="007C0288"/>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734"/>
    <w:rsid w:val="007D01B9"/>
    <w:rsid w:val="007D0632"/>
    <w:rsid w:val="007D0E2D"/>
    <w:rsid w:val="007D15AE"/>
    <w:rsid w:val="007D16B5"/>
    <w:rsid w:val="007D1D12"/>
    <w:rsid w:val="007D337B"/>
    <w:rsid w:val="007D4382"/>
    <w:rsid w:val="007D56D2"/>
    <w:rsid w:val="007D5C93"/>
    <w:rsid w:val="007D61B8"/>
    <w:rsid w:val="007D6945"/>
    <w:rsid w:val="007D6C89"/>
    <w:rsid w:val="007D6DE7"/>
    <w:rsid w:val="007D70B5"/>
    <w:rsid w:val="007D7181"/>
    <w:rsid w:val="007D72D2"/>
    <w:rsid w:val="007D760B"/>
    <w:rsid w:val="007D77AF"/>
    <w:rsid w:val="007D7EB3"/>
    <w:rsid w:val="007E01DB"/>
    <w:rsid w:val="007E10DE"/>
    <w:rsid w:val="007E36FC"/>
    <w:rsid w:val="007E3828"/>
    <w:rsid w:val="007E3B77"/>
    <w:rsid w:val="007E3C92"/>
    <w:rsid w:val="007E405F"/>
    <w:rsid w:val="007E4217"/>
    <w:rsid w:val="007E5629"/>
    <w:rsid w:val="007E5AD7"/>
    <w:rsid w:val="007E68C3"/>
    <w:rsid w:val="007E69A8"/>
    <w:rsid w:val="007E6E5C"/>
    <w:rsid w:val="007E750F"/>
    <w:rsid w:val="007E7D7C"/>
    <w:rsid w:val="007F02E3"/>
    <w:rsid w:val="007F1517"/>
    <w:rsid w:val="007F1621"/>
    <w:rsid w:val="007F1D4F"/>
    <w:rsid w:val="007F34DE"/>
    <w:rsid w:val="007F34EB"/>
    <w:rsid w:val="007F385C"/>
    <w:rsid w:val="007F3B2C"/>
    <w:rsid w:val="007F42D5"/>
    <w:rsid w:val="007F4A1B"/>
    <w:rsid w:val="007F4AD9"/>
    <w:rsid w:val="007F53B3"/>
    <w:rsid w:val="007F572D"/>
    <w:rsid w:val="007F5D02"/>
    <w:rsid w:val="007F6056"/>
    <w:rsid w:val="007F7FF2"/>
    <w:rsid w:val="00800889"/>
    <w:rsid w:val="00800A64"/>
    <w:rsid w:val="0080175F"/>
    <w:rsid w:val="00802129"/>
    <w:rsid w:val="008024D4"/>
    <w:rsid w:val="00802E55"/>
    <w:rsid w:val="00803CE5"/>
    <w:rsid w:val="00804642"/>
    <w:rsid w:val="008050AB"/>
    <w:rsid w:val="008059B4"/>
    <w:rsid w:val="00805B42"/>
    <w:rsid w:val="00805E4B"/>
    <w:rsid w:val="00806D63"/>
    <w:rsid w:val="00807409"/>
    <w:rsid w:val="0080798A"/>
    <w:rsid w:val="008102AD"/>
    <w:rsid w:val="0081167C"/>
    <w:rsid w:val="00811EF6"/>
    <w:rsid w:val="0081297F"/>
    <w:rsid w:val="008148B4"/>
    <w:rsid w:val="00815EB6"/>
    <w:rsid w:val="0081653B"/>
    <w:rsid w:val="008166A5"/>
    <w:rsid w:val="008168F8"/>
    <w:rsid w:val="00820393"/>
    <w:rsid w:val="008203CF"/>
    <w:rsid w:val="00820603"/>
    <w:rsid w:val="0082350D"/>
    <w:rsid w:val="00823E3A"/>
    <w:rsid w:val="00823E80"/>
    <w:rsid w:val="00824AA0"/>
    <w:rsid w:val="00825A1B"/>
    <w:rsid w:val="00825AAA"/>
    <w:rsid w:val="00831AF4"/>
    <w:rsid w:val="00831C86"/>
    <w:rsid w:val="008327D7"/>
    <w:rsid w:val="00832A1F"/>
    <w:rsid w:val="00833E19"/>
    <w:rsid w:val="00834535"/>
    <w:rsid w:val="00834E18"/>
    <w:rsid w:val="00834E9C"/>
    <w:rsid w:val="00835707"/>
    <w:rsid w:val="0083622F"/>
    <w:rsid w:val="00836462"/>
    <w:rsid w:val="008368AA"/>
    <w:rsid w:val="00837276"/>
    <w:rsid w:val="008372A9"/>
    <w:rsid w:val="008375AA"/>
    <w:rsid w:val="00837997"/>
    <w:rsid w:val="00842138"/>
    <w:rsid w:val="00842561"/>
    <w:rsid w:val="00842BBF"/>
    <w:rsid w:val="00842F70"/>
    <w:rsid w:val="00844CA1"/>
    <w:rsid w:val="0084533D"/>
    <w:rsid w:val="00845894"/>
    <w:rsid w:val="00845E79"/>
    <w:rsid w:val="00845E9A"/>
    <w:rsid w:val="0084668B"/>
    <w:rsid w:val="008474A5"/>
    <w:rsid w:val="008478AA"/>
    <w:rsid w:val="00847B0A"/>
    <w:rsid w:val="00847B8A"/>
    <w:rsid w:val="00847C79"/>
    <w:rsid w:val="00847D4E"/>
    <w:rsid w:val="00850080"/>
    <w:rsid w:val="00850599"/>
    <w:rsid w:val="00850910"/>
    <w:rsid w:val="00851076"/>
    <w:rsid w:val="008511EC"/>
    <w:rsid w:val="00851CD4"/>
    <w:rsid w:val="00851FD3"/>
    <w:rsid w:val="00852213"/>
    <w:rsid w:val="0085238A"/>
    <w:rsid w:val="008524EB"/>
    <w:rsid w:val="00852890"/>
    <w:rsid w:val="0085318D"/>
    <w:rsid w:val="008565BC"/>
    <w:rsid w:val="00856648"/>
    <w:rsid w:val="00856A67"/>
    <w:rsid w:val="00856B71"/>
    <w:rsid w:val="00856C93"/>
    <w:rsid w:val="008573F9"/>
    <w:rsid w:val="00857D59"/>
    <w:rsid w:val="00861731"/>
    <w:rsid w:val="0086190F"/>
    <w:rsid w:val="00862862"/>
    <w:rsid w:val="00863B4F"/>
    <w:rsid w:val="00864147"/>
    <w:rsid w:val="0086426F"/>
    <w:rsid w:val="008642D0"/>
    <w:rsid w:val="0086437F"/>
    <w:rsid w:val="0086613E"/>
    <w:rsid w:val="008676E6"/>
    <w:rsid w:val="00867ECB"/>
    <w:rsid w:val="00867FC5"/>
    <w:rsid w:val="008714DB"/>
    <w:rsid w:val="00871578"/>
    <w:rsid w:val="00871B57"/>
    <w:rsid w:val="00871BB6"/>
    <w:rsid w:val="00871E21"/>
    <w:rsid w:val="0087267C"/>
    <w:rsid w:val="008736E6"/>
    <w:rsid w:val="008747C9"/>
    <w:rsid w:val="00875402"/>
    <w:rsid w:val="00875449"/>
    <w:rsid w:val="00875858"/>
    <w:rsid w:val="00876359"/>
    <w:rsid w:val="00876705"/>
    <w:rsid w:val="00877544"/>
    <w:rsid w:val="00877E88"/>
    <w:rsid w:val="00880008"/>
    <w:rsid w:val="0088002F"/>
    <w:rsid w:val="008802A2"/>
    <w:rsid w:val="00881072"/>
    <w:rsid w:val="008816A3"/>
    <w:rsid w:val="00881D79"/>
    <w:rsid w:val="008829F7"/>
    <w:rsid w:val="00882E18"/>
    <w:rsid w:val="00884B09"/>
    <w:rsid w:val="00885345"/>
    <w:rsid w:val="00885469"/>
    <w:rsid w:val="008862D8"/>
    <w:rsid w:val="008865D6"/>
    <w:rsid w:val="008866DF"/>
    <w:rsid w:val="00886AEF"/>
    <w:rsid w:val="00887178"/>
    <w:rsid w:val="00887446"/>
    <w:rsid w:val="0088747B"/>
    <w:rsid w:val="00887648"/>
    <w:rsid w:val="008879D3"/>
    <w:rsid w:val="00890168"/>
    <w:rsid w:val="00890A6C"/>
    <w:rsid w:val="00890D9C"/>
    <w:rsid w:val="00892310"/>
    <w:rsid w:val="00892F80"/>
    <w:rsid w:val="00893A03"/>
    <w:rsid w:val="00894610"/>
    <w:rsid w:val="00894E27"/>
    <w:rsid w:val="00895566"/>
    <w:rsid w:val="00895BAB"/>
    <w:rsid w:val="00895CB8"/>
    <w:rsid w:val="00895E96"/>
    <w:rsid w:val="0089661E"/>
    <w:rsid w:val="00896C38"/>
    <w:rsid w:val="00897D19"/>
    <w:rsid w:val="00897F55"/>
    <w:rsid w:val="008A056C"/>
    <w:rsid w:val="008A0C03"/>
    <w:rsid w:val="008A0D84"/>
    <w:rsid w:val="008A12D8"/>
    <w:rsid w:val="008A14DB"/>
    <w:rsid w:val="008A1A62"/>
    <w:rsid w:val="008A1D01"/>
    <w:rsid w:val="008A1DEE"/>
    <w:rsid w:val="008A1FFE"/>
    <w:rsid w:val="008A21D4"/>
    <w:rsid w:val="008A2836"/>
    <w:rsid w:val="008A2C51"/>
    <w:rsid w:val="008A342D"/>
    <w:rsid w:val="008A45D1"/>
    <w:rsid w:val="008A4780"/>
    <w:rsid w:val="008A5963"/>
    <w:rsid w:val="008A5ABF"/>
    <w:rsid w:val="008A5FD4"/>
    <w:rsid w:val="008A774D"/>
    <w:rsid w:val="008A78F7"/>
    <w:rsid w:val="008B0887"/>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C07C7"/>
    <w:rsid w:val="008C0B8B"/>
    <w:rsid w:val="008C0E17"/>
    <w:rsid w:val="008C1006"/>
    <w:rsid w:val="008C2AB9"/>
    <w:rsid w:val="008C329B"/>
    <w:rsid w:val="008C3DBB"/>
    <w:rsid w:val="008C4092"/>
    <w:rsid w:val="008C5036"/>
    <w:rsid w:val="008C5D99"/>
    <w:rsid w:val="008C61AE"/>
    <w:rsid w:val="008C6F75"/>
    <w:rsid w:val="008C7200"/>
    <w:rsid w:val="008C7627"/>
    <w:rsid w:val="008D0D42"/>
    <w:rsid w:val="008D111E"/>
    <w:rsid w:val="008D12BF"/>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2F17"/>
    <w:rsid w:val="008E3175"/>
    <w:rsid w:val="008E32CE"/>
    <w:rsid w:val="008E372E"/>
    <w:rsid w:val="008E3CC4"/>
    <w:rsid w:val="008E417F"/>
    <w:rsid w:val="008E4F24"/>
    <w:rsid w:val="008E5512"/>
    <w:rsid w:val="008E59C0"/>
    <w:rsid w:val="008E5F4E"/>
    <w:rsid w:val="008E6EF3"/>
    <w:rsid w:val="008E76F8"/>
    <w:rsid w:val="008F080D"/>
    <w:rsid w:val="008F08C3"/>
    <w:rsid w:val="008F1056"/>
    <w:rsid w:val="008F1589"/>
    <w:rsid w:val="008F1873"/>
    <w:rsid w:val="008F18E5"/>
    <w:rsid w:val="008F2E02"/>
    <w:rsid w:val="008F3327"/>
    <w:rsid w:val="008F3549"/>
    <w:rsid w:val="008F49E7"/>
    <w:rsid w:val="008F4A43"/>
    <w:rsid w:val="008F4BA0"/>
    <w:rsid w:val="008F4D58"/>
    <w:rsid w:val="008F5110"/>
    <w:rsid w:val="008F51FC"/>
    <w:rsid w:val="008F5B13"/>
    <w:rsid w:val="008F6006"/>
    <w:rsid w:val="008F62CE"/>
    <w:rsid w:val="008F71B1"/>
    <w:rsid w:val="008F71BC"/>
    <w:rsid w:val="008F7246"/>
    <w:rsid w:val="008F7DE6"/>
    <w:rsid w:val="009015B2"/>
    <w:rsid w:val="00901FA6"/>
    <w:rsid w:val="009022AF"/>
    <w:rsid w:val="009040D4"/>
    <w:rsid w:val="00904723"/>
    <w:rsid w:val="00905ACD"/>
    <w:rsid w:val="00906209"/>
    <w:rsid w:val="0090659B"/>
    <w:rsid w:val="0090660F"/>
    <w:rsid w:val="00906D38"/>
    <w:rsid w:val="00906E90"/>
    <w:rsid w:val="00906F53"/>
    <w:rsid w:val="00907652"/>
    <w:rsid w:val="0091051D"/>
    <w:rsid w:val="00910533"/>
    <w:rsid w:val="00910C50"/>
    <w:rsid w:val="009117BF"/>
    <w:rsid w:val="00912CB8"/>
    <w:rsid w:val="00913B73"/>
    <w:rsid w:val="00913C62"/>
    <w:rsid w:val="009143C1"/>
    <w:rsid w:val="009147BA"/>
    <w:rsid w:val="00914E96"/>
    <w:rsid w:val="0091566D"/>
    <w:rsid w:val="00916484"/>
    <w:rsid w:val="00916B7D"/>
    <w:rsid w:val="00916F2F"/>
    <w:rsid w:val="00917575"/>
    <w:rsid w:val="009176BF"/>
    <w:rsid w:val="00917ABD"/>
    <w:rsid w:val="00920136"/>
    <w:rsid w:val="009209E3"/>
    <w:rsid w:val="00921847"/>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36A3"/>
    <w:rsid w:val="00933910"/>
    <w:rsid w:val="00933A3E"/>
    <w:rsid w:val="00934D39"/>
    <w:rsid w:val="00934DEB"/>
    <w:rsid w:val="0093548A"/>
    <w:rsid w:val="00936381"/>
    <w:rsid w:val="00936F5C"/>
    <w:rsid w:val="00936F84"/>
    <w:rsid w:val="009376D7"/>
    <w:rsid w:val="00937A6E"/>
    <w:rsid w:val="00940851"/>
    <w:rsid w:val="00941194"/>
    <w:rsid w:val="0094160F"/>
    <w:rsid w:val="009422BC"/>
    <w:rsid w:val="0094287F"/>
    <w:rsid w:val="00942B51"/>
    <w:rsid w:val="009430E5"/>
    <w:rsid w:val="0094315F"/>
    <w:rsid w:val="009432CB"/>
    <w:rsid w:val="009436D4"/>
    <w:rsid w:val="009438FA"/>
    <w:rsid w:val="00943AFE"/>
    <w:rsid w:val="00943DE3"/>
    <w:rsid w:val="00944192"/>
    <w:rsid w:val="0094678B"/>
    <w:rsid w:val="00946AB7"/>
    <w:rsid w:val="00946B07"/>
    <w:rsid w:val="009505BB"/>
    <w:rsid w:val="009510AD"/>
    <w:rsid w:val="009513BE"/>
    <w:rsid w:val="00951DBF"/>
    <w:rsid w:val="00951EFA"/>
    <w:rsid w:val="00952259"/>
    <w:rsid w:val="0095242E"/>
    <w:rsid w:val="00953B97"/>
    <w:rsid w:val="00954408"/>
    <w:rsid w:val="00954FE1"/>
    <w:rsid w:val="0095542B"/>
    <w:rsid w:val="009556AE"/>
    <w:rsid w:val="00955DD9"/>
    <w:rsid w:val="009565BD"/>
    <w:rsid w:val="00956939"/>
    <w:rsid w:val="00956AAC"/>
    <w:rsid w:val="00956AB0"/>
    <w:rsid w:val="00961EF6"/>
    <w:rsid w:val="00962780"/>
    <w:rsid w:val="00962B87"/>
    <w:rsid w:val="00962FF1"/>
    <w:rsid w:val="009630CE"/>
    <w:rsid w:val="009641AD"/>
    <w:rsid w:val="009647A2"/>
    <w:rsid w:val="00965427"/>
    <w:rsid w:val="00965842"/>
    <w:rsid w:val="009679D9"/>
    <w:rsid w:val="009703F8"/>
    <w:rsid w:val="0097067B"/>
    <w:rsid w:val="009712AE"/>
    <w:rsid w:val="00971BE0"/>
    <w:rsid w:val="00971EFA"/>
    <w:rsid w:val="0097253D"/>
    <w:rsid w:val="009725A2"/>
    <w:rsid w:val="00972CE5"/>
    <w:rsid w:val="00973381"/>
    <w:rsid w:val="00974915"/>
    <w:rsid w:val="009752C7"/>
    <w:rsid w:val="009759F2"/>
    <w:rsid w:val="00976190"/>
    <w:rsid w:val="00976469"/>
    <w:rsid w:val="00976532"/>
    <w:rsid w:val="0097654B"/>
    <w:rsid w:val="00976A43"/>
    <w:rsid w:val="009770B8"/>
    <w:rsid w:val="00977C6D"/>
    <w:rsid w:val="00977F17"/>
    <w:rsid w:val="00980499"/>
    <w:rsid w:val="00981AF3"/>
    <w:rsid w:val="00982497"/>
    <w:rsid w:val="00982C61"/>
    <w:rsid w:val="00982CD1"/>
    <w:rsid w:val="0098342A"/>
    <w:rsid w:val="00983AE1"/>
    <w:rsid w:val="009854B6"/>
    <w:rsid w:val="00985829"/>
    <w:rsid w:val="00985D36"/>
    <w:rsid w:val="00985DBA"/>
    <w:rsid w:val="009865D6"/>
    <w:rsid w:val="00986975"/>
    <w:rsid w:val="0098757B"/>
    <w:rsid w:val="00990506"/>
    <w:rsid w:val="00990F79"/>
    <w:rsid w:val="009910DC"/>
    <w:rsid w:val="00991584"/>
    <w:rsid w:val="0099172C"/>
    <w:rsid w:val="00991B19"/>
    <w:rsid w:val="00993599"/>
    <w:rsid w:val="00994CCA"/>
    <w:rsid w:val="009974A8"/>
    <w:rsid w:val="009975C9"/>
    <w:rsid w:val="009A0A09"/>
    <w:rsid w:val="009A1930"/>
    <w:rsid w:val="009A245B"/>
    <w:rsid w:val="009A2516"/>
    <w:rsid w:val="009A2FAA"/>
    <w:rsid w:val="009A349F"/>
    <w:rsid w:val="009A3852"/>
    <w:rsid w:val="009A4788"/>
    <w:rsid w:val="009B10AE"/>
    <w:rsid w:val="009B1240"/>
    <w:rsid w:val="009B1690"/>
    <w:rsid w:val="009B18D7"/>
    <w:rsid w:val="009B23EE"/>
    <w:rsid w:val="009B3610"/>
    <w:rsid w:val="009B37D3"/>
    <w:rsid w:val="009B4C61"/>
    <w:rsid w:val="009B4CE0"/>
    <w:rsid w:val="009B54CF"/>
    <w:rsid w:val="009B5A8C"/>
    <w:rsid w:val="009B5C74"/>
    <w:rsid w:val="009B661E"/>
    <w:rsid w:val="009B68A4"/>
    <w:rsid w:val="009B75F0"/>
    <w:rsid w:val="009C01B9"/>
    <w:rsid w:val="009C0342"/>
    <w:rsid w:val="009C0408"/>
    <w:rsid w:val="009C161A"/>
    <w:rsid w:val="009C1E60"/>
    <w:rsid w:val="009C3C12"/>
    <w:rsid w:val="009C4088"/>
    <w:rsid w:val="009C5D49"/>
    <w:rsid w:val="009C718C"/>
    <w:rsid w:val="009C7345"/>
    <w:rsid w:val="009C7BBD"/>
    <w:rsid w:val="009C7FE0"/>
    <w:rsid w:val="009D05CC"/>
    <w:rsid w:val="009D09AE"/>
    <w:rsid w:val="009D11AB"/>
    <w:rsid w:val="009D1B21"/>
    <w:rsid w:val="009D2A1F"/>
    <w:rsid w:val="009D2BAC"/>
    <w:rsid w:val="009D4D73"/>
    <w:rsid w:val="009D55EE"/>
    <w:rsid w:val="009D5970"/>
    <w:rsid w:val="009D5C32"/>
    <w:rsid w:val="009D73F5"/>
    <w:rsid w:val="009D740A"/>
    <w:rsid w:val="009D7D93"/>
    <w:rsid w:val="009E040E"/>
    <w:rsid w:val="009E1607"/>
    <w:rsid w:val="009E1A3F"/>
    <w:rsid w:val="009E21B7"/>
    <w:rsid w:val="009E2CF2"/>
    <w:rsid w:val="009E2EA7"/>
    <w:rsid w:val="009E312B"/>
    <w:rsid w:val="009E3966"/>
    <w:rsid w:val="009E4844"/>
    <w:rsid w:val="009E4CC2"/>
    <w:rsid w:val="009E564F"/>
    <w:rsid w:val="009E6184"/>
    <w:rsid w:val="009E655C"/>
    <w:rsid w:val="009E6F2E"/>
    <w:rsid w:val="009F0A3A"/>
    <w:rsid w:val="009F0BD3"/>
    <w:rsid w:val="009F3218"/>
    <w:rsid w:val="009F394C"/>
    <w:rsid w:val="009F3A44"/>
    <w:rsid w:val="009F556C"/>
    <w:rsid w:val="009F711E"/>
    <w:rsid w:val="009F7F2B"/>
    <w:rsid w:val="00A0001D"/>
    <w:rsid w:val="00A01037"/>
    <w:rsid w:val="00A0119C"/>
    <w:rsid w:val="00A017D4"/>
    <w:rsid w:val="00A01F05"/>
    <w:rsid w:val="00A0287D"/>
    <w:rsid w:val="00A03332"/>
    <w:rsid w:val="00A0369C"/>
    <w:rsid w:val="00A03771"/>
    <w:rsid w:val="00A04595"/>
    <w:rsid w:val="00A0541B"/>
    <w:rsid w:val="00A06208"/>
    <w:rsid w:val="00A0628B"/>
    <w:rsid w:val="00A068D9"/>
    <w:rsid w:val="00A06EB9"/>
    <w:rsid w:val="00A1016F"/>
    <w:rsid w:val="00A10996"/>
    <w:rsid w:val="00A10B74"/>
    <w:rsid w:val="00A10C18"/>
    <w:rsid w:val="00A10EC9"/>
    <w:rsid w:val="00A11F7F"/>
    <w:rsid w:val="00A12648"/>
    <w:rsid w:val="00A136A9"/>
    <w:rsid w:val="00A13855"/>
    <w:rsid w:val="00A140A3"/>
    <w:rsid w:val="00A15500"/>
    <w:rsid w:val="00A155A6"/>
    <w:rsid w:val="00A15B34"/>
    <w:rsid w:val="00A16421"/>
    <w:rsid w:val="00A1647B"/>
    <w:rsid w:val="00A177A3"/>
    <w:rsid w:val="00A17907"/>
    <w:rsid w:val="00A20EFE"/>
    <w:rsid w:val="00A21556"/>
    <w:rsid w:val="00A21903"/>
    <w:rsid w:val="00A22AF7"/>
    <w:rsid w:val="00A2405B"/>
    <w:rsid w:val="00A2551C"/>
    <w:rsid w:val="00A25C16"/>
    <w:rsid w:val="00A2617B"/>
    <w:rsid w:val="00A27672"/>
    <w:rsid w:val="00A30028"/>
    <w:rsid w:val="00A301EF"/>
    <w:rsid w:val="00A3040F"/>
    <w:rsid w:val="00A3123A"/>
    <w:rsid w:val="00A3168A"/>
    <w:rsid w:val="00A31CD2"/>
    <w:rsid w:val="00A32EFA"/>
    <w:rsid w:val="00A335F7"/>
    <w:rsid w:val="00A339B5"/>
    <w:rsid w:val="00A339FB"/>
    <w:rsid w:val="00A348FE"/>
    <w:rsid w:val="00A35D28"/>
    <w:rsid w:val="00A35E53"/>
    <w:rsid w:val="00A36254"/>
    <w:rsid w:val="00A3635F"/>
    <w:rsid w:val="00A36905"/>
    <w:rsid w:val="00A36916"/>
    <w:rsid w:val="00A36941"/>
    <w:rsid w:val="00A3747B"/>
    <w:rsid w:val="00A37995"/>
    <w:rsid w:val="00A40C6E"/>
    <w:rsid w:val="00A4189A"/>
    <w:rsid w:val="00A41A4E"/>
    <w:rsid w:val="00A42565"/>
    <w:rsid w:val="00A42621"/>
    <w:rsid w:val="00A436D2"/>
    <w:rsid w:val="00A43752"/>
    <w:rsid w:val="00A443B8"/>
    <w:rsid w:val="00A452B2"/>
    <w:rsid w:val="00A454E3"/>
    <w:rsid w:val="00A463F3"/>
    <w:rsid w:val="00A472D1"/>
    <w:rsid w:val="00A47902"/>
    <w:rsid w:val="00A47B8B"/>
    <w:rsid w:val="00A50258"/>
    <w:rsid w:val="00A5085F"/>
    <w:rsid w:val="00A51149"/>
    <w:rsid w:val="00A53DBB"/>
    <w:rsid w:val="00A53FB6"/>
    <w:rsid w:val="00A5498C"/>
    <w:rsid w:val="00A54FE4"/>
    <w:rsid w:val="00A5541A"/>
    <w:rsid w:val="00A56092"/>
    <w:rsid w:val="00A567CB"/>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C0E"/>
    <w:rsid w:val="00A65327"/>
    <w:rsid w:val="00A653AC"/>
    <w:rsid w:val="00A65BF7"/>
    <w:rsid w:val="00A65DCD"/>
    <w:rsid w:val="00A66506"/>
    <w:rsid w:val="00A66E2A"/>
    <w:rsid w:val="00A67E6C"/>
    <w:rsid w:val="00A67FE1"/>
    <w:rsid w:val="00A70081"/>
    <w:rsid w:val="00A7067D"/>
    <w:rsid w:val="00A7189A"/>
    <w:rsid w:val="00A719E1"/>
    <w:rsid w:val="00A71C9E"/>
    <w:rsid w:val="00A71DDE"/>
    <w:rsid w:val="00A7228B"/>
    <w:rsid w:val="00A72A7B"/>
    <w:rsid w:val="00A72B75"/>
    <w:rsid w:val="00A73038"/>
    <w:rsid w:val="00A7328F"/>
    <w:rsid w:val="00A73F8D"/>
    <w:rsid w:val="00A749FD"/>
    <w:rsid w:val="00A74B8A"/>
    <w:rsid w:val="00A74C77"/>
    <w:rsid w:val="00A74D94"/>
    <w:rsid w:val="00A75387"/>
    <w:rsid w:val="00A758BE"/>
    <w:rsid w:val="00A75C2A"/>
    <w:rsid w:val="00A7668A"/>
    <w:rsid w:val="00A76C99"/>
    <w:rsid w:val="00A76F14"/>
    <w:rsid w:val="00A775D5"/>
    <w:rsid w:val="00A800C8"/>
    <w:rsid w:val="00A801F8"/>
    <w:rsid w:val="00A811CB"/>
    <w:rsid w:val="00A81D2F"/>
    <w:rsid w:val="00A81E59"/>
    <w:rsid w:val="00A81EBE"/>
    <w:rsid w:val="00A826F1"/>
    <w:rsid w:val="00A82D02"/>
    <w:rsid w:val="00A84364"/>
    <w:rsid w:val="00A84CD0"/>
    <w:rsid w:val="00A85E73"/>
    <w:rsid w:val="00A87A93"/>
    <w:rsid w:val="00A915F4"/>
    <w:rsid w:val="00A917A9"/>
    <w:rsid w:val="00A91C36"/>
    <w:rsid w:val="00A91D41"/>
    <w:rsid w:val="00A96010"/>
    <w:rsid w:val="00A9684D"/>
    <w:rsid w:val="00A97402"/>
    <w:rsid w:val="00A97873"/>
    <w:rsid w:val="00AA0B30"/>
    <w:rsid w:val="00AA0EFF"/>
    <w:rsid w:val="00AA1E6C"/>
    <w:rsid w:val="00AA321D"/>
    <w:rsid w:val="00AA3259"/>
    <w:rsid w:val="00AA383C"/>
    <w:rsid w:val="00AA3C4B"/>
    <w:rsid w:val="00AA4CFF"/>
    <w:rsid w:val="00AA4D52"/>
    <w:rsid w:val="00AA6669"/>
    <w:rsid w:val="00AA690A"/>
    <w:rsid w:val="00AA6AB3"/>
    <w:rsid w:val="00AA6B9A"/>
    <w:rsid w:val="00AA6D26"/>
    <w:rsid w:val="00AA74C0"/>
    <w:rsid w:val="00AB0541"/>
    <w:rsid w:val="00AB09EE"/>
    <w:rsid w:val="00AB19B4"/>
    <w:rsid w:val="00AB2400"/>
    <w:rsid w:val="00AB25DF"/>
    <w:rsid w:val="00AB5377"/>
    <w:rsid w:val="00AB5B77"/>
    <w:rsid w:val="00AB7D08"/>
    <w:rsid w:val="00AB7F83"/>
    <w:rsid w:val="00AC0B81"/>
    <w:rsid w:val="00AC3451"/>
    <w:rsid w:val="00AC3506"/>
    <w:rsid w:val="00AC387E"/>
    <w:rsid w:val="00AC4DD2"/>
    <w:rsid w:val="00AC5210"/>
    <w:rsid w:val="00AC5BDF"/>
    <w:rsid w:val="00AC662A"/>
    <w:rsid w:val="00AC6903"/>
    <w:rsid w:val="00AC6B95"/>
    <w:rsid w:val="00AC7669"/>
    <w:rsid w:val="00AC79C9"/>
    <w:rsid w:val="00AD0AF6"/>
    <w:rsid w:val="00AD277E"/>
    <w:rsid w:val="00AD343E"/>
    <w:rsid w:val="00AD4267"/>
    <w:rsid w:val="00AD476A"/>
    <w:rsid w:val="00AD47AA"/>
    <w:rsid w:val="00AD4ABF"/>
    <w:rsid w:val="00AD4C67"/>
    <w:rsid w:val="00AD52D1"/>
    <w:rsid w:val="00AD54E1"/>
    <w:rsid w:val="00AD5632"/>
    <w:rsid w:val="00AD6306"/>
    <w:rsid w:val="00AD67DE"/>
    <w:rsid w:val="00AD7076"/>
    <w:rsid w:val="00AE0764"/>
    <w:rsid w:val="00AE16D1"/>
    <w:rsid w:val="00AE1BC1"/>
    <w:rsid w:val="00AE1BD1"/>
    <w:rsid w:val="00AE1DBE"/>
    <w:rsid w:val="00AE276C"/>
    <w:rsid w:val="00AE32D5"/>
    <w:rsid w:val="00AE3DF4"/>
    <w:rsid w:val="00AE4788"/>
    <w:rsid w:val="00AE4BEA"/>
    <w:rsid w:val="00AE4C6D"/>
    <w:rsid w:val="00AE50A3"/>
    <w:rsid w:val="00AE54FF"/>
    <w:rsid w:val="00AE563F"/>
    <w:rsid w:val="00AE6595"/>
    <w:rsid w:val="00AE6B0B"/>
    <w:rsid w:val="00AE71A8"/>
    <w:rsid w:val="00AE74B3"/>
    <w:rsid w:val="00AE7678"/>
    <w:rsid w:val="00AF0329"/>
    <w:rsid w:val="00AF0774"/>
    <w:rsid w:val="00AF11B5"/>
    <w:rsid w:val="00AF2612"/>
    <w:rsid w:val="00AF3889"/>
    <w:rsid w:val="00AF39DC"/>
    <w:rsid w:val="00AF3BD3"/>
    <w:rsid w:val="00AF3F13"/>
    <w:rsid w:val="00AF3FE3"/>
    <w:rsid w:val="00AF4A53"/>
    <w:rsid w:val="00AF4F33"/>
    <w:rsid w:val="00AF52DC"/>
    <w:rsid w:val="00AF6305"/>
    <w:rsid w:val="00AF6A68"/>
    <w:rsid w:val="00AF72F9"/>
    <w:rsid w:val="00B001C6"/>
    <w:rsid w:val="00B005BC"/>
    <w:rsid w:val="00B008DF"/>
    <w:rsid w:val="00B00E5C"/>
    <w:rsid w:val="00B011D8"/>
    <w:rsid w:val="00B0131B"/>
    <w:rsid w:val="00B014AD"/>
    <w:rsid w:val="00B01819"/>
    <w:rsid w:val="00B022D8"/>
    <w:rsid w:val="00B02540"/>
    <w:rsid w:val="00B039AB"/>
    <w:rsid w:val="00B03B7D"/>
    <w:rsid w:val="00B04DC3"/>
    <w:rsid w:val="00B04EED"/>
    <w:rsid w:val="00B0529B"/>
    <w:rsid w:val="00B05E03"/>
    <w:rsid w:val="00B0644E"/>
    <w:rsid w:val="00B07ADF"/>
    <w:rsid w:val="00B1077D"/>
    <w:rsid w:val="00B10B1F"/>
    <w:rsid w:val="00B10E6B"/>
    <w:rsid w:val="00B11176"/>
    <w:rsid w:val="00B11376"/>
    <w:rsid w:val="00B13CB1"/>
    <w:rsid w:val="00B14BEA"/>
    <w:rsid w:val="00B167CE"/>
    <w:rsid w:val="00B16B62"/>
    <w:rsid w:val="00B17A2E"/>
    <w:rsid w:val="00B17C66"/>
    <w:rsid w:val="00B20292"/>
    <w:rsid w:val="00B206B1"/>
    <w:rsid w:val="00B22004"/>
    <w:rsid w:val="00B22C0A"/>
    <w:rsid w:val="00B22FF9"/>
    <w:rsid w:val="00B23F87"/>
    <w:rsid w:val="00B24213"/>
    <w:rsid w:val="00B242E1"/>
    <w:rsid w:val="00B24980"/>
    <w:rsid w:val="00B25B42"/>
    <w:rsid w:val="00B2635D"/>
    <w:rsid w:val="00B267F1"/>
    <w:rsid w:val="00B2725F"/>
    <w:rsid w:val="00B27998"/>
    <w:rsid w:val="00B308E1"/>
    <w:rsid w:val="00B31D3D"/>
    <w:rsid w:val="00B331DC"/>
    <w:rsid w:val="00B33BCF"/>
    <w:rsid w:val="00B35546"/>
    <w:rsid w:val="00B3556A"/>
    <w:rsid w:val="00B35594"/>
    <w:rsid w:val="00B3580D"/>
    <w:rsid w:val="00B36B6D"/>
    <w:rsid w:val="00B3756E"/>
    <w:rsid w:val="00B401AE"/>
    <w:rsid w:val="00B402BB"/>
    <w:rsid w:val="00B414AF"/>
    <w:rsid w:val="00B41708"/>
    <w:rsid w:val="00B4301A"/>
    <w:rsid w:val="00B43B6A"/>
    <w:rsid w:val="00B43FF7"/>
    <w:rsid w:val="00B4438B"/>
    <w:rsid w:val="00B453BE"/>
    <w:rsid w:val="00B46241"/>
    <w:rsid w:val="00B46422"/>
    <w:rsid w:val="00B46735"/>
    <w:rsid w:val="00B47C72"/>
    <w:rsid w:val="00B507E9"/>
    <w:rsid w:val="00B50878"/>
    <w:rsid w:val="00B50D0F"/>
    <w:rsid w:val="00B51EF7"/>
    <w:rsid w:val="00B524C0"/>
    <w:rsid w:val="00B52CF9"/>
    <w:rsid w:val="00B52D9E"/>
    <w:rsid w:val="00B53C31"/>
    <w:rsid w:val="00B5445A"/>
    <w:rsid w:val="00B555A9"/>
    <w:rsid w:val="00B55E82"/>
    <w:rsid w:val="00B563AF"/>
    <w:rsid w:val="00B563E9"/>
    <w:rsid w:val="00B56902"/>
    <w:rsid w:val="00B56B70"/>
    <w:rsid w:val="00B574CD"/>
    <w:rsid w:val="00B57983"/>
    <w:rsid w:val="00B604C8"/>
    <w:rsid w:val="00B60563"/>
    <w:rsid w:val="00B60ED0"/>
    <w:rsid w:val="00B62189"/>
    <w:rsid w:val="00B627E7"/>
    <w:rsid w:val="00B6283F"/>
    <w:rsid w:val="00B62F33"/>
    <w:rsid w:val="00B65066"/>
    <w:rsid w:val="00B656EA"/>
    <w:rsid w:val="00B6668D"/>
    <w:rsid w:val="00B666B9"/>
    <w:rsid w:val="00B66A94"/>
    <w:rsid w:val="00B66F81"/>
    <w:rsid w:val="00B67145"/>
    <w:rsid w:val="00B677F1"/>
    <w:rsid w:val="00B707AF"/>
    <w:rsid w:val="00B70882"/>
    <w:rsid w:val="00B709B8"/>
    <w:rsid w:val="00B72467"/>
    <w:rsid w:val="00B72D75"/>
    <w:rsid w:val="00B72F97"/>
    <w:rsid w:val="00B741EF"/>
    <w:rsid w:val="00B75001"/>
    <w:rsid w:val="00B75D6E"/>
    <w:rsid w:val="00B75F72"/>
    <w:rsid w:val="00B76DC1"/>
    <w:rsid w:val="00B77CFD"/>
    <w:rsid w:val="00B800B7"/>
    <w:rsid w:val="00B805C4"/>
    <w:rsid w:val="00B81548"/>
    <w:rsid w:val="00B81633"/>
    <w:rsid w:val="00B81763"/>
    <w:rsid w:val="00B82FF5"/>
    <w:rsid w:val="00B83A38"/>
    <w:rsid w:val="00B850CE"/>
    <w:rsid w:val="00B862C0"/>
    <w:rsid w:val="00B863D9"/>
    <w:rsid w:val="00B86C03"/>
    <w:rsid w:val="00B86E98"/>
    <w:rsid w:val="00B90192"/>
    <w:rsid w:val="00B90A49"/>
    <w:rsid w:val="00B90B9B"/>
    <w:rsid w:val="00B90C7D"/>
    <w:rsid w:val="00B91455"/>
    <w:rsid w:val="00B919E1"/>
    <w:rsid w:val="00B92313"/>
    <w:rsid w:val="00B933BC"/>
    <w:rsid w:val="00B93791"/>
    <w:rsid w:val="00B93921"/>
    <w:rsid w:val="00B945A2"/>
    <w:rsid w:val="00B962AB"/>
    <w:rsid w:val="00B966B6"/>
    <w:rsid w:val="00B96C66"/>
    <w:rsid w:val="00B97B6F"/>
    <w:rsid w:val="00BA05AF"/>
    <w:rsid w:val="00BA0622"/>
    <w:rsid w:val="00BA096B"/>
    <w:rsid w:val="00BA13D0"/>
    <w:rsid w:val="00BA1C0C"/>
    <w:rsid w:val="00BA1C65"/>
    <w:rsid w:val="00BA1F66"/>
    <w:rsid w:val="00BA23AE"/>
    <w:rsid w:val="00BA2A52"/>
    <w:rsid w:val="00BA3293"/>
    <w:rsid w:val="00BA35C3"/>
    <w:rsid w:val="00BA3C29"/>
    <w:rsid w:val="00BA3F2E"/>
    <w:rsid w:val="00BA4357"/>
    <w:rsid w:val="00BA4760"/>
    <w:rsid w:val="00BA4FF0"/>
    <w:rsid w:val="00BA5FB5"/>
    <w:rsid w:val="00BA6E60"/>
    <w:rsid w:val="00BA7003"/>
    <w:rsid w:val="00BA71ED"/>
    <w:rsid w:val="00BA7CCE"/>
    <w:rsid w:val="00BB065D"/>
    <w:rsid w:val="00BB14CF"/>
    <w:rsid w:val="00BB17C8"/>
    <w:rsid w:val="00BB1CF9"/>
    <w:rsid w:val="00BB2133"/>
    <w:rsid w:val="00BB26DC"/>
    <w:rsid w:val="00BB315F"/>
    <w:rsid w:val="00BB325E"/>
    <w:rsid w:val="00BB3D90"/>
    <w:rsid w:val="00BB48F1"/>
    <w:rsid w:val="00BB5036"/>
    <w:rsid w:val="00BB5BAF"/>
    <w:rsid w:val="00BB6888"/>
    <w:rsid w:val="00BB6EFD"/>
    <w:rsid w:val="00BB779D"/>
    <w:rsid w:val="00BB7A4D"/>
    <w:rsid w:val="00BC068E"/>
    <w:rsid w:val="00BC107E"/>
    <w:rsid w:val="00BC3D44"/>
    <w:rsid w:val="00BC4213"/>
    <w:rsid w:val="00BC5C80"/>
    <w:rsid w:val="00BC5D5B"/>
    <w:rsid w:val="00BC5F08"/>
    <w:rsid w:val="00BC65A4"/>
    <w:rsid w:val="00BC65B2"/>
    <w:rsid w:val="00BC7178"/>
    <w:rsid w:val="00BC75B3"/>
    <w:rsid w:val="00BC7E15"/>
    <w:rsid w:val="00BC7E36"/>
    <w:rsid w:val="00BD09B1"/>
    <w:rsid w:val="00BD16D6"/>
    <w:rsid w:val="00BD1B72"/>
    <w:rsid w:val="00BD31B3"/>
    <w:rsid w:val="00BD3BB5"/>
    <w:rsid w:val="00BD41C0"/>
    <w:rsid w:val="00BD485C"/>
    <w:rsid w:val="00BD4AA0"/>
    <w:rsid w:val="00BD6053"/>
    <w:rsid w:val="00BD6593"/>
    <w:rsid w:val="00BD66B2"/>
    <w:rsid w:val="00BD71AD"/>
    <w:rsid w:val="00BD76B1"/>
    <w:rsid w:val="00BD7725"/>
    <w:rsid w:val="00BD78AD"/>
    <w:rsid w:val="00BD78F4"/>
    <w:rsid w:val="00BE0F6C"/>
    <w:rsid w:val="00BE1D73"/>
    <w:rsid w:val="00BE1EC9"/>
    <w:rsid w:val="00BE1F09"/>
    <w:rsid w:val="00BE26F9"/>
    <w:rsid w:val="00BE2DD8"/>
    <w:rsid w:val="00BE301A"/>
    <w:rsid w:val="00BE400A"/>
    <w:rsid w:val="00BE458A"/>
    <w:rsid w:val="00BE4BE8"/>
    <w:rsid w:val="00BE4E51"/>
    <w:rsid w:val="00BE5D07"/>
    <w:rsid w:val="00BE61FC"/>
    <w:rsid w:val="00BE7A1E"/>
    <w:rsid w:val="00BF0159"/>
    <w:rsid w:val="00BF0D84"/>
    <w:rsid w:val="00BF1423"/>
    <w:rsid w:val="00BF18FE"/>
    <w:rsid w:val="00BF1C55"/>
    <w:rsid w:val="00BF224A"/>
    <w:rsid w:val="00BF28A4"/>
    <w:rsid w:val="00BF37C5"/>
    <w:rsid w:val="00BF3AAA"/>
    <w:rsid w:val="00BF42FD"/>
    <w:rsid w:val="00BF497A"/>
    <w:rsid w:val="00BF4AC8"/>
    <w:rsid w:val="00BF5E37"/>
    <w:rsid w:val="00BF6983"/>
    <w:rsid w:val="00BF70D4"/>
    <w:rsid w:val="00BF71E4"/>
    <w:rsid w:val="00BF7B13"/>
    <w:rsid w:val="00C0163D"/>
    <w:rsid w:val="00C017CA"/>
    <w:rsid w:val="00C02152"/>
    <w:rsid w:val="00C0264E"/>
    <w:rsid w:val="00C03CE8"/>
    <w:rsid w:val="00C0494D"/>
    <w:rsid w:val="00C05806"/>
    <w:rsid w:val="00C06A1F"/>
    <w:rsid w:val="00C07158"/>
    <w:rsid w:val="00C108A9"/>
    <w:rsid w:val="00C10D63"/>
    <w:rsid w:val="00C123A3"/>
    <w:rsid w:val="00C12466"/>
    <w:rsid w:val="00C141FB"/>
    <w:rsid w:val="00C143BD"/>
    <w:rsid w:val="00C1441B"/>
    <w:rsid w:val="00C14FB5"/>
    <w:rsid w:val="00C151EC"/>
    <w:rsid w:val="00C1544B"/>
    <w:rsid w:val="00C15A04"/>
    <w:rsid w:val="00C1656A"/>
    <w:rsid w:val="00C16815"/>
    <w:rsid w:val="00C17D4D"/>
    <w:rsid w:val="00C205F8"/>
    <w:rsid w:val="00C2100C"/>
    <w:rsid w:val="00C2106B"/>
    <w:rsid w:val="00C21175"/>
    <w:rsid w:val="00C226C2"/>
    <w:rsid w:val="00C2297F"/>
    <w:rsid w:val="00C2305A"/>
    <w:rsid w:val="00C23CC9"/>
    <w:rsid w:val="00C24114"/>
    <w:rsid w:val="00C248DD"/>
    <w:rsid w:val="00C2492B"/>
    <w:rsid w:val="00C2557A"/>
    <w:rsid w:val="00C255F6"/>
    <w:rsid w:val="00C256E7"/>
    <w:rsid w:val="00C2605E"/>
    <w:rsid w:val="00C26EDD"/>
    <w:rsid w:val="00C27C80"/>
    <w:rsid w:val="00C30577"/>
    <w:rsid w:val="00C30B3D"/>
    <w:rsid w:val="00C30BEF"/>
    <w:rsid w:val="00C30DC6"/>
    <w:rsid w:val="00C31631"/>
    <w:rsid w:val="00C316BC"/>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0CCD"/>
    <w:rsid w:val="00C433C4"/>
    <w:rsid w:val="00C43D52"/>
    <w:rsid w:val="00C43FBA"/>
    <w:rsid w:val="00C441CC"/>
    <w:rsid w:val="00C44475"/>
    <w:rsid w:val="00C44F87"/>
    <w:rsid w:val="00C45757"/>
    <w:rsid w:val="00C46807"/>
    <w:rsid w:val="00C50B1E"/>
    <w:rsid w:val="00C51C72"/>
    <w:rsid w:val="00C521B4"/>
    <w:rsid w:val="00C52914"/>
    <w:rsid w:val="00C544CC"/>
    <w:rsid w:val="00C546E7"/>
    <w:rsid w:val="00C55114"/>
    <w:rsid w:val="00C55BD4"/>
    <w:rsid w:val="00C56262"/>
    <w:rsid w:val="00C57198"/>
    <w:rsid w:val="00C578CE"/>
    <w:rsid w:val="00C617BF"/>
    <w:rsid w:val="00C62791"/>
    <w:rsid w:val="00C62FA1"/>
    <w:rsid w:val="00C633E8"/>
    <w:rsid w:val="00C64069"/>
    <w:rsid w:val="00C64B36"/>
    <w:rsid w:val="00C64C87"/>
    <w:rsid w:val="00C653BA"/>
    <w:rsid w:val="00C6774F"/>
    <w:rsid w:val="00C677AA"/>
    <w:rsid w:val="00C71914"/>
    <w:rsid w:val="00C7263B"/>
    <w:rsid w:val="00C727EF"/>
    <w:rsid w:val="00C72D01"/>
    <w:rsid w:val="00C73290"/>
    <w:rsid w:val="00C74636"/>
    <w:rsid w:val="00C752C9"/>
    <w:rsid w:val="00C7613A"/>
    <w:rsid w:val="00C77AEB"/>
    <w:rsid w:val="00C77C98"/>
    <w:rsid w:val="00C80069"/>
    <w:rsid w:val="00C805DA"/>
    <w:rsid w:val="00C8096C"/>
    <w:rsid w:val="00C80A78"/>
    <w:rsid w:val="00C80F33"/>
    <w:rsid w:val="00C80FD0"/>
    <w:rsid w:val="00C8100B"/>
    <w:rsid w:val="00C816BC"/>
    <w:rsid w:val="00C825DD"/>
    <w:rsid w:val="00C82DDB"/>
    <w:rsid w:val="00C852AC"/>
    <w:rsid w:val="00C857F9"/>
    <w:rsid w:val="00C86543"/>
    <w:rsid w:val="00C8683F"/>
    <w:rsid w:val="00C87D19"/>
    <w:rsid w:val="00C9091D"/>
    <w:rsid w:val="00C90FA2"/>
    <w:rsid w:val="00C91CA5"/>
    <w:rsid w:val="00C92267"/>
    <w:rsid w:val="00C94857"/>
    <w:rsid w:val="00C959C2"/>
    <w:rsid w:val="00C95BC5"/>
    <w:rsid w:val="00C95DEA"/>
    <w:rsid w:val="00C95FCA"/>
    <w:rsid w:val="00C974ED"/>
    <w:rsid w:val="00C976AC"/>
    <w:rsid w:val="00C97A8D"/>
    <w:rsid w:val="00CA0083"/>
    <w:rsid w:val="00CA04C0"/>
    <w:rsid w:val="00CA0837"/>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30F5"/>
    <w:rsid w:val="00CB315D"/>
    <w:rsid w:val="00CB3B4E"/>
    <w:rsid w:val="00CB3EC6"/>
    <w:rsid w:val="00CB4BEE"/>
    <w:rsid w:val="00CB4F56"/>
    <w:rsid w:val="00CB598E"/>
    <w:rsid w:val="00CB68CC"/>
    <w:rsid w:val="00CB6BB5"/>
    <w:rsid w:val="00CB6D6A"/>
    <w:rsid w:val="00CB7873"/>
    <w:rsid w:val="00CC07DB"/>
    <w:rsid w:val="00CC0A26"/>
    <w:rsid w:val="00CC0AB1"/>
    <w:rsid w:val="00CC341C"/>
    <w:rsid w:val="00CC3645"/>
    <w:rsid w:val="00CC3F55"/>
    <w:rsid w:val="00CC54B1"/>
    <w:rsid w:val="00CC5CE1"/>
    <w:rsid w:val="00CC79A2"/>
    <w:rsid w:val="00CD0153"/>
    <w:rsid w:val="00CD02C6"/>
    <w:rsid w:val="00CD0A75"/>
    <w:rsid w:val="00CD11DE"/>
    <w:rsid w:val="00CD143E"/>
    <w:rsid w:val="00CD1963"/>
    <w:rsid w:val="00CD19CA"/>
    <w:rsid w:val="00CD34FD"/>
    <w:rsid w:val="00CD3E17"/>
    <w:rsid w:val="00CD467E"/>
    <w:rsid w:val="00CD50A4"/>
    <w:rsid w:val="00CD51ED"/>
    <w:rsid w:val="00CD5CFC"/>
    <w:rsid w:val="00CD6C4D"/>
    <w:rsid w:val="00CD7357"/>
    <w:rsid w:val="00CD7B3A"/>
    <w:rsid w:val="00CE0199"/>
    <w:rsid w:val="00CE0440"/>
    <w:rsid w:val="00CE05E1"/>
    <w:rsid w:val="00CE0620"/>
    <w:rsid w:val="00CE0F5D"/>
    <w:rsid w:val="00CE1146"/>
    <w:rsid w:val="00CE16F2"/>
    <w:rsid w:val="00CE178F"/>
    <w:rsid w:val="00CE1CC5"/>
    <w:rsid w:val="00CE253C"/>
    <w:rsid w:val="00CE2EE4"/>
    <w:rsid w:val="00CE3346"/>
    <w:rsid w:val="00CE3797"/>
    <w:rsid w:val="00CE3ADA"/>
    <w:rsid w:val="00CE41CB"/>
    <w:rsid w:val="00CE48D3"/>
    <w:rsid w:val="00CE498F"/>
    <w:rsid w:val="00CE5D42"/>
    <w:rsid w:val="00CE5FE1"/>
    <w:rsid w:val="00CE6803"/>
    <w:rsid w:val="00CE6D99"/>
    <w:rsid w:val="00CE7F3A"/>
    <w:rsid w:val="00CF0777"/>
    <w:rsid w:val="00CF0FF4"/>
    <w:rsid w:val="00CF1622"/>
    <w:rsid w:val="00CF1EB5"/>
    <w:rsid w:val="00CF34DB"/>
    <w:rsid w:val="00CF3CAD"/>
    <w:rsid w:val="00CF425F"/>
    <w:rsid w:val="00CF4635"/>
    <w:rsid w:val="00CF46ED"/>
    <w:rsid w:val="00CF5173"/>
    <w:rsid w:val="00CF51E8"/>
    <w:rsid w:val="00CF5BA3"/>
    <w:rsid w:val="00CF637A"/>
    <w:rsid w:val="00CF7C31"/>
    <w:rsid w:val="00D025CC"/>
    <w:rsid w:val="00D028B3"/>
    <w:rsid w:val="00D02DA7"/>
    <w:rsid w:val="00D0304E"/>
    <w:rsid w:val="00D04EC9"/>
    <w:rsid w:val="00D053C2"/>
    <w:rsid w:val="00D05E0E"/>
    <w:rsid w:val="00D06218"/>
    <w:rsid w:val="00D104AC"/>
    <w:rsid w:val="00D10566"/>
    <w:rsid w:val="00D11C6E"/>
    <w:rsid w:val="00D12AD5"/>
    <w:rsid w:val="00D138B4"/>
    <w:rsid w:val="00D13D12"/>
    <w:rsid w:val="00D140C2"/>
    <w:rsid w:val="00D15500"/>
    <w:rsid w:val="00D15C15"/>
    <w:rsid w:val="00D16725"/>
    <w:rsid w:val="00D16D23"/>
    <w:rsid w:val="00D17643"/>
    <w:rsid w:val="00D17FB4"/>
    <w:rsid w:val="00D20188"/>
    <w:rsid w:val="00D201E3"/>
    <w:rsid w:val="00D2027A"/>
    <w:rsid w:val="00D20B23"/>
    <w:rsid w:val="00D20C94"/>
    <w:rsid w:val="00D218EF"/>
    <w:rsid w:val="00D22316"/>
    <w:rsid w:val="00D22433"/>
    <w:rsid w:val="00D22748"/>
    <w:rsid w:val="00D22E55"/>
    <w:rsid w:val="00D232AE"/>
    <w:rsid w:val="00D233E0"/>
    <w:rsid w:val="00D2347F"/>
    <w:rsid w:val="00D23626"/>
    <w:rsid w:val="00D25371"/>
    <w:rsid w:val="00D26918"/>
    <w:rsid w:val="00D27734"/>
    <w:rsid w:val="00D27BED"/>
    <w:rsid w:val="00D3182A"/>
    <w:rsid w:val="00D32136"/>
    <w:rsid w:val="00D3222B"/>
    <w:rsid w:val="00D3227D"/>
    <w:rsid w:val="00D330D8"/>
    <w:rsid w:val="00D33197"/>
    <w:rsid w:val="00D33567"/>
    <w:rsid w:val="00D33EEE"/>
    <w:rsid w:val="00D341A7"/>
    <w:rsid w:val="00D34B4B"/>
    <w:rsid w:val="00D35236"/>
    <w:rsid w:val="00D35305"/>
    <w:rsid w:val="00D3579C"/>
    <w:rsid w:val="00D37121"/>
    <w:rsid w:val="00D376AA"/>
    <w:rsid w:val="00D40043"/>
    <w:rsid w:val="00D40A47"/>
    <w:rsid w:val="00D41051"/>
    <w:rsid w:val="00D410F8"/>
    <w:rsid w:val="00D417AE"/>
    <w:rsid w:val="00D41B6F"/>
    <w:rsid w:val="00D457ED"/>
    <w:rsid w:val="00D468B0"/>
    <w:rsid w:val="00D46D32"/>
    <w:rsid w:val="00D46EB7"/>
    <w:rsid w:val="00D476EB"/>
    <w:rsid w:val="00D478AA"/>
    <w:rsid w:val="00D47F55"/>
    <w:rsid w:val="00D50FBA"/>
    <w:rsid w:val="00D51372"/>
    <w:rsid w:val="00D5162F"/>
    <w:rsid w:val="00D51C50"/>
    <w:rsid w:val="00D5266D"/>
    <w:rsid w:val="00D52BBA"/>
    <w:rsid w:val="00D52C1C"/>
    <w:rsid w:val="00D54AEA"/>
    <w:rsid w:val="00D54E4B"/>
    <w:rsid w:val="00D558F6"/>
    <w:rsid w:val="00D55A96"/>
    <w:rsid w:val="00D56796"/>
    <w:rsid w:val="00D56D40"/>
    <w:rsid w:val="00D56D85"/>
    <w:rsid w:val="00D60B6B"/>
    <w:rsid w:val="00D60D72"/>
    <w:rsid w:val="00D60D80"/>
    <w:rsid w:val="00D61918"/>
    <w:rsid w:val="00D63019"/>
    <w:rsid w:val="00D631BD"/>
    <w:rsid w:val="00D64502"/>
    <w:rsid w:val="00D64812"/>
    <w:rsid w:val="00D64E31"/>
    <w:rsid w:val="00D65604"/>
    <w:rsid w:val="00D656B6"/>
    <w:rsid w:val="00D65F9D"/>
    <w:rsid w:val="00D666E7"/>
    <w:rsid w:val="00D677CF"/>
    <w:rsid w:val="00D678F8"/>
    <w:rsid w:val="00D67C66"/>
    <w:rsid w:val="00D67E37"/>
    <w:rsid w:val="00D705C5"/>
    <w:rsid w:val="00D706C6"/>
    <w:rsid w:val="00D721EC"/>
    <w:rsid w:val="00D726CE"/>
    <w:rsid w:val="00D73677"/>
    <w:rsid w:val="00D73943"/>
    <w:rsid w:val="00D74912"/>
    <w:rsid w:val="00D74A6E"/>
    <w:rsid w:val="00D75805"/>
    <w:rsid w:val="00D75B50"/>
    <w:rsid w:val="00D76480"/>
    <w:rsid w:val="00D779F7"/>
    <w:rsid w:val="00D80754"/>
    <w:rsid w:val="00D81F77"/>
    <w:rsid w:val="00D82F54"/>
    <w:rsid w:val="00D83026"/>
    <w:rsid w:val="00D83045"/>
    <w:rsid w:val="00D83354"/>
    <w:rsid w:val="00D844D3"/>
    <w:rsid w:val="00D857E6"/>
    <w:rsid w:val="00D85885"/>
    <w:rsid w:val="00D8653A"/>
    <w:rsid w:val="00D86F41"/>
    <w:rsid w:val="00D871CE"/>
    <w:rsid w:val="00D87542"/>
    <w:rsid w:val="00D87D77"/>
    <w:rsid w:val="00D91245"/>
    <w:rsid w:val="00D91AF5"/>
    <w:rsid w:val="00D920CA"/>
    <w:rsid w:val="00D92BFA"/>
    <w:rsid w:val="00D935D1"/>
    <w:rsid w:val="00D9375F"/>
    <w:rsid w:val="00D937F8"/>
    <w:rsid w:val="00D93883"/>
    <w:rsid w:val="00D93A88"/>
    <w:rsid w:val="00D93B43"/>
    <w:rsid w:val="00D93D76"/>
    <w:rsid w:val="00D93D78"/>
    <w:rsid w:val="00D93FAF"/>
    <w:rsid w:val="00D940D3"/>
    <w:rsid w:val="00D94DB5"/>
    <w:rsid w:val="00D95202"/>
    <w:rsid w:val="00D95B44"/>
    <w:rsid w:val="00D95C20"/>
    <w:rsid w:val="00D961B5"/>
    <w:rsid w:val="00D96BFE"/>
    <w:rsid w:val="00D96F7E"/>
    <w:rsid w:val="00D9778A"/>
    <w:rsid w:val="00D97B59"/>
    <w:rsid w:val="00D97C16"/>
    <w:rsid w:val="00D97D49"/>
    <w:rsid w:val="00DA025F"/>
    <w:rsid w:val="00DA0755"/>
    <w:rsid w:val="00DA08A5"/>
    <w:rsid w:val="00DA23AB"/>
    <w:rsid w:val="00DA2B4B"/>
    <w:rsid w:val="00DA4D03"/>
    <w:rsid w:val="00DA4EAF"/>
    <w:rsid w:val="00DA5A16"/>
    <w:rsid w:val="00DA7D0B"/>
    <w:rsid w:val="00DB07CA"/>
    <w:rsid w:val="00DB0823"/>
    <w:rsid w:val="00DB0E2A"/>
    <w:rsid w:val="00DB111E"/>
    <w:rsid w:val="00DB2718"/>
    <w:rsid w:val="00DB2773"/>
    <w:rsid w:val="00DB2A06"/>
    <w:rsid w:val="00DB383F"/>
    <w:rsid w:val="00DB3A50"/>
    <w:rsid w:val="00DB532F"/>
    <w:rsid w:val="00DB53D6"/>
    <w:rsid w:val="00DB5CC0"/>
    <w:rsid w:val="00DB5FF0"/>
    <w:rsid w:val="00DB63F1"/>
    <w:rsid w:val="00DB65D7"/>
    <w:rsid w:val="00DB6791"/>
    <w:rsid w:val="00DB6C38"/>
    <w:rsid w:val="00DB6E76"/>
    <w:rsid w:val="00DB7445"/>
    <w:rsid w:val="00DB7D53"/>
    <w:rsid w:val="00DC0464"/>
    <w:rsid w:val="00DC0787"/>
    <w:rsid w:val="00DC0F18"/>
    <w:rsid w:val="00DC1303"/>
    <w:rsid w:val="00DC1403"/>
    <w:rsid w:val="00DC389B"/>
    <w:rsid w:val="00DC394C"/>
    <w:rsid w:val="00DC42A4"/>
    <w:rsid w:val="00DC42EA"/>
    <w:rsid w:val="00DC4933"/>
    <w:rsid w:val="00DC558C"/>
    <w:rsid w:val="00DC693E"/>
    <w:rsid w:val="00DC7C31"/>
    <w:rsid w:val="00DD0C3F"/>
    <w:rsid w:val="00DD1F41"/>
    <w:rsid w:val="00DD26CC"/>
    <w:rsid w:val="00DD3543"/>
    <w:rsid w:val="00DD3766"/>
    <w:rsid w:val="00DD380F"/>
    <w:rsid w:val="00DD503F"/>
    <w:rsid w:val="00DD514C"/>
    <w:rsid w:val="00DD6DE7"/>
    <w:rsid w:val="00DD71D6"/>
    <w:rsid w:val="00DD73A8"/>
    <w:rsid w:val="00DD7687"/>
    <w:rsid w:val="00DD7B55"/>
    <w:rsid w:val="00DE0797"/>
    <w:rsid w:val="00DE08C3"/>
    <w:rsid w:val="00DE094A"/>
    <w:rsid w:val="00DE1ACD"/>
    <w:rsid w:val="00DE1DAB"/>
    <w:rsid w:val="00DE20A2"/>
    <w:rsid w:val="00DE261E"/>
    <w:rsid w:val="00DE269D"/>
    <w:rsid w:val="00DE3288"/>
    <w:rsid w:val="00DE52B7"/>
    <w:rsid w:val="00DE6636"/>
    <w:rsid w:val="00DE6C5F"/>
    <w:rsid w:val="00DF00E9"/>
    <w:rsid w:val="00DF0175"/>
    <w:rsid w:val="00DF0B89"/>
    <w:rsid w:val="00DF131B"/>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73B6"/>
    <w:rsid w:val="00DF781C"/>
    <w:rsid w:val="00E00270"/>
    <w:rsid w:val="00E008D8"/>
    <w:rsid w:val="00E00C6B"/>
    <w:rsid w:val="00E02A3C"/>
    <w:rsid w:val="00E02F70"/>
    <w:rsid w:val="00E032F6"/>
    <w:rsid w:val="00E03F4C"/>
    <w:rsid w:val="00E03F4E"/>
    <w:rsid w:val="00E051FB"/>
    <w:rsid w:val="00E056B0"/>
    <w:rsid w:val="00E05984"/>
    <w:rsid w:val="00E05C27"/>
    <w:rsid w:val="00E063DE"/>
    <w:rsid w:val="00E0671B"/>
    <w:rsid w:val="00E07453"/>
    <w:rsid w:val="00E07F6A"/>
    <w:rsid w:val="00E118AB"/>
    <w:rsid w:val="00E11E0F"/>
    <w:rsid w:val="00E11E5E"/>
    <w:rsid w:val="00E12077"/>
    <w:rsid w:val="00E121E9"/>
    <w:rsid w:val="00E129D1"/>
    <w:rsid w:val="00E12F2F"/>
    <w:rsid w:val="00E1319F"/>
    <w:rsid w:val="00E13A48"/>
    <w:rsid w:val="00E13FB6"/>
    <w:rsid w:val="00E14ACF"/>
    <w:rsid w:val="00E14BAD"/>
    <w:rsid w:val="00E14D14"/>
    <w:rsid w:val="00E159EC"/>
    <w:rsid w:val="00E15C68"/>
    <w:rsid w:val="00E16E4C"/>
    <w:rsid w:val="00E173EF"/>
    <w:rsid w:val="00E20A78"/>
    <w:rsid w:val="00E20B50"/>
    <w:rsid w:val="00E20B5E"/>
    <w:rsid w:val="00E20F69"/>
    <w:rsid w:val="00E221AF"/>
    <w:rsid w:val="00E224BF"/>
    <w:rsid w:val="00E22732"/>
    <w:rsid w:val="00E22B39"/>
    <w:rsid w:val="00E2398E"/>
    <w:rsid w:val="00E23A5C"/>
    <w:rsid w:val="00E2459F"/>
    <w:rsid w:val="00E262A9"/>
    <w:rsid w:val="00E2688C"/>
    <w:rsid w:val="00E2693C"/>
    <w:rsid w:val="00E2710F"/>
    <w:rsid w:val="00E3047D"/>
    <w:rsid w:val="00E3066D"/>
    <w:rsid w:val="00E30AF9"/>
    <w:rsid w:val="00E31FB7"/>
    <w:rsid w:val="00E32363"/>
    <w:rsid w:val="00E32488"/>
    <w:rsid w:val="00E327E4"/>
    <w:rsid w:val="00E32E77"/>
    <w:rsid w:val="00E34C86"/>
    <w:rsid w:val="00E34DB8"/>
    <w:rsid w:val="00E35369"/>
    <w:rsid w:val="00E35682"/>
    <w:rsid w:val="00E35DF9"/>
    <w:rsid w:val="00E3649B"/>
    <w:rsid w:val="00E3745E"/>
    <w:rsid w:val="00E37A35"/>
    <w:rsid w:val="00E37B12"/>
    <w:rsid w:val="00E41042"/>
    <w:rsid w:val="00E4127C"/>
    <w:rsid w:val="00E41B14"/>
    <w:rsid w:val="00E41DD4"/>
    <w:rsid w:val="00E424A0"/>
    <w:rsid w:val="00E42698"/>
    <w:rsid w:val="00E4274A"/>
    <w:rsid w:val="00E4373D"/>
    <w:rsid w:val="00E43B12"/>
    <w:rsid w:val="00E43E66"/>
    <w:rsid w:val="00E443AB"/>
    <w:rsid w:val="00E444BC"/>
    <w:rsid w:val="00E4510E"/>
    <w:rsid w:val="00E46906"/>
    <w:rsid w:val="00E46EA3"/>
    <w:rsid w:val="00E47D3D"/>
    <w:rsid w:val="00E50223"/>
    <w:rsid w:val="00E5059B"/>
    <w:rsid w:val="00E50F61"/>
    <w:rsid w:val="00E51C1B"/>
    <w:rsid w:val="00E5332C"/>
    <w:rsid w:val="00E53353"/>
    <w:rsid w:val="00E535A6"/>
    <w:rsid w:val="00E53C45"/>
    <w:rsid w:val="00E53CE0"/>
    <w:rsid w:val="00E53DA7"/>
    <w:rsid w:val="00E54C11"/>
    <w:rsid w:val="00E55DB0"/>
    <w:rsid w:val="00E577EC"/>
    <w:rsid w:val="00E57C4D"/>
    <w:rsid w:val="00E602BD"/>
    <w:rsid w:val="00E62337"/>
    <w:rsid w:val="00E62809"/>
    <w:rsid w:val="00E63321"/>
    <w:rsid w:val="00E634AD"/>
    <w:rsid w:val="00E635BD"/>
    <w:rsid w:val="00E63675"/>
    <w:rsid w:val="00E638A7"/>
    <w:rsid w:val="00E63FAC"/>
    <w:rsid w:val="00E645E9"/>
    <w:rsid w:val="00E64C9D"/>
    <w:rsid w:val="00E6537A"/>
    <w:rsid w:val="00E65567"/>
    <w:rsid w:val="00E65B31"/>
    <w:rsid w:val="00E65B3E"/>
    <w:rsid w:val="00E65FF3"/>
    <w:rsid w:val="00E6618A"/>
    <w:rsid w:val="00E67470"/>
    <w:rsid w:val="00E67A24"/>
    <w:rsid w:val="00E67D62"/>
    <w:rsid w:val="00E7025B"/>
    <w:rsid w:val="00E70552"/>
    <w:rsid w:val="00E712F8"/>
    <w:rsid w:val="00E71416"/>
    <w:rsid w:val="00E72B05"/>
    <w:rsid w:val="00E72E0E"/>
    <w:rsid w:val="00E72FE7"/>
    <w:rsid w:val="00E73D0E"/>
    <w:rsid w:val="00E74A39"/>
    <w:rsid w:val="00E75609"/>
    <w:rsid w:val="00E75790"/>
    <w:rsid w:val="00E75BCD"/>
    <w:rsid w:val="00E76031"/>
    <w:rsid w:val="00E76714"/>
    <w:rsid w:val="00E80437"/>
    <w:rsid w:val="00E81525"/>
    <w:rsid w:val="00E81B55"/>
    <w:rsid w:val="00E82CEF"/>
    <w:rsid w:val="00E83A79"/>
    <w:rsid w:val="00E83DC4"/>
    <w:rsid w:val="00E83DCE"/>
    <w:rsid w:val="00E842A8"/>
    <w:rsid w:val="00E84360"/>
    <w:rsid w:val="00E847B3"/>
    <w:rsid w:val="00E84E89"/>
    <w:rsid w:val="00E86804"/>
    <w:rsid w:val="00E86871"/>
    <w:rsid w:val="00E870BF"/>
    <w:rsid w:val="00E871BC"/>
    <w:rsid w:val="00E90229"/>
    <w:rsid w:val="00E91899"/>
    <w:rsid w:val="00E92268"/>
    <w:rsid w:val="00E92604"/>
    <w:rsid w:val="00E936C2"/>
    <w:rsid w:val="00E942AE"/>
    <w:rsid w:val="00E96274"/>
    <w:rsid w:val="00E96D36"/>
    <w:rsid w:val="00E974B7"/>
    <w:rsid w:val="00E97DD3"/>
    <w:rsid w:val="00EA00A6"/>
    <w:rsid w:val="00EA1489"/>
    <w:rsid w:val="00EA1A6D"/>
    <w:rsid w:val="00EA21DA"/>
    <w:rsid w:val="00EA28D1"/>
    <w:rsid w:val="00EA335A"/>
    <w:rsid w:val="00EA3D63"/>
    <w:rsid w:val="00EA55C1"/>
    <w:rsid w:val="00EA61F0"/>
    <w:rsid w:val="00EA6854"/>
    <w:rsid w:val="00EA7391"/>
    <w:rsid w:val="00EB0AA6"/>
    <w:rsid w:val="00EB1273"/>
    <w:rsid w:val="00EB22C0"/>
    <w:rsid w:val="00EB396F"/>
    <w:rsid w:val="00EB3AA0"/>
    <w:rsid w:val="00EB400B"/>
    <w:rsid w:val="00EB4B77"/>
    <w:rsid w:val="00EB4F3B"/>
    <w:rsid w:val="00EB50F0"/>
    <w:rsid w:val="00EB5C40"/>
    <w:rsid w:val="00EB6A2C"/>
    <w:rsid w:val="00EB6B83"/>
    <w:rsid w:val="00EB6DA9"/>
    <w:rsid w:val="00EC08AD"/>
    <w:rsid w:val="00EC1828"/>
    <w:rsid w:val="00EC1B2E"/>
    <w:rsid w:val="00EC2514"/>
    <w:rsid w:val="00EC287C"/>
    <w:rsid w:val="00EC2AB4"/>
    <w:rsid w:val="00EC2B87"/>
    <w:rsid w:val="00EC3089"/>
    <w:rsid w:val="00EC4214"/>
    <w:rsid w:val="00EC4338"/>
    <w:rsid w:val="00EC4966"/>
    <w:rsid w:val="00EC4FF0"/>
    <w:rsid w:val="00EC6B44"/>
    <w:rsid w:val="00EC73C2"/>
    <w:rsid w:val="00EC749B"/>
    <w:rsid w:val="00EC760C"/>
    <w:rsid w:val="00EC7CED"/>
    <w:rsid w:val="00ED0541"/>
    <w:rsid w:val="00ED0A14"/>
    <w:rsid w:val="00ED0D39"/>
    <w:rsid w:val="00ED0EA7"/>
    <w:rsid w:val="00ED172E"/>
    <w:rsid w:val="00ED1F4F"/>
    <w:rsid w:val="00ED353C"/>
    <w:rsid w:val="00ED41B5"/>
    <w:rsid w:val="00ED41DC"/>
    <w:rsid w:val="00ED42A0"/>
    <w:rsid w:val="00ED5433"/>
    <w:rsid w:val="00ED78DB"/>
    <w:rsid w:val="00ED7DE0"/>
    <w:rsid w:val="00EE0BC0"/>
    <w:rsid w:val="00EE11C7"/>
    <w:rsid w:val="00EE123E"/>
    <w:rsid w:val="00EE298D"/>
    <w:rsid w:val="00EE2BB3"/>
    <w:rsid w:val="00EE37A3"/>
    <w:rsid w:val="00EE4E61"/>
    <w:rsid w:val="00EE4F91"/>
    <w:rsid w:val="00EE65CE"/>
    <w:rsid w:val="00EE6737"/>
    <w:rsid w:val="00EE7093"/>
    <w:rsid w:val="00EE70C3"/>
    <w:rsid w:val="00EE7375"/>
    <w:rsid w:val="00EE7465"/>
    <w:rsid w:val="00EE75B5"/>
    <w:rsid w:val="00EE7E8F"/>
    <w:rsid w:val="00EF2215"/>
    <w:rsid w:val="00EF302F"/>
    <w:rsid w:val="00EF3B49"/>
    <w:rsid w:val="00EF45CF"/>
    <w:rsid w:val="00EF4B52"/>
    <w:rsid w:val="00EF5517"/>
    <w:rsid w:val="00EF5CDA"/>
    <w:rsid w:val="00EF70BA"/>
    <w:rsid w:val="00F002A4"/>
    <w:rsid w:val="00F0031B"/>
    <w:rsid w:val="00F00B5D"/>
    <w:rsid w:val="00F013CB"/>
    <w:rsid w:val="00F018BF"/>
    <w:rsid w:val="00F01B1E"/>
    <w:rsid w:val="00F02214"/>
    <w:rsid w:val="00F0267C"/>
    <w:rsid w:val="00F03379"/>
    <w:rsid w:val="00F0345E"/>
    <w:rsid w:val="00F03FC4"/>
    <w:rsid w:val="00F04BF2"/>
    <w:rsid w:val="00F05790"/>
    <w:rsid w:val="00F05CF9"/>
    <w:rsid w:val="00F06960"/>
    <w:rsid w:val="00F06967"/>
    <w:rsid w:val="00F07E52"/>
    <w:rsid w:val="00F106E4"/>
    <w:rsid w:val="00F10ECA"/>
    <w:rsid w:val="00F1171C"/>
    <w:rsid w:val="00F119FB"/>
    <w:rsid w:val="00F11F70"/>
    <w:rsid w:val="00F12F5F"/>
    <w:rsid w:val="00F145D4"/>
    <w:rsid w:val="00F14AEC"/>
    <w:rsid w:val="00F15F5B"/>
    <w:rsid w:val="00F16210"/>
    <w:rsid w:val="00F164D5"/>
    <w:rsid w:val="00F1792F"/>
    <w:rsid w:val="00F17A56"/>
    <w:rsid w:val="00F20474"/>
    <w:rsid w:val="00F209A2"/>
    <w:rsid w:val="00F21AB6"/>
    <w:rsid w:val="00F223D5"/>
    <w:rsid w:val="00F2283A"/>
    <w:rsid w:val="00F22A84"/>
    <w:rsid w:val="00F22A8F"/>
    <w:rsid w:val="00F22ED6"/>
    <w:rsid w:val="00F23EB4"/>
    <w:rsid w:val="00F24BD2"/>
    <w:rsid w:val="00F2529A"/>
    <w:rsid w:val="00F25333"/>
    <w:rsid w:val="00F25A72"/>
    <w:rsid w:val="00F25F5E"/>
    <w:rsid w:val="00F260CB"/>
    <w:rsid w:val="00F26C19"/>
    <w:rsid w:val="00F3192A"/>
    <w:rsid w:val="00F322C3"/>
    <w:rsid w:val="00F32553"/>
    <w:rsid w:val="00F32690"/>
    <w:rsid w:val="00F327CE"/>
    <w:rsid w:val="00F332ED"/>
    <w:rsid w:val="00F33552"/>
    <w:rsid w:val="00F335AB"/>
    <w:rsid w:val="00F33C8D"/>
    <w:rsid w:val="00F348D1"/>
    <w:rsid w:val="00F35955"/>
    <w:rsid w:val="00F3669D"/>
    <w:rsid w:val="00F378C1"/>
    <w:rsid w:val="00F40CC5"/>
    <w:rsid w:val="00F40E48"/>
    <w:rsid w:val="00F410B5"/>
    <w:rsid w:val="00F41AF4"/>
    <w:rsid w:val="00F41DE0"/>
    <w:rsid w:val="00F42FBC"/>
    <w:rsid w:val="00F4385E"/>
    <w:rsid w:val="00F43BFB"/>
    <w:rsid w:val="00F43F5D"/>
    <w:rsid w:val="00F4401D"/>
    <w:rsid w:val="00F44398"/>
    <w:rsid w:val="00F448C3"/>
    <w:rsid w:val="00F44C53"/>
    <w:rsid w:val="00F45085"/>
    <w:rsid w:val="00F450F4"/>
    <w:rsid w:val="00F45564"/>
    <w:rsid w:val="00F463F1"/>
    <w:rsid w:val="00F46892"/>
    <w:rsid w:val="00F469B2"/>
    <w:rsid w:val="00F47200"/>
    <w:rsid w:val="00F47953"/>
    <w:rsid w:val="00F50572"/>
    <w:rsid w:val="00F505BC"/>
    <w:rsid w:val="00F50E5A"/>
    <w:rsid w:val="00F50EC6"/>
    <w:rsid w:val="00F511FB"/>
    <w:rsid w:val="00F51333"/>
    <w:rsid w:val="00F52456"/>
    <w:rsid w:val="00F5281E"/>
    <w:rsid w:val="00F531AA"/>
    <w:rsid w:val="00F536B7"/>
    <w:rsid w:val="00F537AD"/>
    <w:rsid w:val="00F53BDD"/>
    <w:rsid w:val="00F53FEE"/>
    <w:rsid w:val="00F54DAB"/>
    <w:rsid w:val="00F56161"/>
    <w:rsid w:val="00F561CC"/>
    <w:rsid w:val="00F563CD"/>
    <w:rsid w:val="00F56862"/>
    <w:rsid w:val="00F56FE5"/>
    <w:rsid w:val="00F575AF"/>
    <w:rsid w:val="00F604F4"/>
    <w:rsid w:val="00F60AFA"/>
    <w:rsid w:val="00F62588"/>
    <w:rsid w:val="00F627EB"/>
    <w:rsid w:val="00F629BF"/>
    <w:rsid w:val="00F633D8"/>
    <w:rsid w:val="00F6431B"/>
    <w:rsid w:val="00F64B3B"/>
    <w:rsid w:val="00F64BF7"/>
    <w:rsid w:val="00F64C76"/>
    <w:rsid w:val="00F64CCC"/>
    <w:rsid w:val="00F64ED6"/>
    <w:rsid w:val="00F65747"/>
    <w:rsid w:val="00F65AD5"/>
    <w:rsid w:val="00F65F15"/>
    <w:rsid w:val="00F660F7"/>
    <w:rsid w:val="00F6638A"/>
    <w:rsid w:val="00F6692A"/>
    <w:rsid w:val="00F66E97"/>
    <w:rsid w:val="00F6754F"/>
    <w:rsid w:val="00F6755D"/>
    <w:rsid w:val="00F675B0"/>
    <w:rsid w:val="00F707C9"/>
    <w:rsid w:val="00F70DE9"/>
    <w:rsid w:val="00F710FE"/>
    <w:rsid w:val="00F71BEA"/>
    <w:rsid w:val="00F744F4"/>
    <w:rsid w:val="00F74A01"/>
    <w:rsid w:val="00F74AA8"/>
    <w:rsid w:val="00F74F89"/>
    <w:rsid w:val="00F75A10"/>
    <w:rsid w:val="00F75D9F"/>
    <w:rsid w:val="00F76063"/>
    <w:rsid w:val="00F76D11"/>
    <w:rsid w:val="00F77276"/>
    <w:rsid w:val="00F77A8D"/>
    <w:rsid w:val="00F77D27"/>
    <w:rsid w:val="00F80013"/>
    <w:rsid w:val="00F8095A"/>
    <w:rsid w:val="00F8143C"/>
    <w:rsid w:val="00F81476"/>
    <w:rsid w:val="00F81681"/>
    <w:rsid w:val="00F81E11"/>
    <w:rsid w:val="00F8260F"/>
    <w:rsid w:val="00F83228"/>
    <w:rsid w:val="00F834A7"/>
    <w:rsid w:val="00F847A0"/>
    <w:rsid w:val="00F85D19"/>
    <w:rsid w:val="00F860A3"/>
    <w:rsid w:val="00F864FC"/>
    <w:rsid w:val="00F86808"/>
    <w:rsid w:val="00F8760E"/>
    <w:rsid w:val="00F8773E"/>
    <w:rsid w:val="00F9142D"/>
    <w:rsid w:val="00F915A4"/>
    <w:rsid w:val="00F91EF0"/>
    <w:rsid w:val="00F92104"/>
    <w:rsid w:val="00F93676"/>
    <w:rsid w:val="00F93A3D"/>
    <w:rsid w:val="00F93C99"/>
    <w:rsid w:val="00F93DCD"/>
    <w:rsid w:val="00F94009"/>
    <w:rsid w:val="00F9412A"/>
    <w:rsid w:val="00F94C16"/>
    <w:rsid w:val="00F94D3F"/>
    <w:rsid w:val="00F9591A"/>
    <w:rsid w:val="00F9689E"/>
    <w:rsid w:val="00FA066D"/>
    <w:rsid w:val="00FA0956"/>
    <w:rsid w:val="00FA0FB3"/>
    <w:rsid w:val="00FA1126"/>
    <w:rsid w:val="00FA1B03"/>
    <w:rsid w:val="00FA24F3"/>
    <w:rsid w:val="00FA2798"/>
    <w:rsid w:val="00FA3A4D"/>
    <w:rsid w:val="00FA42BC"/>
    <w:rsid w:val="00FA4635"/>
    <w:rsid w:val="00FA509C"/>
    <w:rsid w:val="00FA5C21"/>
    <w:rsid w:val="00FA5FCE"/>
    <w:rsid w:val="00FA6B30"/>
    <w:rsid w:val="00FA6C13"/>
    <w:rsid w:val="00FA761A"/>
    <w:rsid w:val="00FA786A"/>
    <w:rsid w:val="00FB0515"/>
    <w:rsid w:val="00FB0EE9"/>
    <w:rsid w:val="00FB0EFB"/>
    <w:rsid w:val="00FB0F8A"/>
    <w:rsid w:val="00FB1300"/>
    <w:rsid w:val="00FB19BF"/>
    <w:rsid w:val="00FB252E"/>
    <w:rsid w:val="00FB2EB5"/>
    <w:rsid w:val="00FB30F6"/>
    <w:rsid w:val="00FB34E4"/>
    <w:rsid w:val="00FB38ED"/>
    <w:rsid w:val="00FB3DE3"/>
    <w:rsid w:val="00FB3F26"/>
    <w:rsid w:val="00FB4C8E"/>
    <w:rsid w:val="00FB4D15"/>
    <w:rsid w:val="00FB4E84"/>
    <w:rsid w:val="00FB68DD"/>
    <w:rsid w:val="00FB7F99"/>
    <w:rsid w:val="00FC02F4"/>
    <w:rsid w:val="00FC2683"/>
    <w:rsid w:val="00FC2810"/>
    <w:rsid w:val="00FC3213"/>
    <w:rsid w:val="00FC3C6C"/>
    <w:rsid w:val="00FC48C6"/>
    <w:rsid w:val="00FC4A91"/>
    <w:rsid w:val="00FC4E0B"/>
    <w:rsid w:val="00FC6141"/>
    <w:rsid w:val="00FC646D"/>
    <w:rsid w:val="00FC65E5"/>
    <w:rsid w:val="00FC6C78"/>
    <w:rsid w:val="00FC6CEF"/>
    <w:rsid w:val="00FC6E1D"/>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207"/>
    <w:rsid w:val="00FE1303"/>
    <w:rsid w:val="00FE291B"/>
    <w:rsid w:val="00FE40C1"/>
    <w:rsid w:val="00FE410C"/>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20A2A98B"/>
  <w15:docId w15:val="{DBA9E1E3-E389-4F6C-A2BB-9ACAA8963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7">
    <w:name w:val="תואר"/>
    <w:basedOn w:val="Normal"/>
    <w:link w:val="a8"/>
    <w:qFormat/>
    <w:rsid w:val="00417266"/>
    <w:pPr>
      <w:spacing w:line="240" w:lineRule="auto"/>
      <w:jc w:val="center"/>
    </w:pPr>
    <w:rPr>
      <w:rFonts w:eastAsia="Times New Roman" w:cs="Times New Roman"/>
      <w:b/>
      <w:bCs/>
      <w:sz w:val="32"/>
      <w:szCs w:val="32"/>
      <w:lang w:eastAsia="he-IL"/>
    </w:rPr>
  </w:style>
  <w:style w:type="character" w:customStyle="1" w:styleId="a8">
    <w:name w:val="תואר תו"/>
    <w:link w:val="a7"/>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9">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a">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a1">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b">
    <w:name w:val="הזחה שנייה ריק"/>
    <w:basedOn w:val="BodyTextIndent"/>
    <w:link w:val="Char"/>
    <w:qFormat/>
    <w:rsid w:val="00E07453"/>
    <w:pPr>
      <w:ind w:left="794"/>
    </w:pPr>
    <w:rPr>
      <w:sz w:val="20"/>
    </w:rPr>
  </w:style>
  <w:style w:type="paragraph" w:customStyle="1" w:styleId="a0">
    <w:name w:val="הזחה שנייה אותיות"/>
    <w:basedOn w:val="ListParagraph"/>
    <w:qFormat/>
    <w:rsid w:val="005C23D7"/>
    <w:pPr>
      <w:numPr>
        <w:ilvl w:val="1"/>
        <w:numId w:val="1"/>
      </w:numPr>
      <w:spacing w:after="120"/>
    </w:pPr>
    <w:rPr>
      <w:rFonts w:ascii="Tahoma" w:hAnsi="Tahoma" w:cs="Tahoma"/>
      <w:szCs w:val="20"/>
    </w:rPr>
  </w:style>
  <w:style w:type="paragraph" w:customStyle="1" w:styleId="ac">
    <w:name w:val="מקרא+הערות לתרשים/לוח/תמונה"/>
    <w:basedOn w:val="a9"/>
    <w:qFormat/>
    <w:rsid w:val="00FE0207"/>
    <w:pPr>
      <w:spacing w:before="120"/>
      <w:jc w:val="center"/>
    </w:pPr>
  </w:style>
  <w:style w:type="paragraph" w:customStyle="1" w:styleId="ad">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e">
    <w:name w:val="קוביה כחולה בתוך הזחה ראשונה"/>
    <w:basedOn w:val="ad"/>
    <w:qFormat/>
    <w:rsid w:val="00445522"/>
    <w:pPr>
      <w:ind w:left="680"/>
    </w:pPr>
  </w:style>
  <w:style w:type="paragraph" w:customStyle="1" w:styleId="710">
    <w:name w:val="כותרת 7_10"/>
    <w:basedOn w:val="a0"/>
    <w:qFormat/>
    <w:rsid w:val="00774E68"/>
    <w:pPr>
      <w:ind w:left="1191"/>
    </w:pPr>
  </w:style>
  <w:style w:type="paragraph" w:customStyle="1" w:styleId="af">
    <w:name w:val="הזחה שנייה ללא מספר"/>
    <w:basedOn w:val="ab"/>
    <w:link w:val="Char0"/>
    <w:qFormat/>
    <w:rsid w:val="00D053C2"/>
  </w:style>
  <w:style w:type="character" w:customStyle="1" w:styleId="Char">
    <w:name w:val="הזחה שנייה ריק Char"/>
    <w:basedOn w:val="BodyTextIndentChar"/>
    <w:link w:val="ab"/>
    <w:rsid w:val="008A78F7"/>
    <w:rPr>
      <w:rFonts w:ascii="Tahoma" w:hAnsi="Tahoma" w:cs="Tahoma"/>
      <w:sz w:val="16"/>
      <w:szCs w:val="20"/>
    </w:rPr>
  </w:style>
  <w:style w:type="character" w:customStyle="1" w:styleId="Char0">
    <w:name w:val="הזחה שנייה ללא מספר Char"/>
    <w:basedOn w:val="Char"/>
    <w:link w:val="af"/>
    <w:rsid w:val="00D053C2"/>
    <w:rPr>
      <w:rFonts w:ascii="Tahoma" w:hAnsi="Tahoma" w:cs="Tahoma"/>
      <w:sz w:val="16"/>
      <w:szCs w:val="20"/>
    </w:rPr>
  </w:style>
  <w:style w:type="paragraph" w:customStyle="1" w:styleId="af0">
    <w:name w:val="מספור הערות שוליים"/>
    <w:basedOn w:val="a9"/>
    <w:qFormat/>
    <w:rsid w:val="003B639B"/>
  </w:style>
  <w:style w:type="paragraph" w:customStyle="1" w:styleId="R">
    <w:name w:val="טקסט R טבלה"/>
    <w:basedOn w:val="Normal"/>
    <w:qFormat/>
    <w:rsid w:val="00BF28A4"/>
    <w:pPr>
      <w:spacing w:before="40" w:after="40"/>
      <w:jc w:val="left"/>
    </w:pPr>
    <w:rPr>
      <w:rFonts w:ascii="Tahoma" w:eastAsiaTheme="minorEastAsia" w:hAnsi="Tahoma" w:cs="Tahoma"/>
      <w:szCs w:val="20"/>
    </w:rPr>
  </w:style>
  <w:style w:type="paragraph" w:customStyle="1" w:styleId="B">
    <w:name w:val="טקסט B טבלה"/>
    <w:basedOn w:val="Normal"/>
    <w:qFormat/>
    <w:rsid w:val="00BF28A4"/>
    <w:pPr>
      <w:spacing w:before="40" w:after="40"/>
      <w:jc w:val="left"/>
    </w:pPr>
    <w:rPr>
      <w:rFonts w:ascii="Tahoma" w:eastAsiaTheme="minorEastAsia" w:hAnsi="Tahoma" w:cs="Tahoma"/>
      <w:b/>
      <w:bCs/>
      <w:szCs w:val="16"/>
    </w:rPr>
  </w:style>
  <w:style w:type="paragraph" w:customStyle="1" w:styleId="af1">
    <w:name w:val="כותרת טבלה"/>
    <w:basedOn w:val="Normal"/>
    <w:qFormat/>
    <w:rsid w:val="00625B8F"/>
    <w:pPr>
      <w:spacing w:before="40" w:after="40"/>
      <w:jc w:val="left"/>
    </w:pPr>
    <w:rPr>
      <w:rFonts w:ascii="Tahoma" w:eastAsiaTheme="minorEastAsia" w:hAnsi="Tahoma" w:cs="Tahoma"/>
      <w:b/>
      <w:bCs/>
      <w:color w:val="000000" w:themeColor="text1"/>
      <w:szCs w:val="20"/>
    </w:rPr>
  </w:style>
  <w:style w:type="paragraph" w:customStyle="1" w:styleId="Style1">
    <w:name w:val="Style1"/>
    <w:basedOn w:val="a0"/>
    <w:qFormat/>
    <w:rsid w:val="00085B99"/>
  </w:style>
  <w:style w:type="paragraph" w:customStyle="1" w:styleId="a2">
    <w:name w:val="כניסה שלישית"/>
    <w:basedOn w:val="ListParagraph"/>
    <w:qFormat/>
    <w:rsid w:val="008E5512"/>
    <w:pPr>
      <w:numPr>
        <w:ilvl w:val="2"/>
        <w:numId w:val="2"/>
      </w:numPr>
      <w:spacing w:after="120"/>
    </w:pPr>
    <w:rPr>
      <w:rFonts w:ascii="Tahoma" w:hAnsi="Tahoma" w:cs="Tahoma"/>
      <w:szCs w:val="20"/>
    </w:rPr>
  </w:style>
  <w:style w:type="paragraph" w:customStyle="1" w:styleId="af2">
    <w:name w:val="הזחה שלישית"/>
    <w:basedOn w:val="af"/>
    <w:qFormat/>
    <w:rsid w:val="008D42F6"/>
    <w:pPr>
      <w:ind w:left="1191"/>
    </w:pPr>
  </w:style>
  <w:style w:type="paragraph" w:customStyle="1" w:styleId="af3">
    <w:name w:val="קוביה כחולה הזחה שלישית"/>
    <w:basedOn w:val="ad"/>
    <w:qFormat/>
    <w:rsid w:val="00230B94"/>
    <w:pPr>
      <w:ind w:left="1474"/>
    </w:pPr>
  </w:style>
  <w:style w:type="paragraph" w:customStyle="1" w:styleId="12">
    <w:name w:val="קוביה הזחה 1"/>
    <w:basedOn w:val="ad"/>
    <w:qFormat/>
    <w:rsid w:val="005C2859"/>
    <w:pPr>
      <w:ind w:left="680"/>
    </w:pPr>
  </w:style>
  <w:style w:type="paragraph" w:customStyle="1" w:styleId="af4">
    <w:name w:val="הזחה ראשונה ללא מספר"/>
    <w:basedOn w:val="af"/>
    <w:qFormat/>
    <w:rsid w:val="008203CF"/>
    <w:pPr>
      <w:ind w:left="397"/>
    </w:pPr>
  </w:style>
  <w:style w:type="paragraph" w:customStyle="1" w:styleId="af5">
    <w:name w:val="קוביה רצה"/>
    <w:basedOn w:val="ae"/>
    <w:qFormat/>
    <w:rsid w:val="000E4DF7"/>
    <w:pPr>
      <w:ind w:left="284" w:right="227"/>
    </w:pPr>
  </w:style>
  <w:style w:type="paragraph" w:customStyle="1" w:styleId="414">
    <w:name w:val="כותרת 4_14"/>
    <w:basedOn w:val="Heading4"/>
    <w:qFormat/>
    <w:rsid w:val="00742601"/>
    <w:pPr>
      <w:spacing w:before="360" w:after="120" w:line="269" w:lineRule="auto"/>
      <w:jc w:val="left"/>
    </w:pPr>
    <w:rPr>
      <w:rFonts w:ascii="Tahoma" w:hAnsi="Tahoma" w:cs="Tahoma"/>
      <w:b/>
      <w:bCs w:val="0"/>
      <w:color w:val="387026"/>
      <w:sz w:val="28"/>
      <w:szCs w:val="28"/>
    </w:rPr>
  </w:style>
  <w:style w:type="paragraph" w:customStyle="1" w:styleId="a5">
    <w:name w:val="הזחה בתוך קוביה"/>
    <w:basedOn w:val="af5"/>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6">
    <w:name w:val="אותיות בתוך קוביה"/>
    <w:basedOn w:val="a5"/>
    <w:rsid w:val="004F431D"/>
  </w:style>
  <w:style w:type="paragraph" w:customStyle="1" w:styleId="1">
    <w:name w:val="אותיות בתוך קוביה 1"/>
    <w:basedOn w:val="af6"/>
    <w:qFormat/>
    <w:rsid w:val="00086738"/>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4">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5">
    <w:name w:val="כותרת עליונה1"/>
    <w:basedOn w:val="Normal"/>
    <w:link w:val="af7"/>
    <w:uiPriority w:val="99"/>
    <w:unhideWhenUsed/>
    <w:rsid w:val="002516DF"/>
    <w:pPr>
      <w:tabs>
        <w:tab w:val="center" w:pos="4153"/>
        <w:tab w:val="right" w:pos="8306"/>
      </w:tabs>
      <w:spacing w:line="240" w:lineRule="auto"/>
    </w:pPr>
    <w:rPr>
      <w:rFonts w:eastAsia="Calibri"/>
    </w:rPr>
  </w:style>
  <w:style w:type="character" w:customStyle="1" w:styleId="af7">
    <w:name w:val="כותרת עליונה תו"/>
    <w:basedOn w:val="DefaultParagraphFont"/>
    <w:link w:val="15"/>
    <w:uiPriority w:val="99"/>
    <w:rsid w:val="002516DF"/>
    <w:rPr>
      <w:rFonts w:eastAsia="Calibri"/>
    </w:rPr>
  </w:style>
  <w:style w:type="paragraph" w:customStyle="1" w:styleId="16">
    <w:name w:val="כותרת תחתונה1"/>
    <w:basedOn w:val="Normal"/>
    <w:link w:val="af8"/>
    <w:uiPriority w:val="99"/>
    <w:unhideWhenUsed/>
    <w:rsid w:val="002516DF"/>
    <w:pPr>
      <w:tabs>
        <w:tab w:val="center" w:pos="4153"/>
        <w:tab w:val="right" w:pos="8306"/>
      </w:tabs>
      <w:spacing w:line="240" w:lineRule="auto"/>
    </w:pPr>
    <w:rPr>
      <w:rFonts w:eastAsia="Calibri"/>
    </w:rPr>
  </w:style>
  <w:style w:type="character" w:customStyle="1" w:styleId="af8">
    <w:name w:val="כותרת תחתונה תו"/>
    <w:basedOn w:val="DefaultParagraphFont"/>
    <w:link w:val="16"/>
    <w:uiPriority w:val="99"/>
    <w:rsid w:val="002516DF"/>
    <w:rPr>
      <w:rFonts w:eastAsia="Calibri"/>
    </w:rPr>
  </w:style>
  <w:style w:type="paragraph" w:customStyle="1" w:styleId="17">
    <w:name w:val="תאריך1"/>
    <w:basedOn w:val="Normal"/>
    <w:next w:val="Normal"/>
    <w:link w:val="af9"/>
    <w:uiPriority w:val="99"/>
    <w:unhideWhenUsed/>
    <w:rsid w:val="002516DF"/>
    <w:pPr>
      <w:spacing w:before="120" w:line="240" w:lineRule="auto"/>
    </w:pPr>
    <w:rPr>
      <w:rFonts w:eastAsia="Calibri"/>
    </w:rPr>
  </w:style>
  <w:style w:type="character" w:customStyle="1" w:styleId="af9">
    <w:name w:val="תאריך תו"/>
    <w:basedOn w:val="DefaultParagraphFont"/>
    <w:link w:val="17"/>
    <w:uiPriority w:val="99"/>
    <w:rsid w:val="002516DF"/>
    <w:rPr>
      <w:rFonts w:eastAsia="Calibri"/>
    </w:rPr>
  </w:style>
  <w:style w:type="character" w:customStyle="1" w:styleId="afa">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8">
    <w:name w:val="הפניה להערת שוליים1"/>
    <w:semiHidden/>
    <w:unhideWhenUsed/>
    <w:rsid w:val="002516DF"/>
    <w:rPr>
      <w:vertAlign w:val="superscript"/>
    </w:rPr>
  </w:style>
  <w:style w:type="paragraph" w:customStyle="1" w:styleId="19">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fb">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a">
    <w:name w:val="טקסט בלונים1"/>
    <w:basedOn w:val="Normal"/>
    <w:link w:val="afc"/>
    <w:uiPriority w:val="99"/>
    <w:semiHidden/>
    <w:unhideWhenUsed/>
    <w:rsid w:val="002516DF"/>
    <w:pPr>
      <w:spacing w:line="240" w:lineRule="auto"/>
    </w:pPr>
    <w:rPr>
      <w:rFonts w:ascii="Tahoma" w:eastAsia="Calibri" w:hAnsi="Tahoma" w:cs="Tahoma"/>
      <w:sz w:val="18"/>
      <w:szCs w:val="18"/>
    </w:rPr>
  </w:style>
  <w:style w:type="character" w:customStyle="1" w:styleId="afc">
    <w:name w:val="טקסט בלונים תו"/>
    <w:link w:val="1a"/>
    <w:uiPriority w:val="99"/>
    <w:semiHidden/>
    <w:rsid w:val="002516DF"/>
    <w:rPr>
      <w:rFonts w:ascii="Tahoma" w:eastAsia="Calibri" w:hAnsi="Tahoma" w:cs="Tahoma"/>
      <w:sz w:val="18"/>
      <w:szCs w:val="18"/>
    </w:rPr>
  </w:style>
  <w:style w:type="paragraph" w:customStyle="1" w:styleId="1b">
    <w:name w:val="גוף טקסט1"/>
    <w:basedOn w:val="Normal"/>
    <w:link w:val="1c"/>
    <w:uiPriority w:val="99"/>
    <w:rsid w:val="002516DF"/>
    <w:pPr>
      <w:spacing w:before="180" w:after="120" w:line="230" w:lineRule="exact"/>
    </w:pPr>
    <w:rPr>
      <w:rFonts w:eastAsia="Times New Roman" w:cs="FrankRuehl"/>
      <w:sz w:val="22"/>
      <w:szCs w:val="22"/>
    </w:rPr>
  </w:style>
  <w:style w:type="character" w:customStyle="1" w:styleId="afd">
    <w:name w:val="גוף טקסט תו"/>
    <w:basedOn w:val="DefaultParagraphFont"/>
    <w:uiPriority w:val="99"/>
    <w:semiHidden/>
    <w:rsid w:val="002516DF"/>
  </w:style>
  <w:style w:type="character" w:customStyle="1" w:styleId="1c">
    <w:name w:val="גוף טקסט תו1"/>
    <w:link w:val="1b"/>
    <w:uiPriority w:val="99"/>
    <w:rsid w:val="002516DF"/>
    <w:rPr>
      <w:rFonts w:eastAsia="Times New Roman" w:cs="FrankRuehl"/>
      <w:sz w:val="22"/>
      <w:szCs w:val="22"/>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0">
    <w:name w:val="הפניה להערה1"/>
    <w:uiPriority w:val="99"/>
    <w:semiHidden/>
    <w:unhideWhenUsed/>
    <w:rsid w:val="002516DF"/>
    <w:rPr>
      <w:sz w:val="16"/>
      <w:szCs w:val="16"/>
    </w:rPr>
  </w:style>
  <w:style w:type="paragraph" w:customStyle="1" w:styleId="1f1">
    <w:name w:val="טקסט הערה1"/>
    <w:basedOn w:val="Normal"/>
    <w:link w:val="afe"/>
    <w:uiPriority w:val="99"/>
    <w:unhideWhenUsed/>
    <w:rsid w:val="002516DF"/>
    <w:pPr>
      <w:spacing w:line="240" w:lineRule="auto"/>
    </w:pPr>
    <w:rPr>
      <w:rFonts w:eastAsia="Calibri"/>
      <w:szCs w:val="20"/>
    </w:rPr>
  </w:style>
  <w:style w:type="character" w:customStyle="1" w:styleId="afe">
    <w:name w:val="טקסט הערה תו"/>
    <w:link w:val="1f1"/>
    <w:uiPriority w:val="99"/>
    <w:rsid w:val="002516DF"/>
    <w:rPr>
      <w:rFonts w:eastAsia="Calibri"/>
      <w:szCs w:val="20"/>
    </w:rPr>
  </w:style>
  <w:style w:type="paragraph" w:customStyle="1" w:styleId="1f2">
    <w:name w:val="נושא הערה1"/>
    <w:basedOn w:val="1f1"/>
    <w:next w:val="1f1"/>
    <w:link w:val="aff"/>
    <w:uiPriority w:val="99"/>
    <w:semiHidden/>
    <w:unhideWhenUsed/>
    <w:rsid w:val="002516DF"/>
    <w:rPr>
      <w:b/>
      <w:bCs/>
    </w:rPr>
  </w:style>
  <w:style w:type="character" w:customStyle="1" w:styleId="aff">
    <w:name w:val="נושא הערה תו"/>
    <w:link w:val="1f2"/>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ff0">
    <w:name w:val="כוכבית טקסט רץ"/>
    <w:basedOn w:val="Normal"/>
    <w:qFormat/>
    <w:rsid w:val="00F32690"/>
    <w:pPr>
      <w:spacing w:line="269" w:lineRule="auto"/>
      <w:jc w:val="center"/>
    </w:pPr>
    <w:rPr>
      <w:rFonts w:ascii="Segoe UI Symbol" w:hAnsi="Segoe UI Symbol" w:cs="Segoe UI Symbol"/>
      <w:szCs w:val="20"/>
    </w:rPr>
  </w:style>
  <w:style w:type="paragraph" w:customStyle="1" w:styleId="aff1">
    <w:name w:val="כוכבית בתוך קוביה"/>
    <w:basedOn w:val="af5"/>
    <w:qFormat/>
    <w:rsid w:val="00391776"/>
    <w:pPr>
      <w:jc w:val="center"/>
    </w:pPr>
    <w:rPr>
      <w:rFonts w:ascii="Segoe UI Symbol" w:hAnsi="Segoe UI Symbol" w:cs="Segoe UI Symbol"/>
    </w:rPr>
  </w:style>
  <w:style w:type="paragraph" w:customStyle="1" w:styleId="a6">
    <w:name w:val="רשימה אותיות הזחה"/>
    <w:basedOn w:val="ListParagraph"/>
    <w:qFormat/>
    <w:rsid w:val="00F563CD"/>
    <w:pPr>
      <w:numPr>
        <w:numId w:val="7"/>
      </w:numPr>
      <w:spacing w:after="120"/>
      <w:ind w:left="794" w:hanging="397"/>
    </w:pPr>
    <w:rPr>
      <w:rFonts w:ascii="Tahoma" w:hAnsi="Tahoma" w:cs="Tahoma"/>
      <w:color w:val="000000"/>
      <w:szCs w:val="20"/>
    </w:rPr>
  </w:style>
  <w:style w:type="paragraph" w:customStyle="1" w:styleId="a">
    <w:name w:val="מספור בתוך קוביה"/>
    <w:basedOn w:val="ListParagraph"/>
    <w:qFormat/>
    <w:rsid w:val="00CF425F"/>
    <w:pPr>
      <w:numPr>
        <w:numId w:val="8"/>
      </w:numPr>
      <w:pBdr>
        <w:top w:val="single" w:sz="4" w:space="4" w:color="FFFFFF" w:themeColor="background1"/>
        <w:left w:val="single" w:sz="4" w:space="11" w:color="FFFFFF" w:themeColor="background1"/>
        <w:bottom w:val="single" w:sz="4" w:space="6" w:color="FFFFFF" w:themeColor="background1"/>
        <w:right w:val="single" w:sz="4" w:space="11" w:color="FFFFFF" w:themeColor="background1"/>
      </w:pBdr>
      <w:shd w:val="solid" w:color="CEEAF5" w:fill="CEEAF5"/>
      <w:spacing w:after="160"/>
      <w:ind w:left="397" w:right="227" w:hanging="397"/>
      <w:contextualSpacing w:val="0"/>
    </w:pPr>
    <w:rPr>
      <w:rFonts w:ascii="Tahoma" w:hAnsi="Tahoma" w:cs="Tahoma"/>
      <w:szCs w:val="20"/>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f2">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f3">
    <w:name w:val="הערות מתחת לטבלה"/>
    <w:basedOn w:val="a9"/>
    <w:qFormat/>
    <w:rsid w:val="00B11376"/>
    <w:pPr>
      <w:spacing w:before="120"/>
    </w:pPr>
  </w:style>
  <w:style w:type="paragraph" w:customStyle="1" w:styleId="a3">
    <w:name w:val="אותיות רשימה א"/>
    <w:aliases w:val="ב"/>
    <w:basedOn w:val="ListParagraph"/>
    <w:qFormat/>
    <w:rsid w:val="00107D4A"/>
    <w:pPr>
      <w:widowControl w:val="0"/>
      <w:numPr>
        <w:numId w:val="9"/>
      </w:numPr>
      <w:spacing w:after="120"/>
    </w:pPr>
    <w:rPr>
      <w:rFonts w:ascii="Tahoma" w:hAnsi="Tahoma" w:cs="Tahoma"/>
      <w:szCs w:val="20"/>
    </w:rPr>
  </w:style>
  <w:style w:type="paragraph" w:customStyle="1" w:styleId="BULLETS0">
    <w:name w:val="בולטים BULLETS"/>
    <w:basedOn w:val="ListParagraph"/>
    <w:qFormat/>
    <w:rsid w:val="00856C93"/>
    <w:pPr>
      <w:numPr>
        <w:numId w:val="10"/>
      </w:numPr>
      <w:pBdr>
        <w:top w:val="single" w:sz="12" w:space="4" w:color="CEEAF5"/>
        <w:left w:val="single" w:sz="12" w:space="11" w:color="CEEAF5"/>
        <w:bottom w:val="single" w:sz="12" w:space="6" w:color="CEEAF5"/>
        <w:right w:val="single" w:sz="12" w:space="11" w:color="CEEAF5"/>
      </w:pBdr>
      <w:shd w:val="solid" w:color="CEEAF5" w:fill="auto"/>
      <w:tabs>
        <w:tab w:val="left" w:pos="70"/>
        <w:tab w:val="left" w:pos="990"/>
        <w:tab w:val="left" w:pos="1510"/>
      </w:tabs>
      <w:spacing w:after="160"/>
      <w:ind w:left="681" w:right="227" w:hanging="397"/>
    </w:pPr>
    <w:rPr>
      <w:rFonts w:ascii="Tahoma" w:hAnsi="Tahoma" w:cs="Tahoma"/>
      <w:szCs w:val="20"/>
    </w:rPr>
  </w:style>
  <w:style w:type="paragraph" w:customStyle="1" w:styleId="aff4">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f5">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f6">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1">
    <w:name w:val="ציטוט בג&quot;צ Char"/>
    <w:link w:val="aff7"/>
    <w:locked/>
    <w:rsid w:val="00CF1EB5"/>
    <w:rPr>
      <w:bCs/>
      <w:noProof/>
      <w:sz w:val="24"/>
      <w:lang w:eastAsia="he-IL"/>
    </w:rPr>
  </w:style>
  <w:style w:type="paragraph" w:customStyle="1" w:styleId="aff7">
    <w:name w:val="ציטוט בג&quot;צ"/>
    <w:basedOn w:val="Normal"/>
    <w:link w:val="Char1"/>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810">
    <w:name w:val="כותרת 8_10"/>
    <w:basedOn w:val="Heading8"/>
    <w:qFormat/>
    <w:rsid w:val="0098757B"/>
    <w:pPr>
      <w:spacing w:after="120"/>
    </w:pPr>
    <w:rPr>
      <w:rFonts w:ascii="Tahoma" w:hAnsi="Tahoma" w:cs="Tahoma"/>
      <w:color w:val="004E6C"/>
      <w:spacing w:val="0"/>
      <w:szCs w:val="20"/>
    </w:rPr>
  </w:style>
  <w:style w:type="paragraph" w:customStyle="1" w:styleId="6105">
    <w:name w:val="כותרת 6_10.5"/>
    <w:basedOn w:val="5115"/>
    <w:qFormat/>
    <w:rsid w:val="00ED41DC"/>
    <w:rPr>
      <w:sz w:val="21"/>
      <w:szCs w:val="21"/>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4">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BULLETS">
    <w:name w:val="בולטים BULLETS ריק"/>
    <w:basedOn w:val="ListParagraph"/>
    <w:qFormat/>
    <w:rsid w:val="008E6EF3"/>
    <w:pPr>
      <w:widowControl w:val="0"/>
      <w:numPr>
        <w:numId w:val="12"/>
      </w:numPr>
      <w:spacing w:after="120"/>
      <w:ind w:left="397" w:hanging="397"/>
      <w:contextualSpacing w:val="0"/>
    </w:pPr>
    <w:rPr>
      <w:rFonts w:ascii="Tahoma" w:eastAsia="Times New Roman" w:hAnsi="Tahoma" w:cs="Tahoma"/>
      <w:szCs w:val="20"/>
      <w:lang w:eastAsia="he-IL"/>
    </w:rPr>
  </w:style>
  <w:style w:type="paragraph" w:customStyle="1" w:styleId="BULLETS07">
    <w:name w:val="בולטים BULLETS ריק הזחה 0.7"/>
    <w:basedOn w:val="BULLETS"/>
    <w:qFormat/>
    <w:rsid w:val="00740E0F"/>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aff8">
    <w:name w:val="נבנצאל"/>
    <w:basedOn w:val="Normal"/>
    <w:next w:val="Normal"/>
    <w:link w:val="aff9"/>
    <w:uiPriority w:val="99"/>
    <w:rsid w:val="00823E3A"/>
    <w:pPr>
      <w:ind w:left="-567"/>
    </w:pPr>
    <w:rPr>
      <w:szCs w:val="20"/>
    </w:rPr>
  </w:style>
  <w:style w:type="character" w:customStyle="1" w:styleId="aff9">
    <w:name w:val="נבנצאל תו"/>
    <w:basedOn w:val="DefaultParagraphFont"/>
    <w:link w:val="aff8"/>
    <w:uiPriority w:val="99"/>
    <w:rsid w:val="00823E3A"/>
    <w:rPr>
      <w:szCs w:val="20"/>
    </w:rPr>
  </w:style>
  <w:style w:type="paragraph" w:styleId="HTMLPreformatted">
    <w:name w:val="HTML Preformatted"/>
    <w:basedOn w:val="Normal"/>
    <w:link w:val="HTMLPreformattedChar"/>
    <w:uiPriority w:val="99"/>
    <w:semiHidden/>
    <w:unhideWhenUsed/>
    <w:rsid w:val="00823E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823E3A"/>
    <w:rPr>
      <w:rFonts w:ascii="Courier New" w:eastAsia="Times New Roman" w:hAnsi="Courier New" w:cs="Courier New"/>
      <w:szCs w:val="20"/>
    </w:rPr>
  </w:style>
  <w:style w:type="table" w:customStyle="1" w:styleId="GridTable4-Accent11">
    <w:name w:val="Grid Table 4 - Accent 11"/>
    <w:basedOn w:val="TableNormal"/>
    <w:uiPriority w:val="49"/>
    <w:rsid w:val="00823E3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odytext211pt">
    <w:name w:val="Body text (2) + 11 pt"/>
    <w:aliases w:val="Body text (2) + 9 pt,Bold"/>
    <w:basedOn w:val="Bodytext2"/>
    <w:rsid w:val="00823E3A"/>
    <w:rPr>
      <w:rFonts w:ascii="David" w:eastAsia="David" w:hAnsi="David" w:cs="David"/>
      <w:b/>
      <w:bCs/>
      <w:i w:val="0"/>
      <w:iCs w:val="0"/>
      <w:smallCaps w:val="0"/>
      <w:strike w:val="0"/>
      <w:color w:val="000000"/>
      <w:spacing w:val="0"/>
      <w:w w:val="100"/>
      <w:position w:val="0"/>
      <w:sz w:val="22"/>
      <w:szCs w:val="22"/>
      <w:u w:val="none"/>
      <w:shd w:val="clear" w:color="auto" w:fill="FFFFFF"/>
      <w:lang w:val="he-IL" w:eastAsia="he-IL" w:bidi="he-IL"/>
    </w:rPr>
  </w:style>
  <w:style w:type="character" w:customStyle="1" w:styleId="Bodytext2SmallCaps">
    <w:name w:val="Body text (2) + Small Caps"/>
    <w:basedOn w:val="Bodytext2"/>
    <w:rsid w:val="00823E3A"/>
    <w:rPr>
      <w:rFonts w:ascii="David" w:eastAsia="David" w:hAnsi="David" w:cs="David"/>
      <w:b w:val="0"/>
      <w:bCs w:val="0"/>
      <w:i w:val="0"/>
      <w:iCs w:val="0"/>
      <w:smallCaps/>
      <w:strike w:val="0"/>
      <w:color w:val="000000"/>
      <w:spacing w:val="0"/>
      <w:w w:val="100"/>
      <w:position w:val="0"/>
      <w:sz w:val="21"/>
      <w:szCs w:val="21"/>
      <w:u w:val="none"/>
      <w:shd w:val="clear" w:color="auto" w:fill="FFFFFF"/>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diagramColors" Target="diagrams/colors1.xm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chart" Target="charts/chart4.xm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Layout" Target="diagrams/layout1.xml"/><Relationship Id="rId32" Type="http://schemas.openxmlformats.org/officeDocument/2006/relationships/image" Target="media/image16.jpeg"/><Relationship Id="rId37" Type="http://schemas.openxmlformats.org/officeDocument/2006/relationships/footer" Target="footer3.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Data" Target="diagrams/data1.xml"/><Relationship Id="rId28" Type="http://schemas.openxmlformats.org/officeDocument/2006/relationships/image" Target="media/image12.jpeg"/><Relationship Id="rId36"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microsoft.com/office/2007/relationships/diagramDrawing" Target="diagrams/drawing1.xml"/><Relationship Id="rId30" Type="http://schemas.openxmlformats.org/officeDocument/2006/relationships/image" Target="media/image14.pn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diagramQuickStyle" Target="diagrams/quickStyle1.xml"/><Relationship Id="rId33" Type="http://schemas.openxmlformats.org/officeDocument/2006/relationships/image" Target="media/image17.jpeg"/><Relationship Id="rId38"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mof.gov.il/AG/About/DivisionsAG/Pages/AboutPPPProjects.aspx" TargetMode="External"/><Relationship Id="rId3" Type="http://schemas.openxmlformats.org/officeDocument/2006/relationships/hyperlink" Target="https://mof.gov.il/AG/Projects/ProjectsPrivateSector/Pages/PresentationPPP.aspx" TargetMode="External"/><Relationship Id="rId7" Type="http://schemas.openxmlformats.org/officeDocument/2006/relationships/hyperlink" Target="https://infrastructure.pmo.gov.il" TargetMode="External"/><Relationship Id="rId2" Type="http://schemas.openxmlformats.org/officeDocument/2006/relationships/hyperlink" Target="https://stats.oecd.org/" TargetMode="External"/><Relationship Id="rId1" Type="http://schemas.openxmlformats.org/officeDocument/2006/relationships/hyperlink" Target="https://data.eib.org/epec" TargetMode="External"/><Relationship Id="rId6" Type="http://schemas.openxmlformats.org/officeDocument/2006/relationships/hyperlink" Target="https://www.gov.uk/government/publications/national-infrastructure-and-construction-pipeline-2018" TargetMode="External"/><Relationship Id="rId5" Type="http://schemas.openxmlformats.org/officeDocument/2006/relationships/hyperlink" Target="https://www.inbal.co.il/HomeWebPages/BasicConcepts.aspx" TargetMode="External"/><Relationship Id="rId4" Type="http://schemas.openxmlformats.org/officeDocument/2006/relationships/hyperlink" Target="https://www.inbal.co.il/HomeWebPages/BasicConcept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mvtanas\MVTANAS\Eco%20Division\Agaf_13\&#1489;&#1497;&#1511;&#1493;&#1512;&#1514;%20&#1489;&#1514;&#1492;&#1500;&#1497;&#1498;\70&#1490;%20-%20&#1508;&#1512;&#1493;&#1497;&#1511;&#1496;&#1497;&#1501;%20&#1489;&#1513;&#1497;&#1514;&#1493;&#1507;%20&#1492;&#1502;&#1490;&#1494;&#1512;%20&#1492;&#1508;&#1512;&#1496;&#1497;%20(&#1502;&#1488;&#1494;&#1503;)\&#1508;&#1504;&#1497;&#1497;&#1492;\&#1504;&#1497;&#1497;&#1512;&#1493;&#1514;%20&#1506;&#1489;&#1493;&#1491;&#1492;%20&#1513;&#1513;&#1497;&#1502;&#1513;&#1493;%20&#1500;&#1496;&#1497;&#1493;&#1496;&#1514;%20&#1492;&#1508;&#1504;&#1497;&#1492;\&#1506;&#1493;&#1514;&#1511;%20&#1513;&#1500;%20&#1504;&#1514;&#1493;&#1504;&#1497;&#1501;%20&#1506;&#1500;%20&#1490;&#1493;&#1489;&#1492;%20&#1492;-PPP%20&#1500;&#1508;&#1497;%20&#1492;&#1491;&#1493;&#1495;&#1493;&#1514;%20&#1492;&#1499;&#1505;&#1508;&#1497;&#1497;&#15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mvtanas\MVTANAS\Eco%20Division\Agaf_13\&#1489;&#1497;&#1511;&#1493;&#1512;&#1514;%20&#1489;&#1514;&#1492;&#1500;&#1497;&#1498;\70&#1490;%20-%20&#1508;&#1512;&#1493;&#1497;&#1511;&#1496;&#1497;&#1501;%20&#1489;&#1513;&#1497;&#1514;&#1493;&#1507;%20&#1492;&#1502;&#1490;&#1494;&#1512;%20&#1492;&#1508;&#1512;&#1496;&#1497;%20(&#1502;&#1488;&#1494;&#1503;)\&#1508;&#1504;&#1497;&#1497;&#1492;\&#1504;&#1497;&#1497;&#1512;&#1493;&#1514;%20&#1506;&#1489;&#1493;&#1491;&#1492;%20&#1513;&#1513;&#1497;&#1502;&#1513;&#1493;%20&#1500;&#1496;&#1497;&#1493;&#1496;&#1514;%20&#1492;&#1508;&#1504;&#1497;&#1492;\&#1506;&#1493;&#1514;&#1511;%20&#1513;&#1500;%20&#1504;&#1514;&#1493;&#1504;&#1497;&#1501;%20&#1506;&#1500;%20&#1490;&#1493;&#1489;&#1492;%20&#1492;-PPP%20&#1500;&#1508;&#1497;%20&#1492;&#1491;&#1493;&#1495;&#1493;&#1514;%20&#1492;&#1499;&#1505;&#1508;&#1497;&#1497;&#15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mvtanas\MVTANAS\Eco%20Division\Agaf_13\&#1489;&#1497;&#1511;&#1493;&#1512;&#1514;%20&#1489;&#1514;&#1492;&#1500;&#1497;&#1498;\70&#1490;%20-%20&#1508;&#1512;&#1493;&#1497;&#1511;&#1496;&#1497;&#1501;%20&#1489;&#1513;&#1497;&#1514;&#1493;&#1507;%20&#1492;&#1502;&#1490;&#1494;&#1512;%20&#1492;&#1508;&#1512;&#1496;&#1497;%20(&#1502;&#1488;&#1494;&#1503;)\&#1508;&#1504;&#1497;&#1497;&#1492;\&#1504;&#1497;&#1497;&#1512;&#1493;&#1514;%20&#1506;&#1489;&#1493;&#1491;&#1492;%20&#1513;&#1513;&#1497;&#1502;&#1513;&#1493;%20&#1500;&#1496;&#1497;&#1493;&#1496;&#1514;%20&#1492;&#1508;&#1504;&#1497;&#1492;\&#1506;&#1493;&#1514;&#1511;%20&#1513;&#1500;%20&#1504;&#1514;&#1493;&#1504;&#1497;&#1501;%20&#1506;&#1500;%20&#1490;&#1493;&#1489;&#1492;%20&#1492;-PPP%20&#1500;&#1508;&#1497;%20&#1492;&#1491;&#1493;&#1495;&#1493;&#1514;%20&#1492;&#1499;&#1505;&#1508;&#1497;&#1497;&#15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mvtanas\MVTANAS\Eco%20Division\Agaf_13\&#1489;&#1497;&#1511;&#1493;&#1512;&#1514;%20&#1489;&#1514;&#1492;&#1500;&#1497;&#1498;\70&#1490;%20-%20&#1508;&#1512;&#1493;&#1497;&#1511;&#1496;&#1497;&#1501;%20&#1489;&#1513;&#1497;&#1514;&#1493;&#1507;%20&#1492;&#1502;&#1490;&#1494;&#1512;%20&#1492;&#1508;&#1512;&#1496;&#1497;%20(&#1502;&#1488;&#1494;&#1503;)\&#1508;&#1504;&#1497;&#1497;&#1492;\&#1504;&#1497;&#1497;&#1512;&#1493;&#1514;%20&#1506;&#1489;&#1493;&#1491;&#1492;%20&#1513;&#1513;&#1497;&#1502;&#1513;&#1493;%20&#1500;&#1496;&#1497;&#1493;&#1496;&#1514;%20&#1492;&#1508;&#1504;&#1497;&#1492;\&#1506;&#1493;&#1514;&#1511;%20&#1513;&#1500;%20&#1504;&#1514;&#1493;&#1504;&#1497;%20&#1492;&#1489;&#1504;&#1511;&#1497;&#1501;%20&#1492;&#1497;&#1513;&#1512;&#1488;&#1500;&#1497;&#1501;%20-%20&#1508;&#1506;&#1497;&#1500;&#1493;&#1514;%20&#1489;&#1497;&#1513;&#1512;&#1488;&#1500;%20&#1489;&#1500;&#1489;%20&#1504;&#1514;&#1493;&#1504;&#1497;&#1501;%20&#1502;&#1506;&#1493;&#1491;&#1499;&#1504;&#1497;&#1501;%20&#1502;&#1489;&#1504;&#1511;%20&#1497;&#1513;&#1512;&#1488;&#1500;.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94317405949732"/>
          <c:y val="0.12167212738614847"/>
          <c:w val="0.86453183425025526"/>
          <c:h val="0.71678679197026895"/>
        </c:manualLayout>
      </c:layout>
      <c:lineChart>
        <c:grouping val="standard"/>
        <c:varyColors val="0"/>
        <c:ser>
          <c:idx val="0"/>
          <c:order val="0"/>
          <c:tx>
            <c:strRef>
              <c:f>'דוחות כספיים ישראל 2014-2018'!$B$9</c:f>
              <c:strCache>
                <c:ptCount val="1"/>
                <c:pt idx="0">
                  <c:v>השקעה בפרויקטים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'דוחות כספיים ישראל 2014-2018'!$C$8:$G$8</c:f>
              <c:numCache>
                <c:formatCode>General</c:formatCode>
                <c:ptCount val="5"/>
                <c:pt idx="0">
                  <c:v>2014</c:v>
                </c:pt>
                <c:pt idx="1">
                  <c:v>2015</c:v>
                </c:pt>
                <c:pt idx="2">
                  <c:v>2016</c:v>
                </c:pt>
                <c:pt idx="3">
                  <c:v>2017</c:v>
                </c:pt>
                <c:pt idx="4">
                  <c:v>2018</c:v>
                </c:pt>
              </c:numCache>
            </c:numRef>
          </c:cat>
          <c:val>
            <c:numRef>
              <c:f>'דוחות כספיים ישראל 2014-2018'!$C$9:$G$9</c:f>
              <c:numCache>
                <c:formatCode>_ * #,##0.0_ ;_ * \-#,##0.0_ ;_ * "-"??_ ;_ @_ </c:formatCode>
                <c:ptCount val="5"/>
                <c:pt idx="0">
                  <c:v>21.716000000000001</c:v>
                </c:pt>
                <c:pt idx="1">
                  <c:v>25.18</c:v>
                </c:pt>
                <c:pt idx="2">
                  <c:v>28.548999999999999</c:v>
                </c:pt>
                <c:pt idx="3">
                  <c:v>30.317</c:v>
                </c:pt>
                <c:pt idx="4">
                  <c:v>32.188000000000002</c:v>
                </c:pt>
              </c:numCache>
            </c:numRef>
          </c:val>
          <c:smooth val="0"/>
          <c:extLst>
            <c:ext xmlns:c16="http://schemas.microsoft.com/office/drawing/2014/chart" uri="{C3380CC4-5D6E-409C-BE32-E72D297353CC}">
              <c16:uniqueId val="{00000000-9CDB-4AF3-A744-ACF68FFA75AD}"/>
            </c:ext>
          </c:extLst>
        </c:ser>
        <c:ser>
          <c:idx val="1"/>
          <c:order val="1"/>
          <c:tx>
            <c:strRef>
              <c:f>'דוחות כספיים ישראל 2014-2018'!$B$10</c:f>
              <c:strCache>
                <c:ptCount val="1"/>
                <c:pt idx="0">
                  <c:v>התחייבויות בגין פרויקטים </c:v>
                </c:pt>
              </c:strCache>
            </c:strRef>
          </c:tx>
          <c:spPr>
            <a:ln w="28575" cap="rnd">
              <a:solidFill>
                <a:srgbClr val="5ECE83"/>
              </a:solidFill>
              <a:round/>
            </a:ln>
            <a:effectLst/>
          </c:spPr>
          <c:marker>
            <c:symbol val="circle"/>
            <c:size val="5"/>
            <c:spPr>
              <a:solidFill>
                <a:srgbClr val="00B050"/>
              </a:solidFill>
              <a:ln w="9525">
                <a:solidFill>
                  <a:srgbClr val="5ECE83"/>
                </a:solidFill>
              </a:ln>
              <a:effectLst/>
            </c:spPr>
          </c:marker>
          <c:dLbls>
            <c:dLbl>
              <c:idx val="0"/>
              <c:layout>
                <c:manualLayout>
                  <c:x val="-6.7893277449232556E-2"/>
                  <c:y val="2.78215151330676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DB-4AF3-A744-ACF68FFA75A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'דוחות כספיים ישראל 2014-2018'!$C$8:$G$8</c:f>
              <c:numCache>
                <c:formatCode>General</c:formatCode>
                <c:ptCount val="5"/>
                <c:pt idx="0">
                  <c:v>2014</c:v>
                </c:pt>
                <c:pt idx="1">
                  <c:v>2015</c:v>
                </c:pt>
                <c:pt idx="2">
                  <c:v>2016</c:v>
                </c:pt>
                <c:pt idx="3">
                  <c:v>2017</c:v>
                </c:pt>
                <c:pt idx="4">
                  <c:v>2018</c:v>
                </c:pt>
              </c:numCache>
            </c:numRef>
          </c:cat>
          <c:val>
            <c:numRef>
              <c:f>'דוחות כספיים ישראל 2014-2018'!$C$10:$G$10</c:f>
              <c:numCache>
                <c:formatCode>_ * #,##0.0_ ;_ * \-#,##0.0_ ;_ * "-"??_ ;_ @_ </c:formatCode>
                <c:ptCount val="5"/>
                <c:pt idx="0">
                  <c:v>17.337</c:v>
                </c:pt>
                <c:pt idx="1">
                  <c:v>19.146999999999998</c:v>
                </c:pt>
                <c:pt idx="2">
                  <c:v>22.873000000000001</c:v>
                </c:pt>
                <c:pt idx="3">
                  <c:v>25.619</c:v>
                </c:pt>
                <c:pt idx="4">
                  <c:v>26.954999999999998</c:v>
                </c:pt>
              </c:numCache>
            </c:numRef>
          </c:val>
          <c:smooth val="0"/>
          <c:extLst>
            <c:ext xmlns:c16="http://schemas.microsoft.com/office/drawing/2014/chart" uri="{C3380CC4-5D6E-409C-BE32-E72D297353CC}">
              <c16:uniqueId val="{00000002-9CDB-4AF3-A744-ACF68FFA75AD}"/>
            </c:ext>
          </c:extLst>
        </c:ser>
        <c:dLbls>
          <c:showLegendKey val="0"/>
          <c:showVal val="0"/>
          <c:showCatName val="0"/>
          <c:showSerName val="0"/>
          <c:showPercent val="0"/>
          <c:showBubbleSize val="0"/>
        </c:dLbls>
        <c:marker val="1"/>
        <c:smooth val="0"/>
        <c:axId val="101656832"/>
        <c:axId val="101670912"/>
      </c:lineChart>
      <c:catAx>
        <c:axId val="101656832"/>
        <c:scaling>
          <c:orientation val="minMax"/>
        </c:scaling>
        <c:delete val="0"/>
        <c:axPos val="b"/>
        <c:numFmt formatCode="General" sourceLinked="1"/>
        <c:majorTickMark val="none"/>
        <c:minorTickMark val="in"/>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101670912"/>
        <c:crosses val="autoZero"/>
        <c:auto val="1"/>
        <c:lblAlgn val="ctr"/>
        <c:lblOffset val="100"/>
        <c:noMultiLvlLbl val="0"/>
      </c:catAx>
      <c:valAx>
        <c:axId val="101670912"/>
        <c:scaling>
          <c:orientation val="minMax"/>
          <c:max val="35"/>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he-IL" sz="800">
                    <a:latin typeface="Tahoma" panose="020B0604030504040204" pitchFamily="34" charset="0"/>
                    <a:ea typeface="Tahoma" panose="020B0604030504040204" pitchFamily="34" charset="0"/>
                    <a:cs typeface="Tahoma" panose="020B0604030504040204" pitchFamily="34" charset="0"/>
                  </a:rPr>
                  <a:t>במיליארדי</a:t>
                </a:r>
                <a:r>
                  <a:rPr lang="he-IL" sz="800" baseline="0">
                    <a:latin typeface="Tahoma" panose="020B0604030504040204" pitchFamily="34" charset="0"/>
                    <a:ea typeface="Tahoma" panose="020B0604030504040204" pitchFamily="34" charset="0"/>
                    <a:cs typeface="Tahoma" panose="020B0604030504040204" pitchFamily="34" charset="0"/>
                  </a:rPr>
                  <a:t> ש"ח</a:t>
                </a:r>
                <a:endParaRPr lang="he-IL" sz="800">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5.5171101085141458E-4"/>
              <c:y val="0.3864207377660655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title>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101656832"/>
        <c:crosses val="autoZero"/>
        <c:crossBetween val="between"/>
      </c:valAx>
      <c:spPr>
        <a:noFill/>
        <a:ln>
          <a:noFill/>
        </a:ln>
        <a:effectLst/>
      </c:spPr>
    </c:plotArea>
    <c:legend>
      <c:legendPos val="b"/>
      <c:layout>
        <c:manualLayout>
          <c:xMode val="edge"/>
          <c:yMode val="edge"/>
          <c:x val="4.9312724814777123E-2"/>
          <c:y val="0.93041641860191571"/>
          <c:w val="0.90651097517002055"/>
          <c:h val="5.528292795167819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he-I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'דוחות כספיים ישראל 2014-2018'!$B$57</c:f>
              <c:strCache>
                <c:ptCount val="1"/>
                <c:pt idx="0">
                  <c:v>שיעור ההשקעה בפרויקטים מסך הנכסים במאזן</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'דוחות כספיים ישראל 2014-2018'!$C$56:$G$56</c:f>
              <c:numCache>
                <c:formatCode>General</c:formatCode>
                <c:ptCount val="5"/>
                <c:pt idx="0">
                  <c:v>2014</c:v>
                </c:pt>
                <c:pt idx="1">
                  <c:v>2015</c:v>
                </c:pt>
                <c:pt idx="2">
                  <c:v>2016</c:v>
                </c:pt>
                <c:pt idx="3">
                  <c:v>2017</c:v>
                </c:pt>
                <c:pt idx="4">
                  <c:v>2018</c:v>
                </c:pt>
              </c:numCache>
            </c:numRef>
          </c:cat>
          <c:val>
            <c:numRef>
              <c:f>'דוחות כספיים ישראל 2014-2018'!$C$57:$G$57</c:f>
              <c:numCache>
                <c:formatCode>0.00%</c:formatCode>
                <c:ptCount val="5"/>
                <c:pt idx="0">
                  <c:v>4.2905548914815218E-2</c:v>
                </c:pt>
                <c:pt idx="1">
                  <c:v>4.7939350438936351E-2</c:v>
                </c:pt>
                <c:pt idx="2">
                  <c:v>5.145132047996482E-2</c:v>
                </c:pt>
                <c:pt idx="3">
                  <c:v>5.1554964526946592E-2</c:v>
                </c:pt>
                <c:pt idx="4">
                  <c:v>5.3854455105950466E-2</c:v>
                </c:pt>
              </c:numCache>
            </c:numRef>
          </c:val>
          <c:smooth val="0"/>
          <c:extLst>
            <c:ext xmlns:c16="http://schemas.microsoft.com/office/drawing/2014/chart" uri="{C3380CC4-5D6E-409C-BE32-E72D297353CC}">
              <c16:uniqueId val="{00000000-E3D1-4D6D-9A90-D3719E6B2426}"/>
            </c:ext>
          </c:extLst>
        </c:ser>
        <c:ser>
          <c:idx val="1"/>
          <c:order val="1"/>
          <c:tx>
            <c:strRef>
              <c:f>'דוחות כספיים ישראל 2014-2018'!$B$58</c:f>
              <c:strCache>
                <c:ptCount val="1"/>
                <c:pt idx="0">
                  <c:v>שיעור ההתחייבויות בגין פרויקטים מסך ההתחייבויות במאזן</c:v>
                </c:pt>
              </c:strCache>
            </c:strRef>
          </c:tx>
          <c:spPr>
            <a:ln w="28575" cap="sq" cmpd="sng">
              <a:solidFill>
                <a:srgbClr val="00B050"/>
              </a:solidFill>
              <a:bevel/>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'דוחות כספיים ישראל 2014-2018'!$C$56:$G$56</c:f>
              <c:numCache>
                <c:formatCode>General</c:formatCode>
                <c:ptCount val="5"/>
                <c:pt idx="0">
                  <c:v>2014</c:v>
                </c:pt>
                <c:pt idx="1">
                  <c:v>2015</c:v>
                </c:pt>
                <c:pt idx="2">
                  <c:v>2016</c:v>
                </c:pt>
                <c:pt idx="3">
                  <c:v>2017</c:v>
                </c:pt>
                <c:pt idx="4">
                  <c:v>2018</c:v>
                </c:pt>
              </c:numCache>
            </c:numRef>
          </c:cat>
          <c:val>
            <c:numRef>
              <c:f>'דוחות כספיים ישראל 2014-2018'!$C$58:$G$58</c:f>
              <c:numCache>
                <c:formatCode>0.00%</c:formatCode>
                <c:ptCount val="5"/>
                <c:pt idx="0">
                  <c:v>7.7651943538074612E-3</c:v>
                </c:pt>
                <c:pt idx="1">
                  <c:v>8.369340248409466E-3</c:v>
                </c:pt>
                <c:pt idx="2">
                  <c:v>9.4387935114845604E-3</c:v>
                </c:pt>
                <c:pt idx="3">
                  <c:v>1.0143567570991907E-2</c:v>
                </c:pt>
                <c:pt idx="4">
                  <c:v>1.0533711981623546E-2</c:v>
                </c:pt>
              </c:numCache>
            </c:numRef>
          </c:val>
          <c:smooth val="0"/>
          <c:extLst>
            <c:ext xmlns:c16="http://schemas.microsoft.com/office/drawing/2014/chart" uri="{C3380CC4-5D6E-409C-BE32-E72D297353CC}">
              <c16:uniqueId val="{00000001-E3D1-4D6D-9A90-D3719E6B2426}"/>
            </c:ext>
          </c:extLst>
        </c:ser>
        <c:dLbls>
          <c:showLegendKey val="0"/>
          <c:showVal val="0"/>
          <c:showCatName val="0"/>
          <c:showSerName val="0"/>
          <c:showPercent val="0"/>
          <c:showBubbleSize val="0"/>
        </c:dLbls>
        <c:marker val="1"/>
        <c:smooth val="0"/>
        <c:axId val="101704832"/>
        <c:axId val="101706368"/>
      </c:lineChart>
      <c:catAx>
        <c:axId val="10170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101706368"/>
        <c:crosses val="autoZero"/>
        <c:auto val="1"/>
        <c:lblAlgn val="ctr"/>
        <c:lblOffset val="100"/>
        <c:noMultiLvlLbl val="0"/>
      </c:catAx>
      <c:valAx>
        <c:axId val="101706368"/>
        <c:scaling>
          <c:orientation val="minMax"/>
          <c:max val="6.0000000000000012E-2"/>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101704832"/>
        <c:crosses val="autoZero"/>
        <c:crossBetween val="between"/>
        <c:majorUnit val="5.000000000000001E-3"/>
        <c:minorUnit val="2.0000000000000005E-3"/>
      </c:valAx>
      <c:spPr>
        <a:noFill/>
        <a:ln>
          <a:noFill/>
        </a:ln>
        <a:effectLst/>
      </c:spPr>
    </c:plotArea>
    <c:legend>
      <c:legendPos val="b"/>
      <c:layout>
        <c:manualLayout>
          <c:xMode val="edge"/>
          <c:yMode val="edge"/>
          <c:x val="0.05"/>
          <c:y val="0.83897698834157364"/>
          <c:w val="0.93169563788678555"/>
          <c:h val="0.1217986422766077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he-I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'דוחות כספיים ישראל 2014-2018'!$B$70</c:f>
              <c:strCache>
                <c:ptCount val="1"/>
                <c:pt idx="0">
                  <c:v>השקעה בפרויקטים כשיעור מהתמ"ג</c:v>
                </c:pt>
              </c:strCache>
            </c:strRef>
          </c:tx>
          <c:spPr>
            <a:ln w="31750" cap="rnd">
              <a:solidFill>
                <a:schemeClr val="accent1"/>
              </a:solidFill>
              <a:round/>
            </a:ln>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'דוחות כספיים ישראל 2014-2018'!$C$69:$G$69</c:f>
              <c:numCache>
                <c:formatCode>General</c:formatCode>
                <c:ptCount val="5"/>
                <c:pt idx="0">
                  <c:v>2014</c:v>
                </c:pt>
                <c:pt idx="1">
                  <c:v>2015</c:v>
                </c:pt>
                <c:pt idx="2">
                  <c:v>2016</c:v>
                </c:pt>
                <c:pt idx="3">
                  <c:v>2017</c:v>
                </c:pt>
                <c:pt idx="4">
                  <c:v>2018</c:v>
                </c:pt>
              </c:numCache>
            </c:numRef>
          </c:cat>
          <c:val>
            <c:numRef>
              <c:f>'דוחות כספיים ישראל 2014-2018'!$C$70:$G$70</c:f>
              <c:numCache>
                <c:formatCode>0.00%</c:formatCode>
                <c:ptCount val="5"/>
                <c:pt idx="0">
                  <c:v>1.9578339050744468E-2</c:v>
                </c:pt>
                <c:pt idx="1">
                  <c:v>2.1560434291194298E-2</c:v>
                </c:pt>
                <c:pt idx="2">
                  <c:v>2.3275058047011556E-2</c:v>
                </c:pt>
                <c:pt idx="3">
                  <c:v>2.3841448118092905E-2</c:v>
                </c:pt>
                <c:pt idx="4">
                  <c:v>2.4384848484848488E-2</c:v>
                </c:pt>
              </c:numCache>
            </c:numRef>
          </c:val>
          <c:smooth val="0"/>
          <c:extLst>
            <c:ext xmlns:c16="http://schemas.microsoft.com/office/drawing/2014/chart" uri="{C3380CC4-5D6E-409C-BE32-E72D297353CC}">
              <c16:uniqueId val="{00000000-3046-4F54-B72E-3AA6B75B2A85}"/>
            </c:ext>
          </c:extLst>
        </c:ser>
        <c:ser>
          <c:idx val="1"/>
          <c:order val="1"/>
          <c:tx>
            <c:strRef>
              <c:f>'דוחות כספיים ישראל 2014-2018'!$B$71</c:f>
              <c:strCache>
                <c:ptCount val="1"/>
                <c:pt idx="0">
                  <c:v>התחייבויות בפרויקטים כשיעור מהתמ"ג</c:v>
                </c:pt>
              </c:strCache>
            </c:strRef>
          </c:tx>
          <c:spPr>
            <a:ln w="31750" cap="rnd">
              <a:solidFill>
                <a:srgbClr val="00B050"/>
              </a:solidFill>
              <a:round/>
            </a:ln>
            <a:effectLst/>
          </c:spPr>
          <c:marker>
            <c:symbol val="circle"/>
            <c:size val="6"/>
            <c:spPr>
              <a:solidFill>
                <a:srgbClr val="00B050"/>
              </a:solidFill>
              <a:ln w="12700">
                <a:solidFill>
                  <a:srgbClr val="00B050"/>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he-I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'דוחות כספיים ישראל 2014-2018'!$C$69:$G$69</c:f>
              <c:numCache>
                <c:formatCode>General</c:formatCode>
                <c:ptCount val="5"/>
                <c:pt idx="0">
                  <c:v>2014</c:v>
                </c:pt>
                <c:pt idx="1">
                  <c:v>2015</c:v>
                </c:pt>
                <c:pt idx="2">
                  <c:v>2016</c:v>
                </c:pt>
                <c:pt idx="3">
                  <c:v>2017</c:v>
                </c:pt>
                <c:pt idx="4">
                  <c:v>2018</c:v>
                </c:pt>
              </c:numCache>
            </c:numRef>
          </c:cat>
          <c:val>
            <c:numRef>
              <c:f>'דוחות כספיים ישראל 2014-2018'!$C$71:$G$71</c:f>
              <c:numCache>
                <c:formatCode>0.00%</c:formatCode>
                <c:ptCount val="5"/>
                <c:pt idx="0">
                  <c:v>1.5630395290235626E-2</c:v>
                </c:pt>
                <c:pt idx="1">
                  <c:v>1.6394663835325545E-2</c:v>
                </c:pt>
                <c:pt idx="2">
                  <c:v>1.8647602462758602E-2</c:v>
                </c:pt>
                <c:pt idx="3">
                  <c:v>2.0146916229753016E-2</c:v>
                </c:pt>
                <c:pt idx="4">
                  <c:v>2.0420454545454544E-2</c:v>
                </c:pt>
              </c:numCache>
            </c:numRef>
          </c:val>
          <c:smooth val="0"/>
          <c:extLst>
            <c:ext xmlns:c16="http://schemas.microsoft.com/office/drawing/2014/chart" uri="{C3380CC4-5D6E-409C-BE32-E72D297353CC}">
              <c16:uniqueId val="{00000001-3046-4F54-B72E-3AA6B75B2A85}"/>
            </c:ext>
          </c:extLst>
        </c:ser>
        <c:dLbls>
          <c:dLblPos val="ctr"/>
          <c:showLegendKey val="0"/>
          <c:showVal val="1"/>
          <c:showCatName val="0"/>
          <c:showSerName val="0"/>
          <c:showPercent val="0"/>
          <c:showBubbleSize val="0"/>
        </c:dLbls>
        <c:marker val="1"/>
        <c:smooth val="0"/>
        <c:axId val="100574336"/>
        <c:axId val="100575872"/>
      </c:lineChart>
      <c:catAx>
        <c:axId val="10057433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he-IL"/>
          </a:p>
        </c:txPr>
        <c:crossAx val="100575872"/>
        <c:crosses val="autoZero"/>
        <c:auto val="1"/>
        <c:lblAlgn val="ctr"/>
        <c:lblOffset val="100"/>
        <c:noMultiLvlLbl val="0"/>
      </c:catAx>
      <c:valAx>
        <c:axId val="100575872"/>
        <c:scaling>
          <c:orientation val="minMax"/>
          <c:min val="0"/>
        </c:scaling>
        <c:delete val="0"/>
        <c:axPos val="l"/>
        <c:majorGridlines>
          <c:spPr>
            <a:ln w="9525" cap="flat" cmpd="sng" algn="ctr">
              <a:solidFill>
                <a:schemeClr val="bg1">
                  <a:lumMod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he-IL"/>
          </a:p>
        </c:txPr>
        <c:crossAx val="10057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he-I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6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F5D-465B-9366-ED15E80AD88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F5D-465B-9366-ED15E80AD88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F5D-465B-9366-ED15E80AD8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'אשראי כולל'!$I$17:$K$17</c:f>
              <c:strCache>
                <c:ptCount val="3"/>
                <c:pt idx="0">
                  <c:v>השקעה בנדל"ן</c:v>
                </c:pt>
                <c:pt idx="1">
                  <c:v>השקעה בתשתיות</c:v>
                </c:pt>
                <c:pt idx="2">
                  <c:v>יתרת חבויות הציבור</c:v>
                </c:pt>
              </c:strCache>
            </c:strRef>
          </c:cat>
          <c:val>
            <c:numRef>
              <c:f>'אשראי כולל'!$I$18:$K$18</c:f>
              <c:numCache>
                <c:formatCode>0.0%</c:formatCode>
                <c:ptCount val="3"/>
                <c:pt idx="0">
                  <c:v>0.17193854069839903</c:v>
                </c:pt>
                <c:pt idx="1">
                  <c:v>1.1593220598876788E-2</c:v>
                </c:pt>
                <c:pt idx="2">
                  <c:v>0.81646823870272411</c:v>
                </c:pt>
              </c:numCache>
            </c:numRef>
          </c:val>
          <c:extLst>
            <c:ext xmlns:c16="http://schemas.microsoft.com/office/drawing/2014/chart" uri="{C3380CC4-5D6E-409C-BE32-E72D297353CC}">
              <c16:uniqueId val="{00000006-5F5D-465B-9366-ED15E80AD880}"/>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9.3009495136637338E-2"/>
          <c:y val="0.80983597980485"/>
          <c:w val="0.7755824455766559"/>
          <c:h val="0.1623860970867013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chart>
  <c:spPr>
    <a:solidFill>
      <a:schemeClr val="bg1"/>
    </a:solidFill>
    <a:ln w="9525">
      <a:solidFill>
        <a:schemeClr val="tx1"/>
      </a:solidFill>
      <a:round/>
    </a:ln>
    <a:effectLst/>
  </c:spPr>
  <c:txPr>
    <a:bodyPr/>
    <a:lstStyle/>
    <a:p>
      <a:pPr>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2F188F-4656-4A80-9E1F-61F2C82978C5}" type="doc">
      <dgm:prSet loTypeId="urn:microsoft.com/office/officeart/2009/3/layout/RandomtoResultProcess#1" loCatId="process" qsTypeId="urn:microsoft.com/office/officeart/2005/8/quickstyle/simple1" qsCatId="simple" csTypeId="urn:microsoft.com/office/officeart/2005/8/colors/colorful4" csCatId="colorful" phldr="1"/>
      <dgm:spPr/>
      <dgm:t>
        <a:bodyPr/>
        <a:lstStyle/>
        <a:p>
          <a:pPr rtl="1"/>
          <a:endParaRPr lang="he-IL"/>
        </a:p>
      </dgm:t>
    </dgm:pt>
    <dgm:pt modelId="{FE84884E-9AC8-4ABB-BE88-AFB805279A0B}">
      <dgm:prSet phldrT="[טקסט]" custT="1"/>
      <dgm:spPr>
        <a:xfrm>
          <a:off x="247162" y="1638916"/>
          <a:ext cx="1163480" cy="296566"/>
        </a:xfrm>
        <a:noFill/>
        <a:ln>
          <a:noFill/>
        </a:ln>
        <a:effectLst/>
      </dgm:spPr>
      <dgm:t>
        <a:bodyPr/>
        <a:lstStyle/>
        <a:p>
          <a:pPr rtl="1"/>
          <a:r>
            <a:rPr lang="he-IL" sz="8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בדיקת התאמה</a:t>
          </a:r>
          <a:r>
            <a:rPr lang="he-IL" sz="1100" b="1" baseline="300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(א)</a:t>
          </a:r>
          <a:r>
            <a:rPr lang="he-IL" sz="9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a:t>
          </a:r>
          <a:r>
            <a:rPr lang="he-IL" sz="8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והחלטה על מבנה העסקה</a:t>
          </a:r>
        </a:p>
      </dgm:t>
    </dgm:pt>
    <dgm:pt modelId="{D9CC9A1A-A817-4408-B704-C1767F23C0B1}" type="parTrans" cxnId="{8D5AE620-FB38-4BEA-9B5D-E71CBE6C4B40}">
      <dgm:prSet/>
      <dgm:spPr/>
      <dgm:t>
        <a:bodyPr/>
        <a:lstStyle/>
        <a:p>
          <a:pPr rtl="1"/>
          <a:endParaRPr lang="he-IL">
            <a:latin typeface="David" panose="020E0502060401010101" pitchFamily="34" charset="-79"/>
            <a:cs typeface="David" panose="020E0502060401010101" pitchFamily="34" charset="-79"/>
          </a:endParaRPr>
        </a:p>
      </dgm:t>
    </dgm:pt>
    <dgm:pt modelId="{D1E66A6B-84F5-4B87-81B3-145F2C61CBF7}" type="sibTrans" cxnId="{8D5AE620-FB38-4BEA-9B5D-E71CBE6C4B40}">
      <dgm:prSet/>
      <dgm:spPr/>
      <dgm:t>
        <a:bodyPr/>
        <a:lstStyle/>
        <a:p>
          <a:pPr rtl="1"/>
          <a:endParaRPr lang="he-IL">
            <a:latin typeface="David" panose="020E0502060401010101" pitchFamily="34" charset="-79"/>
            <a:cs typeface="David" panose="020E0502060401010101" pitchFamily="34" charset="-79"/>
          </a:endParaRPr>
        </a:p>
      </dgm:t>
    </dgm:pt>
    <dgm:pt modelId="{56C9F901-7F3F-4531-8C0B-F82CA5B13E49}">
      <dgm:prSet custT="1"/>
      <dgm:spPr>
        <a:xfrm>
          <a:off x="1868152" y="1329605"/>
          <a:ext cx="1269221" cy="888454"/>
        </a:xfrm>
        <a:noFill/>
        <a:ln>
          <a:noFill/>
        </a:ln>
        <a:effectLst/>
      </dgm:spPr>
      <dgm:t>
        <a:bodyPr/>
        <a:lstStyle/>
        <a:p>
          <a:pPr rtl="1"/>
          <a:r>
            <a:rPr lang="he-IL" sz="8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מיון מוקדם</a:t>
          </a:r>
          <a:r>
            <a:rPr lang="he-IL" sz="1100" b="1" baseline="300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(ב)</a:t>
          </a:r>
          <a:r>
            <a:rPr lang="he-IL" sz="11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a:t>
          </a:r>
          <a:endParaRPr lang="he-IL" sz="8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endParaRPr>
        </a:p>
        <a:p>
          <a:pPr rtl="1"/>
          <a:r>
            <a:rPr lang="en-US" sz="8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PQ </a:t>
          </a:r>
        </a:p>
        <a:p>
          <a:pPr rtl="1"/>
          <a:r>
            <a:rPr lang="en-US" sz="7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(Pre-Qualification)</a:t>
          </a:r>
          <a:endParaRPr lang="he-IL" sz="7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endParaRPr>
        </a:p>
      </dgm:t>
    </dgm:pt>
    <dgm:pt modelId="{5B6FAC34-AA10-495E-A735-EAC8005D0E3A}" type="parTrans" cxnId="{ED8F622B-EC4F-48B6-B4C9-33B71287C2C4}">
      <dgm:prSet/>
      <dgm:spPr/>
      <dgm:t>
        <a:bodyPr/>
        <a:lstStyle/>
        <a:p>
          <a:pPr rtl="1"/>
          <a:endParaRPr lang="he-IL">
            <a:latin typeface="David" panose="020E0502060401010101" pitchFamily="34" charset="-79"/>
            <a:cs typeface="David" panose="020E0502060401010101" pitchFamily="34" charset="-79"/>
          </a:endParaRPr>
        </a:p>
      </dgm:t>
    </dgm:pt>
    <dgm:pt modelId="{49D3FAEE-2F4A-412C-82B4-94C265FF0610}" type="sibTrans" cxnId="{ED8F622B-EC4F-48B6-B4C9-33B71287C2C4}">
      <dgm:prSet/>
      <dgm:spPr/>
      <dgm:t>
        <a:bodyPr/>
        <a:lstStyle/>
        <a:p>
          <a:pPr rtl="1"/>
          <a:endParaRPr lang="he-IL">
            <a:latin typeface="David" panose="020E0502060401010101" pitchFamily="34" charset="-79"/>
            <a:cs typeface="David" panose="020E0502060401010101" pitchFamily="34" charset="-79"/>
          </a:endParaRPr>
        </a:p>
      </dgm:t>
    </dgm:pt>
    <dgm:pt modelId="{81700C75-24FE-422D-B8C0-E6DF6DAD90A8}">
      <dgm:prSet custT="1"/>
      <dgm:spPr>
        <a:xfrm>
          <a:off x="5009999" y="1329605"/>
          <a:ext cx="1040507" cy="888454"/>
        </a:xfrm>
        <a:noFill/>
        <a:ln>
          <a:noFill/>
        </a:ln>
        <a:effectLst/>
      </dgm:spPr>
      <dgm:t>
        <a:bodyPr/>
        <a:lstStyle/>
        <a:p>
          <a:pPr rtl="1"/>
          <a:r>
            <a:rPr lang="he-IL" sz="8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סגירה פיננסית</a:t>
          </a:r>
          <a:r>
            <a:rPr lang="he-IL" sz="1100" b="1" baseline="300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(ג)</a:t>
          </a:r>
          <a:endParaRPr lang="he-IL" sz="8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endParaRPr>
        </a:p>
      </dgm:t>
    </dgm:pt>
    <dgm:pt modelId="{233738DF-AB05-47D0-8A8B-8E6EC60A6991}" type="parTrans" cxnId="{3B52C780-CD7B-4BDD-9672-A14C9119B4CA}">
      <dgm:prSet/>
      <dgm:spPr/>
      <dgm:t>
        <a:bodyPr/>
        <a:lstStyle/>
        <a:p>
          <a:pPr rtl="1"/>
          <a:endParaRPr lang="he-IL">
            <a:latin typeface="David" panose="020E0502060401010101" pitchFamily="34" charset="-79"/>
            <a:cs typeface="David" panose="020E0502060401010101" pitchFamily="34" charset="-79"/>
          </a:endParaRPr>
        </a:p>
      </dgm:t>
    </dgm:pt>
    <dgm:pt modelId="{3C98F17C-CD79-4066-9C75-5510B85B93C7}" type="sibTrans" cxnId="{3B52C780-CD7B-4BDD-9672-A14C9119B4CA}">
      <dgm:prSet/>
      <dgm:spPr/>
      <dgm:t>
        <a:bodyPr/>
        <a:lstStyle/>
        <a:p>
          <a:pPr rtl="1"/>
          <a:endParaRPr lang="he-IL">
            <a:latin typeface="David" panose="020E0502060401010101" pitchFamily="34" charset="-79"/>
            <a:cs typeface="David" panose="020E0502060401010101" pitchFamily="34" charset="-79"/>
          </a:endParaRPr>
        </a:p>
      </dgm:t>
    </dgm:pt>
    <dgm:pt modelId="{2CE75BCD-F8C1-425C-A028-5892059CB693}">
      <dgm:prSet custT="1"/>
      <dgm:spPr>
        <a:xfrm>
          <a:off x="6515888" y="1329605"/>
          <a:ext cx="880547" cy="888454"/>
        </a:xfrm>
        <a:noFill/>
        <a:ln>
          <a:noFill/>
        </a:ln>
        <a:effectLst/>
      </dgm:spPr>
      <dgm:t>
        <a:bodyPr/>
        <a:lstStyle/>
        <a:p>
          <a:pPr rtl="1"/>
          <a:r>
            <a:rPr lang="he-IL" sz="8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חתימה על הסכם זיכיון</a:t>
          </a:r>
        </a:p>
      </dgm:t>
    </dgm:pt>
    <dgm:pt modelId="{0F1764B5-1166-4D5A-86B7-3859F22576D2}" type="parTrans" cxnId="{336C7FD3-1649-4D52-AEC8-A149FF3CAEC8}">
      <dgm:prSet/>
      <dgm:spPr/>
      <dgm:t>
        <a:bodyPr/>
        <a:lstStyle/>
        <a:p>
          <a:pPr rtl="1"/>
          <a:endParaRPr lang="he-IL">
            <a:latin typeface="David" panose="020E0502060401010101" pitchFamily="34" charset="-79"/>
            <a:cs typeface="David" panose="020E0502060401010101" pitchFamily="34" charset="-79"/>
          </a:endParaRPr>
        </a:p>
      </dgm:t>
    </dgm:pt>
    <dgm:pt modelId="{C36844A9-FA87-4E4E-AE0B-C52F0F6A8383}" type="sibTrans" cxnId="{336C7FD3-1649-4D52-AEC8-A149FF3CAEC8}">
      <dgm:prSet/>
      <dgm:spPr/>
      <dgm:t>
        <a:bodyPr/>
        <a:lstStyle/>
        <a:p>
          <a:pPr rtl="1"/>
          <a:endParaRPr lang="he-IL">
            <a:latin typeface="David" panose="020E0502060401010101" pitchFamily="34" charset="-79"/>
            <a:cs typeface="David" panose="020E0502060401010101" pitchFamily="34" charset="-79"/>
          </a:endParaRPr>
        </a:p>
      </dgm:t>
    </dgm:pt>
    <dgm:pt modelId="{6C48BC5E-C120-4595-9F20-BD4C69A4C28B}">
      <dgm:prSet custT="1"/>
      <dgm:spPr>
        <a:xfrm>
          <a:off x="7912585" y="1255749"/>
          <a:ext cx="1078837" cy="1078837"/>
        </a:xfrm>
        <a:solidFill>
          <a:srgbClr val="8064A2">
            <a:hueOff val="-4464770"/>
            <a:satOff val="26899"/>
            <a:lumOff val="2156"/>
            <a:alphaOff val="0"/>
          </a:srgbClr>
        </a:solidFill>
        <a:ln w="25400">
          <a:solidFill>
            <a:sysClr val="window" lastClr="FFFFFF">
              <a:hueOff val="0"/>
              <a:satOff val="0"/>
              <a:lumOff val="0"/>
              <a:alphaOff val="0"/>
            </a:sysClr>
          </a:solidFill>
        </a:ln>
        <a:effectLst/>
      </dgm:spPr>
      <dgm:t>
        <a:bodyPr/>
        <a:lstStyle/>
        <a:p>
          <a:pPr rtl="1"/>
          <a:r>
            <a:rPr lang="he-IL" sz="800" b="1">
              <a:solidFill>
                <a:sysClr val="windowText" lastClr="000000"/>
              </a:solidFill>
              <a:latin typeface="David" panose="020E0502060401010101" pitchFamily="34" charset="-79"/>
              <a:ea typeface="+mn-ea"/>
              <a:cs typeface="David" panose="020E0502060401010101" pitchFamily="34" charset="-79"/>
            </a:rPr>
            <a:t>הקמת הפרויקט ותפעולו </a:t>
          </a:r>
        </a:p>
      </dgm:t>
    </dgm:pt>
    <dgm:pt modelId="{DE34ABF7-565A-43EE-8D3D-8DC6B8A1C988}" type="parTrans" cxnId="{C46D2D02-8AFF-4628-8CA9-88CFC683697A}">
      <dgm:prSet/>
      <dgm:spPr/>
      <dgm:t>
        <a:bodyPr/>
        <a:lstStyle/>
        <a:p>
          <a:pPr rtl="1"/>
          <a:endParaRPr lang="he-IL">
            <a:latin typeface="David" panose="020E0502060401010101" pitchFamily="34" charset="-79"/>
            <a:cs typeface="David" panose="020E0502060401010101" pitchFamily="34" charset="-79"/>
          </a:endParaRPr>
        </a:p>
      </dgm:t>
    </dgm:pt>
    <dgm:pt modelId="{675644D5-8384-40CF-9A6F-98E86617C62E}" type="sibTrans" cxnId="{C46D2D02-8AFF-4628-8CA9-88CFC683697A}">
      <dgm:prSet/>
      <dgm:spPr/>
      <dgm:t>
        <a:bodyPr/>
        <a:lstStyle/>
        <a:p>
          <a:pPr rtl="1"/>
          <a:endParaRPr lang="he-IL">
            <a:latin typeface="David" panose="020E0502060401010101" pitchFamily="34" charset="-79"/>
            <a:cs typeface="David" panose="020E0502060401010101" pitchFamily="34" charset="-79"/>
          </a:endParaRPr>
        </a:p>
      </dgm:t>
    </dgm:pt>
    <dgm:pt modelId="{70E56389-46F8-4678-A87F-E3A188E6E436}">
      <dgm:prSet custT="1"/>
      <dgm:spPr>
        <a:xfrm>
          <a:off x="3602754" y="1329605"/>
          <a:ext cx="941863" cy="888454"/>
        </a:xfrm>
        <a:noFill/>
        <a:ln>
          <a:noFill/>
        </a:ln>
        <a:effectLst/>
      </dgm:spPr>
      <dgm:t>
        <a:bodyPr/>
        <a:lstStyle/>
        <a:p>
          <a:pPr rtl="1"/>
          <a:r>
            <a:rPr lang="he-IL" sz="8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פרסום המכרז ובחירה בזוכה</a:t>
          </a:r>
        </a:p>
      </dgm:t>
    </dgm:pt>
    <dgm:pt modelId="{ABE8C592-5870-48B2-B894-14BBF96E9B5B}" type="parTrans" cxnId="{0A211B9A-D3D8-4C77-8086-640158C3F134}">
      <dgm:prSet/>
      <dgm:spPr/>
      <dgm:t>
        <a:bodyPr/>
        <a:lstStyle/>
        <a:p>
          <a:pPr rtl="1"/>
          <a:endParaRPr lang="he-IL"/>
        </a:p>
      </dgm:t>
    </dgm:pt>
    <dgm:pt modelId="{ED1E2C91-9BE5-4CB2-83AF-1C0CF14F57A2}" type="sibTrans" cxnId="{0A211B9A-D3D8-4C77-8086-640158C3F134}">
      <dgm:prSet/>
      <dgm:spPr/>
      <dgm:t>
        <a:bodyPr/>
        <a:lstStyle/>
        <a:p>
          <a:pPr rtl="1"/>
          <a:endParaRPr lang="he-IL"/>
        </a:p>
      </dgm:t>
    </dgm:pt>
    <dgm:pt modelId="{9E205514-E2E6-416D-92FD-FFB8BB55E4E7}" type="pres">
      <dgm:prSet presAssocID="{822F188F-4656-4A80-9E1F-61F2C82978C5}" presName="Name0" presStyleCnt="0">
        <dgm:presLayoutVars>
          <dgm:dir/>
          <dgm:animOne val="branch"/>
          <dgm:animLvl val="lvl"/>
        </dgm:presLayoutVars>
      </dgm:prSet>
      <dgm:spPr/>
    </dgm:pt>
    <dgm:pt modelId="{52E6E309-4F5E-48F5-A405-040612611777}" type="pres">
      <dgm:prSet presAssocID="{FE84884E-9AC8-4ABB-BE88-AFB805279A0B}" presName="chaos" presStyleCnt="0"/>
      <dgm:spPr/>
    </dgm:pt>
    <dgm:pt modelId="{EF7B72B6-BE69-4BBA-BF2E-2392ED7E2FEF}" type="pres">
      <dgm:prSet presAssocID="{FE84884E-9AC8-4ABB-BE88-AFB805279A0B}" presName="parTx1" presStyleLbl="revTx" presStyleIdx="0" presStyleCnt="5" custScaleX="128898" custScaleY="70989" custLinFactNeighborX="8436" custLinFactNeighborY="2133"/>
      <dgm:spPr>
        <a:prstGeom prst="rect">
          <a:avLst/>
        </a:prstGeom>
      </dgm:spPr>
    </dgm:pt>
    <dgm:pt modelId="{0F2F73DB-3511-4728-969A-4D94D6A4A2C0}" type="pres">
      <dgm:prSet presAssocID="{FE84884E-9AC8-4ABB-BE88-AFB805279A0B}" presName="c1" presStyleLbl="node1" presStyleIdx="0" presStyleCnt="19" custLinFactX="1700000" custLinFactY="-132036" custLinFactNeighborX="1762481" custLinFactNeighborY="-200000"/>
      <dgm:spPr>
        <a:xfrm>
          <a:off x="3578223" y="1107525"/>
          <a:ext cx="100839" cy="100839"/>
        </a:xfrm>
        <a:prstGeom prst="ellipse">
          <a:avLst/>
        </a:prstGeom>
        <a:solidFill>
          <a:srgbClr val="8064A2">
            <a:hueOff val="0"/>
            <a:satOff val="0"/>
            <a:lumOff val="0"/>
            <a:alphaOff val="0"/>
          </a:srgbClr>
        </a:solidFill>
        <a:ln w="25400">
          <a:solidFill>
            <a:sysClr val="window" lastClr="FFFFFF">
              <a:hueOff val="0"/>
              <a:satOff val="0"/>
              <a:lumOff val="0"/>
              <a:alphaOff val="0"/>
            </a:sysClr>
          </a:solidFill>
        </a:ln>
        <a:effectLst/>
      </dgm:spPr>
    </dgm:pt>
    <dgm:pt modelId="{1477993B-2BA7-47E0-9EF7-D4A4C7F310EF}" type="pres">
      <dgm:prSet presAssocID="{FE84884E-9AC8-4ABB-BE88-AFB805279A0B}" presName="c2" presStyleLbl="node1" presStyleIdx="1" presStyleCnt="19" custLinFactX="3700000" custLinFactY="-100000" custLinFactNeighborX="3754705" custLinFactNeighborY="-163330"/>
      <dgm:spPr>
        <a:xfrm>
          <a:off x="7674554" y="1035632"/>
          <a:ext cx="100839" cy="100839"/>
        </a:xfrm>
        <a:prstGeom prst="ellipse">
          <a:avLst/>
        </a:prstGeom>
        <a:solidFill>
          <a:srgbClr val="8064A2">
            <a:hueOff val="-248043"/>
            <a:satOff val="1494"/>
            <a:lumOff val="120"/>
            <a:alphaOff val="0"/>
          </a:srgbClr>
        </a:solidFill>
        <a:ln w="25400">
          <a:solidFill>
            <a:sysClr val="window" lastClr="FFFFFF">
              <a:hueOff val="0"/>
              <a:satOff val="0"/>
              <a:lumOff val="0"/>
              <a:alphaOff val="0"/>
            </a:sysClr>
          </a:solidFill>
        </a:ln>
        <a:effectLst/>
      </dgm:spPr>
    </dgm:pt>
    <dgm:pt modelId="{16B7A084-26B7-416C-8B23-02D02AE19F2B}" type="pres">
      <dgm:prSet presAssocID="{FE84884E-9AC8-4ABB-BE88-AFB805279A0B}" presName="c3" presStyleLbl="node1" presStyleIdx="2" presStyleCnt="19" custLinFactX="900000" custLinFactY="-100000" custLinFactNeighborX="903723" custLinFactNeighborY="-110008"/>
      <dgm:spPr>
        <a:xfrm>
          <a:off x="3184888" y="996625"/>
          <a:ext cx="158462" cy="158462"/>
        </a:xfrm>
        <a:prstGeom prst="ellipse">
          <a:avLst/>
        </a:prstGeom>
        <a:solidFill>
          <a:srgbClr val="8064A2">
            <a:hueOff val="-496086"/>
            <a:satOff val="2989"/>
            <a:lumOff val="240"/>
            <a:alphaOff val="0"/>
          </a:srgbClr>
        </a:solidFill>
        <a:ln w="25400">
          <a:solidFill>
            <a:sysClr val="window" lastClr="FFFFFF">
              <a:hueOff val="0"/>
              <a:satOff val="0"/>
              <a:lumOff val="0"/>
              <a:alphaOff val="0"/>
            </a:sysClr>
          </a:solidFill>
        </a:ln>
        <a:effectLst/>
      </dgm:spPr>
    </dgm:pt>
    <dgm:pt modelId="{E7A3ADF0-CB29-4F3A-8B07-D1A355A3C4FA}" type="pres">
      <dgm:prSet presAssocID="{FE84884E-9AC8-4ABB-BE88-AFB805279A0B}" presName="c4" presStyleLbl="node1" presStyleIdx="3" presStyleCnt="19" custLinFactX="2000000" custLinFactY="-12627" custLinFactNeighborX="2050857" custLinFactNeighborY="-100000"/>
      <dgm:spPr>
        <a:xfrm>
          <a:off x="4552712" y="1060543"/>
          <a:ext cx="100839" cy="100839"/>
        </a:xfrm>
        <a:prstGeom prst="ellipse">
          <a:avLst/>
        </a:prstGeom>
        <a:solidFill>
          <a:srgbClr val="8064A2">
            <a:hueOff val="-744128"/>
            <a:satOff val="4483"/>
            <a:lumOff val="359"/>
            <a:alphaOff val="0"/>
          </a:srgbClr>
        </a:solidFill>
        <a:ln w="25400">
          <a:solidFill>
            <a:sysClr val="window" lastClr="FFFFFF">
              <a:hueOff val="0"/>
              <a:satOff val="0"/>
              <a:lumOff val="0"/>
              <a:alphaOff val="0"/>
            </a:sysClr>
          </a:solidFill>
        </a:ln>
        <a:effectLst/>
      </dgm:spPr>
    </dgm:pt>
    <dgm:pt modelId="{A08B0887-4E41-483A-BEB9-696C592E57B6}" type="pres">
      <dgm:prSet presAssocID="{FE84884E-9AC8-4ABB-BE88-AFB805279A0B}" presName="c5" presStyleLbl="node1" presStyleIdx="4" presStyleCnt="19" custLinFactX="1749535" custLinFactNeighborX="1800000" custLinFactNeighborY="-17240"/>
      <dgm:spPr>
        <a:xfrm>
          <a:off x="4230709" y="1100261"/>
          <a:ext cx="100839" cy="100839"/>
        </a:xfrm>
        <a:prstGeom prst="ellipse">
          <a:avLst/>
        </a:prstGeom>
        <a:solidFill>
          <a:srgbClr val="8064A2">
            <a:hueOff val="-992171"/>
            <a:satOff val="5978"/>
            <a:lumOff val="479"/>
            <a:alphaOff val="0"/>
          </a:srgbClr>
        </a:solidFill>
        <a:ln w="25400">
          <a:solidFill>
            <a:sysClr val="window" lastClr="FFFFFF">
              <a:hueOff val="0"/>
              <a:satOff val="0"/>
              <a:lumOff val="0"/>
              <a:alphaOff val="0"/>
            </a:sysClr>
          </a:solidFill>
        </a:ln>
        <a:effectLst/>
      </dgm:spPr>
    </dgm:pt>
    <dgm:pt modelId="{94F25AC0-6F3D-4DC4-B58F-7327CC10EA14}" type="pres">
      <dgm:prSet presAssocID="{FE84884E-9AC8-4ABB-BE88-AFB805279A0B}" presName="c6" presStyleLbl="node1" presStyleIdx="5" presStyleCnt="19" custLinFactX="2243763" custLinFactNeighborX="2300000" custLinFactNeighborY="-87438"/>
      <dgm:spPr>
        <a:xfrm>
          <a:off x="5459166" y="1128296"/>
          <a:ext cx="100839" cy="100839"/>
        </a:xfrm>
        <a:prstGeom prst="ellipse">
          <a:avLst/>
        </a:prstGeom>
        <a:solidFill>
          <a:srgbClr val="8064A2">
            <a:hueOff val="-1240214"/>
            <a:satOff val="7472"/>
            <a:lumOff val="599"/>
            <a:alphaOff val="0"/>
          </a:srgbClr>
        </a:solidFill>
        <a:ln w="25400">
          <a:solidFill>
            <a:sysClr val="window" lastClr="FFFFFF">
              <a:hueOff val="0"/>
              <a:satOff val="0"/>
              <a:lumOff val="0"/>
              <a:alphaOff val="0"/>
            </a:sysClr>
          </a:solidFill>
        </a:ln>
        <a:effectLst/>
      </dgm:spPr>
    </dgm:pt>
    <dgm:pt modelId="{9B6A2EF6-78C1-49CF-81CF-5AD5A49E44EA}" type="pres">
      <dgm:prSet presAssocID="{FE84884E-9AC8-4ABB-BE88-AFB805279A0B}" presName="c7" presStyleLbl="node1" presStyleIdx="6" presStyleCnt="19" custLinFactX="1800000" custLinFactY="-38244" custLinFactNeighborX="1848315" custLinFactNeighborY="-100000"/>
      <dgm:spPr>
        <a:xfrm>
          <a:off x="6799630" y="1067991"/>
          <a:ext cx="158462" cy="158462"/>
        </a:xfrm>
        <a:prstGeom prst="ellipse">
          <a:avLst/>
        </a:prstGeom>
        <a:solidFill>
          <a:srgbClr val="8064A2">
            <a:hueOff val="-1488257"/>
            <a:satOff val="8966"/>
            <a:lumOff val="719"/>
            <a:alphaOff val="0"/>
          </a:srgbClr>
        </a:solidFill>
        <a:ln w="25400">
          <a:solidFill>
            <a:sysClr val="window" lastClr="FFFFFF">
              <a:hueOff val="0"/>
              <a:satOff val="0"/>
              <a:lumOff val="0"/>
              <a:alphaOff val="0"/>
            </a:sysClr>
          </a:solidFill>
        </a:ln>
        <a:effectLst/>
      </dgm:spPr>
    </dgm:pt>
    <dgm:pt modelId="{AE7FC897-F619-4345-AD1C-F7A21CE852F9}" type="pres">
      <dgm:prSet presAssocID="{FE84884E-9AC8-4ABB-BE88-AFB805279A0B}" presName="c8" presStyleLbl="node1" presStyleIdx="7" presStyleCnt="19" custLinFactX="2200000" custLinFactY="-136452" custLinFactNeighborX="2295185" custLinFactNeighborY="-200000"/>
      <dgm:spPr>
        <a:xfrm>
          <a:off x="5749001" y="1103072"/>
          <a:ext cx="100839" cy="100839"/>
        </a:xfrm>
        <a:prstGeom prst="ellipse">
          <a:avLst/>
        </a:prstGeom>
        <a:solidFill>
          <a:srgbClr val="8064A2">
            <a:hueOff val="-1736299"/>
            <a:satOff val="10461"/>
            <a:lumOff val="838"/>
            <a:alphaOff val="0"/>
          </a:srgbClr>
        </a:solidFill>
        <a:ln w="25400">
          <a:solidFill>
            <a:sysClr val="window" lastClr="FFFFFF">
              <a:hueOff val="0"/>
              <a:satOff val="0"/>
              <a:lumOff val="0"/>
              <a:alphaOff val="0"/>
            </a:sysClr>
          </a:solidFill>
        </a:ln>
        <a:effectLst/>
      </dgm:spPr>
    </dgm:pt>
    <dgm:pt modelId="{3C449649-5F81-4148-97CE-AAD208D6989A}" type="pres">
      <dgm:prSet presAssocID="{FE84884E-9AC8-4ABB-BE88-AFB805279A0B}" presName="c9" presStyleLbl="node1" presStyleIdx="8" presStyleCnt="19" custLinFactX="1700000" custLinFactY="-211677" custLinFactNeighborX="1780156" custLinFactNeighborY="-300000"/>
      <dgm:spPr>
        <a:xfrm>
          <a:off x="4810155" y="1081669"/>
          <a:ext cx="100839" cy="100839"/>
        </a:xfrm>
        <a:prstGeom prst="ellipse">
          <a:avLst/>
        </a:prstGeom>
        <a:solidFill>
          <a:srgbClr val="8064A2">
            <a:hueOff val="-1984342"/>
            <a:satOff val="11955"/>
            <a:lumOff val="958"/>
            <a:alphaOff val="0"/>
          </a:srgbClr>
        </a:solidFill>
        <a:ln w="25400">
          <a:solidFill>
            <a:sysClr val="window" lastClr="FFFFFF">
              <a:hueOff val="0"/>
              <a:satOff val="0"/>
              <a:lumOff val="0"/>
              <a:alphaOff val="0"/>
            </a:sysClr>
          </a:solidFill>
        </a:ln>
        <a:effectLst/>
      </dgm:spPr>
    </dgm:pt>
    <dgm:pt modelId="{3CECCEEA-5DB0-47B7-B789-792B9CF43CAE}" type="pres">
      <dgm:prSet presAssocID="{FE84884E-9AC8-4ABB-BE88-AFB805279A0B}" presName="c10" presStyleLbl="node1" presStyleIdx="9" presStyleCnt="19" custLinFactX="300000" custLinFactY="-35132" custLinFactNeighborX="385613" custLinFactNeighborY="-100000"/>
      <dgm:spPr>
        <a:xfrm>
          <a:off x="2344474" y="950774"/>
          <a:ext cx="259301" cy="259301"/>
        </a:xfrm>
        <a:prstGeom prst="ellipse">
          <a:avLst/>
        </a:prstGeom>
        <a:solidFill>
          <a:srgbClr val="8064A2">
            <a:hueOff val="-2232385"/>
            <a:satOff val="13449"/>
            <a:lumOff val="1078"/>
            <a:alphaOff val="0"/>
          </a:srgbClr>
        </a:solidFill>
        <a:ln w="25400">
          <a:solidFill>
            <a:sysClr val="window" lastClr="FFFFFF">
              <a:hueOff val="0"/>
              <a:satOff val="0"/>
              <a:lumOff val="0"/>
              <a:alphaOff val="0"/>
            </a:sysClr>
          </a:solidFill>
        </a:ln>
        <a:effectLst/>
      </dgm:spPr>
    </dgm:pt>
    <dgm:pt modelId="{337F8105-F478-4776-852A-0AE7EFE401AA}" type="pres">
      <dgm:prSet presAssocID="{FE84884E-9AC8-4ABB-BE88-AFB805279A0B}" presName="c11" presStyleLbl="node1" presStyleIdx="10" presStyleCnt="19" custLinFactX="1357030" custLinFactY="-345624" custLinFactNeighborX="1400000" custLinFactNeighborY="-400000"/>
      <dgm:spPr>
        <a:xfrm>
          <a:off x="2796261" y="1085756"/>
          <a:ext cx="100839" cy="100839"/>
        </a:xfrm>
        <a:prstGeom prst="ellipse">
          <a:avLst/>
        </a:prstGeom>
        <a:solidFill>
          <a:srgbClr val="8064A2">
            <a:hueOff val="-2480428"/>
            <a:satOff val="14944"/>
            <a:lumOff val="1198"/>
            <a:alphaOff val="0"/>
          </a:srgbClr>
        </a:solidFill>
        <a:ln w="25400">
          <a:solidFill>
            <a:sysClr val="window" lastClr="FFFFFF">
              <a:hueOff val="0"/>
              <a:satOff val="0"/>
              <a:lumOff val="0"/>
              <a:alphaOff val="0"/>
            </a:sysClr>
          </a:solidFill>
        </a:ln>
        <a:effectLst/>
      </dgm:spPr>
    </dgm:pt>
    <dgm:pt modelId="{5EE09A47-F665-4DEC-95BD-4324821009C4}" type="pres">
      <dgm:prSet presAssocID="{FE84884E-9AC8-4ABB-BE88-AFB805279A0B}" presName="c12" presStyleLbl="node1" presStyleIdx="11" presStyleCnt="19" custLinFactX="373828" custLinFactY="-300000" custLinFactNeighborX="400000" custLinFactNeighborY="-302949"/>
      <dgm:spPr>
        <a:xfrm>
          <a:off x="1327013" y="1009251"/>
          <a:ext cx="158462" cy="158462"/>
        </a:xfrm>
        <a:prstGeom prst="ellipse">
          <a:avLst/>
        </a:prstGeom>
        <a:solidFill>
          <a:srgbClr val="8064A2">
            <a:hueOff val="-2728470"/>
            <a:satOff val="16438"/>
            <a:lumOff val="1318"/>
            <a:alphaOff val="0"/>
          </a:srgbClr>
        </a:solidFill>
        <a:ln w="25400">
          <a:solidFill>
            <a:sysClr val="window" lastClr="FFFFFF">
              <a:hueOff val="0"/>
              <a:satOff val="0"/>
              <a:lumOff val="0"/>
              <a:alphaOff val="0"/>
            </a:sysClr>
          </a:solidFill>
        </a:ln>
        <a:effectLst/>
      </dgm:spPr>
    </dgm:pt>
    <dgm:pt modelId="{168BAB6B-D0DF-464F-9DD7-B4DDF297BB7A}" type="pres">
      <dgm:prSet presAssocID="{FE84884E-9AC8-4ABB-BE88-AFB805279A0B}" presName="c13" presStyleLbl="node1" presStyleIdx="12" presStyleCnt="19" custAng="9715795" custLinFactX="1000000" custLinFactY="-200000" custLinFactNeighborX="1049442" custLinFactNeighborY="-260706"/>
      <dgm:spPr>
        <a:xfrm rot="9715795">
          <a:off x="5036321" y="1015755"/>
          <a:ext cx="230490" cy="230490"/>
        </a:xfrm>
        <a:prstGeom prst="ellipse">
          <a:avLst/>
        </a:prstGeom>
        <a:solidFill>
          <a:srgbClr val="8064A2">
            <a:hueOff val="-2976513"/>
            <a:satOff val="17933"/>
            <a:lumOff val="1437"/>
            <a:alphaOff val="0"/>
          </a:srgbClr>
        </a:solidFill>
        <a:ln w="25400">
          <a:solidFill>
            <a:sysClr val="window" lastClr="FFFFFF">
              <a:hueOff val="0"/>
              <a:satOff val="0"/>
              <a:lumOff val="0"/>
              <a:alphaOff val="0"/>
            </a:sysClr>
          </a:solidFill>
        </a:ln>
        <a:effectLst/>
      </dgm:spPr>
    </dgm:pt>
    <dgm:pt modelId="{E1BAC325-87AC-4E87-A90E-78763690E314}" type="pres">
      <dgm:prSet presAssocID="{FE84884E-9AC8-4ABB-BE88-AFB805279A0B}" presName="c14" presStyleLbl="node1" presStyleIdx="13" presStyleCnt="19" custLinFactX="2600000" custLinFactY="-534751" custLinFactNeighborX="2694752" custLinFactNeighborY="-600000"/>
      <dgm:spPr>
        <a:xfrm>
          <a:off x="5948227" y="1116888"/>
          <a:ext cx="100839" cy="100839"/>
        </a:xfrm>
        <a:prstGeom prst="ellipse">
          <a:avLst/>
        </a:prstGeom>
        <a:solidFill>
          <a:srgbClr val="8064A2">
            <a:hueOff val="-3224556"/>
            <a:satOff val="19427"/>
            <a:lumOff val="1557"/>
            <a:alphaOff val="0"/>
          </a:srgbClr>
        </a:solidFill>
        <a:ln w="25400">
          <a:solidFill>
            <a:sysClr val="window" lastClr="FFFFFF">
              <a:hueOff val="0"/>
              <a:satOff val="0"/>
              <a:lumOff val="0"/>
              <a:alphaOff val="0"/>
            </a:sysClr>
          </a:solidFill>
        </a:ln>
        <a:effectLst/>
      </dgm:spPr>
    </dgm:pt>
    <dgm:pt modelId="{D2845F2E-D2A8-4250-A67B-313EE6B8BE54}" type="pres">
      <dgm:prSet presAssocID="{FE84884E-9AC8-4ABB-BE88-AFB805279A0B}" presName="c15" presStyleLbl="node1" presStyleIdx="14" presStyleCnt="19" custLinFactX="1756092" custLinFactY="-300000" custLinFactNeighborX="1800000" custLinFactNeighborY="-322824"/>
      <dgm:spPr>
        <a:xfrm>
          <a:off x="6300553" y="1090697"/>
          <a:ext cx="158462" cy="158462"/>
        </a:xfrm>
        <a:prstGeom prst="ellipse">
          <a:avLst/>
        </a:prstGeom>
        <a:solidFill>
          <a:srgbClr val="8064A2">
            <a:hueOff val="-3472599"/>
            <a:satOff val="20921"/>
            <a:lumOff val="1677"/>
            <a:alphaOff val="0"/>
          </a:srgbClr>
        </a:solidFill>
        <a:ln w="25400">
          <a:solidFill>
            <a:sysClr val="window" lastClr="FFFFFF">
              <a:hueOff val="0"/>
              <a:satOff val="0"/>
              <a:lumOff val="0"/>
              <a:alphaOff val="0"/>
            </a:sysClr>
          </a:solidFill>
        </a:ln>
        <a:effectLst/>
      </dgm:spPr>
    </dgm:pt>
    <dgm:pt modelId="{C2890CED-98F0-4ED0-B412-0B6DF470FE0A}" type="pres">
      <dgm:prSet presAssocID="{FE84884E-9AC8-4ABB-BE88-AFB805279A0B}" presName="c16" presStyleLbl="node1" presStyleIdx="15" presStyleCnt="19" custLinFactX="500000" custLinFactY="-595791" custLinFactNeighborX="505389" custLinFactNeighborY="-600000"/>
      <dgm:spPr>
        <a:xfrm>
          <a:off x="1820495" y="1069453"/>
          <a:ext cx="100839" cy="100839"/>
        </a:xfrm>
        <a:prstGeom prst="ellipse">
          <a:avLst/>
        </a:prstGeom>
        <a:solidFill>
          <a:srgbClr val="8064A2">
            <a:hueOff val="-3720641"/>
            <a:satOff val="22416"/>
            <a:lumOff val="1797"/>
            <a:alphaOff val="0"/>
          </a:srgbClr>
        </a:solidFill>
        <a:ln w="25400">
          <a:solidFill>
            <a:sysClr val="window" lastClr="FFFFFF">
              <a:hueOff val="0"/>
              <a:satOff val="0"/>
              <a:lumOff val="0"/>
              <a:alphaOff val="0"/>
            </a:sysClr>
          </a:solidFill>
        </a:ln>
        <a:effectLst/>
      </dgm:spPr>
    </dgm:pt>
    <dgm:pt modelId="{AA2AE2A6-74F8-48FF-874C-4DDD5AC30971}" type="pres">
      <dgm:prSet presAssocID="{FE84884E-9AC8-4ABB-BE88-AFB805279A0B}" presName="c17" presStyleLbl="node1" presStyleIdx="16" presStyleCnt="19" custLinFactX="600000" custLinFactY="-200000" custLinFactNeighborX="655285" custLinFactNeighborY="-245270"/>
      <dgm:spPr>
        <a:xfrm>
          <a:off x="3827036" y="1023098"/>
          <a:ext cx="230490" cy="230490"/>
        </a:xfrm>
        <a:prstGeom prst="ellipse">
          <a:avLst/>
        </a:prstGeom>
        <a:solidFill>
          <a:srgbClr val="8064A2">
            <a:hueOff val="-3968684"/>
            <a:satOff val="23910"/>
            <a:lumOff val="1916"/>
            <a:alphaOff val="0"/>
          </a:srgbClr>
        </a:solidFill>
        <a:ln w="25400">
          <a:solidFill>
            <a:sysClr val="window" lastClr="FFFFFF">
              <a:hueOff val="0"/>
              <a:satOff val="0"/>
              <a:lumOff val="0"/>
              <a:alphaOff val="0"/>
            </a:sysClr>
          </a:solidFill>
        </a:ln>
        <a:effectLst/>
      </dgm:spPr>
    </dgm:pt>
    <dgm:pt modelId="{0D82E643-DE5F-4AA9-830D-BC381AC4796A}" type="pres">
      <dgm:prSet presAssocID="{FE84884E-9AC8-4ABB-BE88-AFB805279A0B}" presName="c18" presStyleLbl="node1" presStyleIdx="17" presStyleCnt="19" custLinFactX="1868507" custLinFactY="-280792" custLinFactNeighborX="1900000" custLinFactNeighborY="-300000"/>
      <dgm:spPr>
        <a:xfrm>
          <a:off x="7215970" y="1072597"/>
          <a:ext cx="158462" cy="158462"/>
        </a:xfrm>
        <a:prstGeom prst="ellipse">
          <a:avLst/>
        </a:prstGeom>
        <a:solidFill>
          <a:srgbClr val="8064A2">
            <a:hueOff val="-4216727"/>
            <a:satOff val="25405"/>
            <a:lumOff val="2036"/>
            <a:alphaOff val="0"/>
          </a:srgbClr>
        </a:solidFill>
        <a:ln w="25400">
          <a:solidFill>
            <a:sysClr val="window" lastClr="FFFFFF">
              <a:hueOff val="0"/>
              <a:satOff val="0"/>
              <a:lumOff val="0"/>
              <a:alphaOff val="0"/>
            </a:sysClr>
          </a:solidFill>
        </a:ln>
        <a:effectLst/>
      </dgm:spPr>
    </dgm:pt>
    <dgm:pt modelId="{E38B9F35-893B-4341-A8A4-6446ACF57566}" type="pres">
      <dgm:prSet presAssocID="{D1E66A6B-84F5-4B87-81B3-145F2C61CBF7}" presName="chevronComposite1" presStyleCnt="0"/>
      <dgm:spPr/>
    </dgm:pt>
    <dgm:pt modelId="{4ABB80AC-F8BA-43D3-9FF3-F6F37220159C}" type="pres">
      <dgm:prSet presAssocID="{D1E66A6B-84F5-4B87-81B3-145F2C61CBF7}" presName="chevron1" presStyleLbl="sibTrans2D1" presStyleIdx="0" presStyleCnt="5"/>
      <dgm:spPr>
        <a:xfrm>
          <a:off x="1402771" y="1329174"/>
          <a:ext cx="465381" cy="888463"/>
        </a:xfrm>
        <a:prstGeom prst="chevron">
          <a:avLst>
            <a:gd name="adj" fmla="val 62310"/>
          </a:avLst>
        </a:prstGeom>
        <a:solidFill>
          <a:srgbClr val="8064A2">
            <a:hueOff val="0"/>
            <a:satOff val="0"/>
            <a:lumOff val="0"/>
            <a:alphaOff val="0"/>
          </a:srgbClr>
        </a:solidFill>
        <a:ln>
          <a:noFill/>
        </a:ln>
        <a:effectLst/>
      </dgm:spPr>
    </dgm:pt>
    <dgm:pt modelId="{F41FEA2D-D598-4706-9670-D60F59332863}" type="pres">
      <dgm:prSet presAssocID="{D1E66A6B-84F5-4B87-81B3-145F2C61CBF7}" presName="spChevron1" presStyleCnt="0"/>
      <dgm:spPr/>
    </dgm:pt>
    <dgm:pt modelId="{6FEC2822-B611-4F44-969C-9E5EF4C0935B}" type="pres">
      <dgm:prSet presAssocID="{56C9F901-7F3F-4531-8C0B-F82CA5B13E49}" presName="middle" presStyleCnt="0"/>
      <dgm:spPr/>
    </dgm:pt>
    <dgm:pt modelId="{A418A960-501E-4196-ADB6-C6EA4E47EA8D}" type="pres">
      <dgm:prSet presAssocID="{56C9F901-7F3F-4531-8C0B-F82CA5B13E49}" presName="parTxMid" presStyleLbl="revTx" presStyleIdx="1" presStyleCnt="5"/>
      <dgm:spPr>
        <a:prstGeom prst="rect">
          <a:avLst/>
        </a:prstGeom>
      </dgm:spPr>
    </dgm:pt>
    <dgm:pt modelId="{403DCA5D-07D4-43B2-A354-905835843C63}" type="pres">
      <dgm:prSet presAssocID="{56C9F901-7F3F-4531-8C0B-F82CA5B13E49}" presName="spMid" presStyleCnt="0"/>
      <dgm:spPr/>
    </dgm:pt>
    <dgm:pt modelId="{6D079647-8C80-44FF-82DA-8B74430E899E}" type="pres">
      <dgm:prSet presAssocID="{49D3FAEE-2F4A-412C-82B4-94C265FF0610}" presName="chevronComposite1" presStyleCnt="0"/>
      <dgm:spPr/>
    </dgm:pt>
    <dgm:pt modelId="{A9019D1B-B1F4-4136-A199-275CC7AA023C}" type="pres">
      <dgm:prSet presAssocID="{49D3FAEE-2F4A-412C-82B4-94C265FF0610}" presName="chevron1" presStyleLbl="sibTrans2D1" presStyleIdx="1" presStyleCnt="5"/>
      <dgm:spPr>
        <a:xfrm>
          <a:off x="3137373" y="1329174"/>
          <a:ext cx="465381" cy="888463"/>
        </a:xfrm>
        <a:prstGeom prst="chevron">
          <a:avLst>
            <a:gd name="adj" fmla="val 62310"/>
          </a:avLst>
        </a:prstGeom>
        <a:solidFill>
          <a:srgbClr val="8064A2">
            <a:hueOff val="-1116192"/>
            <a:satOff val="6725"/>
            <a:lumOff val="539"/>
            <a:alphaOff val="0"/>
          </a:srgbClr>
        </a:solidFill>
        <a:ln>
          <a:noFill/>
        </a:ln>
        <a:effectLst/>
      </dgm:spPr>
    </dgm:pt>
    <dgm:pt modelId="{2B7A4E29-5EDF-4AA3-A646-32246511AA0D}" type="pres">
      <dgm:prSet presAssocID="{49D3FAEE-2F4A-412C-82B4-94C265FF0610}" presName="spChevron1" presStyleCnt="0"/>
      <dgm:spPr/>
    </dgm:pt>
    <dgm:pt modelId="{B972A84D-AF4F-487E-AF41-5311E31144EA}" type="pres">
      <dgm:prSet presAssocID="{70E56389-46F8-4678-A87F-E3A188E6E436}" presName="middle" presStyleCnt="0"/>
      <dgm:spPr/>
    </dgm:pt>
    <dgm:pt modelId="{7B35F8B0-F13F-4020-93B7-E245E9B47619}" type="pres">
      <dgm:prSet presAssocID="{70E56389-46F8-4678-A87F-E3A188E6E436}" presName="parTxMid" presStyleLbl="revTx" presStyleIdx="2" presStyleCnt="5" custScaleX="74208"/>
      <dgm:spPr>
        <a:prstGeom prst="rect">
          <a:avLst/>
        </a:prstGeom>
      </dgm:spPr>
    </dgm:pt>
    <dgm:pt modelId="{54F60D9A-103C-4DDB-85EE-C204EBC84241}" type="pres">
      <dgm:prSet presAssocID="{70E56389-46F8-4678-A87F-E3A188E6E436}" presName="spMid" presStyleCnt="0"/>
      <dgm:spPr/>
    </dgm:pt>
    <dgm:pt modelId="{CD0E899B-1FCD-4D1F-9FEC-0CD22363A86A}" type="pres">
      <dgm:prSet presAssocID="{ED1E2C91-9BE5-4CB2-83AF-1C0CF14F57A2}" presName="chevronComposite1" presStyleCnt="0"/>
      <dgm:spPr/>
    </dgm:pt>
    <dgm:pt modelId="{EB0AED9F-54A2-428A-921B-EF72E727EAF0}" type="pres">
      <dgm:prSet presAssocID="{ED1E2C91-9BE5-4CB2-83AF-1C0CF14F57A2}" presName="chevron1" presStyleLbl="sibTrans2D1" presStyleIdx="2" presStyleCnt="5"/>
      <dgm:spPr>
        <a:xfrm>
          <a:off x="4544618" y="1329174"/>
          <a:ext cx="465381" cy="888463"/>
        </a:xfrm>
        <a:prstGeom prst="chevron">
          <a:avLst>
            <a:gd name="adj" fmla="val 62310"/>
          </a:avLst>
        </a:prstGeom>
        <a:solidFill>
          <a:srgbClr val="8064A2">
            <a:hueOff val="-2232385"/>
            <a:satOff val="13449"/>
            <a:lumOff val="1078"/>
            <a:alphaOff val="0"/>
          </a:srgbClr>
        </a:solidFill>
        <a:ln>
          <a:noFill/>
        </a:ln>
        <a:effectLst/>
      </dgm:spPr>
    </dgm:pt>
    <dgm:pt modelId="{7F8E85F4-2788-4913-905C-F316916E4D72}" type="pres">
      <dgm:prSet presAssocID="{ED1E2C91-9BE5-4CB2-83AF-1C0CF14F57A2}" presName="spChevron1" presStyleCnt="0"/>
      <dgm:spPr/>
    </dgm:pt>
    <dgm:pt modelId="{70C7C86A-20E6-4A5E-8E72-BBE39E283B49}" type="pres">
      <dgm:prSet presAssocID="{81700C75-24FE-422D-B8C0-E6DF6DAD90A8}" presName="middle" presStyleCnt="0"/>
      <dgm:spPr/>
    </dgm:pt>
    <dgm:pt modelId="{3D07D381-163C-414E-AEAA-7431DDD42970}" type="pres">
      <dgm:prSet presAssocID="{81700C75-24FE-422D-B8C0-E6DF6DAD90A8}" presName="parTxMid" presStyleLbl="revTx" presStyleIdx="3" presStyleCnt="5" custScaleX="81980"/>
      <dgm:spPr>
        <a:prstGeom prst="rect">
          <a:avLst/>
        </a:prstGeom>
      </dgm:spPr>
    </dgm:pt>
    <dgm:pt modelId="{BA95B733-4C15-4F13-9DF9-E807134ACA3C}" type="pres">
      <dgm:prSet presAssocID="{81700C75-24FE-422D-B8C0-E6DF6DAD90A8}" presName="spMid" presStyleCnt="0"/>
      <dgm:spPr/>
    </dgm:pt>
    <dgm:pt modelId="{3560EAC0-CF8E-4303-B6E1-000C9A73E587}" type="pres">
      <dgm:prSet presAssocID="{3C98F17C-CD79-4066-9C75-5510B85B93C7}" presName="chevronComposite1" presStyleCnt="0"/>
      <dgm:spPr/>
    </dgm:pt>
    <dgm:pt modelId="{E2A654B5-CDD6-410D-8DF4-27DFC14B9A6E}" type="pres">
      <dgm:prSet presAssocID="{3C98F17C-CD79-4066-9C75-5510B85B93C7}" presName="chevron1" presStyleLbl="sibTrans2D1" presStyleIdx="3" presStyleCnt="5"/>
      <dgm:spPr>
        <a:xfrm>
          <a:off x="6050506" y="1329174"/>
          <a:ext cx="465381" cy="888463"/>
        </a:xfrm>
        <a:prstGeom prst="chevron">
          <a:avLst>
            <a:gd name="adj" fmla="val 62310"/>
          </a:avLst>
        </a:prstGeom>
        <a:solidFill>
          <a:srgbClr val="8064A2">
            <a:hueOff val="-3348577"/>
            <a:satOff val="20174"/>
            <a:lumOff val="1617"/>
            <a:alphaOff val="0"/>
          </a:srgbClr>
        </a:solidFill>
        <a:ln>
          <a:noFill/>
        </a:ln>
        <a:effectLst/>
      </dgm:spPr>
    </dgm:pt>
    <dgm:pt modelId="{FB25A8E5-A643-4551-B2D6-05DA35E7DEA3}" type="pres">
      <dgm:prSet presAssocID="{3C98F17C-CD79-4066-9C75-5510B85B93C7}" presName="spChevron1" presStyleCnt="0"/>
      <dgm:spPr/>
    </dgm:pt>
    <dgm:pt modelId="{6F1FD22C-AE35-4FCE-BC13-022CEFACC4F4}" type="pres">
      <dgm:prSet presAssocID="{2CE75BCD-F8C1-425C-A028-5892059CB693}" presName="middle" presStyleCnt="0"/>
      <dgm:spPr/>
    </dgm:pt>
    <dgm:pt modelId="{7D227C6C-3508-4A18-8187-D071BDB4C285}" type="pres">
      <dgm:prSet presAssocID="{2CE75BCD-F8C1-425C-A028-5892059CB693}" presName="parTxMid" presStyleLbl="revTx" presStyleIdx="4" presStyleCnt="5" custScaleX="69377"/>
      <dgm:spPr>
        <a:prstGeom prst="rect">
          <a:avLst/>
        </a:prstGeom>
      </dgm:spPr>
    </dgm:pt>
    <dgm:pt modelId="{17DDD762-8960-4982-8767-31BB98054337}" type="pres">
      <dgm:prSet presAssocID="{2CE75BCD-F8C1-425C-A028-5892059CB693}" presName="spMid" presStyleCnt="0"/>
      <dgm:spPr/>
    </dgm:pt>
    <dgm:pt modelId="{5E9E7408-C1F5-407D-A8A6-0C8E64F8187E}" type="pres">
      <dgm:prSet presAssocID="{C36844A9-FA87-4E4E-AE0B-C52F0F6A8383}" presName="chevronComposite1" presStyleCnt="0"/>
      <dgm:spPr/>
    </dgm:pt>
    <dgm:pt modelId="{5D2B0256-0346-474D-BA59-F3543BF3C46E}" type="pres">
      <dgm:prSet presAssocID="{C36844A9-FA87-4E4E-AE0B-C52F0F6A8383}" presName="chevron1" presStyleLbl="sibTrans2D1" presStyleIdx="4" presStyleCnt="5"/>
      <dgm:spPr>
        <a:xfrm>
          <a:off x="7396435" y="1329174"/>
          <a:ext cx="465381" cy="888463"/>
        </a:xfrm>
        <a:prstGeom prst="chevron">
          <a:avLst>
            <a:gd name="adj" fmla="val 62310"/>
          </a:avLst>
        </a:prstGeom>
        <a:solidFill>
          <a:srgbClr val="8064A2">
            <a:hueOff val="-4464770"/>
            <a:satOff val="26899"/>
            <a:lumOff val="2156"/>
            <a:alphaOff val="0"/>
          </a:srgbClr>
        </a:solidFill>
        <a:ln>
          <a:noFill/>
        </a:ln>
        <a:effectLst/>
      </dgm:spPr>
    </dgm:pt>
    <dgm:pt modelId="{D2F6D648-A134-4461-9BA8-8E7150C071E7}" type="pres">
      <dgm:prSet presAssocID="{C36844A9-FA87-4E4E-AE0B-C52F0F6A8383}" presName="spChevron1" presStyleCnt="0"/>
      <dgm:spPr/>
    </dgm:pt>
    <dgm:pt modelId="{15E14E09-AFE4-48E2-A82A-E11286C3175E}" type="pres">
      <dgm:prSet presAssocID="{6C48BC5E-C120-4595-9F20-BD4C69A4C28B}" presName="last" presStyleCnt="0"/>
      <dgm:spPr/>
    </dgm:pt>
    <dgm:pt modelId="{6C86D744-2A89-41E0-9ECB-62CE5462301A}" type="pres">
      <dgm:prSet presAssocID="{6C48BC5E-C120-4595-9F20-BD4C69A4C28B}" presName="circleTx" presStyleLbl="node1" presStyleIdx="18" presStyleCnt="19"/>
      <dgm:spPr>
        <a:prstGeom prst="ellipse">
          <a:avLst/>
        </a:prstGeom>
      </dgm:spPr>
    </dgm:pt>
    <dgm:pt modelId="{37B9AFCA-A3B0-4E76-90EC-5C0F020B1C48}" type="pres">
      <dgm:prSet presAssocID="{6C48BC5E-C120-4595-9F20-BD4C69A4C28B}" presName="spN" presStyleCnt="0"/>
      <dgm:spPr/>
    </dgm:pt>
  </dgm:ptLst>
  <dgm:cxnLst>
    <dgm:cxn modelId="{C46D2D02-8AFF-4628-8CA9-88CFC683697A}" srcId="{822F188F-4656-4A80-9E1F-61F2C82978C5}" destId="{6C48BC5E-C120-4595-9F20-BD4C69A4C28B}" srcOrd="5" destOrd="0" parTransId="{DE34ABF7-565A-43EE-8D3D-8DC6B8A1C988}" sibTransId="{675644D5-8384-40CF-9A6F-98E86617C62E}"/>
    <dgm:cxn modelId="{8D5AE620-FB38-4BEA-9B5D-E71CBE6C4B40}" srcId="{822F188F-4656-4A80-9E1F-61F2C82978C5}" destId="{FE84884E-9AC8-4ABB-BE88-AFB805279A0B}" srcOrd="0" destOrd="0" parTransId="{D9CC9A1A-A817-4408-B704-C1767F23C0B1}" sibTransId="{D1E66A6B-84F5-4B87-81B3-145F2C61CBF7}"/>
    <dgm:cxn modelId="{ED8F622B-EC4F-48B6-B4C9-33B71287C2C4}" srcId="{822F188F-4656-4A80-9E1F-61F2C82978C5}" destId="{56C9F901-7F3F-4531-8C0B-F82CA5B13E49}" srcOrd="1" destOrd="0" parTransId="{5B6FAC34-AA10-495E-A735-EAC8005D0E3A}" sibTransId="{49D3FAEE-2F4A-412C-82B4-94C265FF0610}"/>
    <dgm:cxn modelId="{CB394654-6C7D-45DE-8DA0-4ADDDD43C123}" type="presOf" srcId="{6C48BC5E-C120-4595-9F20-BD4C69A4C28B}" destId="{6C86D744-2A89-41E0-9ECB-62CE5462301A}" srcOrd="0" destOrd="0" presId="urn:microsoft.com/office/officeart/2009/3/layout/RandomtoResultProcess#1"/>
    <dgm:cxn modelId="{B8C29D7F-C1F3-4192-9C2C-04F7A2422924}" type="presOf" srcId="{56C9F901-7F3F-4531-8C0B-F82CA5B13E49}" destId="{A418A960-501E-4196-ADB6-C6EA4E47EA8D}" srcOrd="0" destOrd="0" presId="urn:microsoft.com/office/officeart/2009/3/layout/RandomtoResultProcess#1"/>
    <dgm:cxn modelId="{3B52C780-CD7B-4BDD-9672-A14C9119B4CA}" srcId="{822F188F-4656-4A80-9E1F-61F2C82978C5}" destId="{81700C75-24FE-422D-B8C0-E6DF6DAD90A8}" srcOrd="3" destOrd="0" parTransId="{233738DF-AB05-47D0-8A8B-8E6EC60A6991}" sibTransId="{3C98F17C-CD79-4066-9C75-5510B85B93C7}"/>
    <dgm:cxn modelId="{10A67199-6498-48E1-9F36-03F493AAEE9F}" type="presOf" srcId="{2CE75BCD-F8C1-425C-A028-5892059CB693}" destId="{7D227C6C-3508-4A18-8187-D071BDB4C285}" srcOrd="0" destOrd="0" presId="urn:microsoft.com/office/officeart/2009/3/layout/RandomtoResultProcess#1"/>
    <dgm:cxn modelId="{0A211B9A-D3D8-4C77-8086-640158C3F134}" srcId="{822F188F-4656-4A80-9E1F-61F2C82978C5}" destId="{70E56389-46F8-4678-A87F-E3A188E6E436}" srcOrd="2" destOrd="0" parTransId="{ABE8C592-5870-48B2-B894-14BBF96E9B5B}" sibTransId="{ED1E2C91-9BE5-4CB2-83AF-1C0CF14F57A2}"/>
    <dgm:cxn modelId="{5ED705BA-6164-45C8-A6CC-926B74ABA357}" type="presOf" srcId="{822F188F-4656-4A80-9E1F-61F2C82978C5}" destId="{9E205514-E2E6-416D-92FD-FFB8BB55E4E7}" srcOrd="0" destOrd="0" presId="urn:microsoft.com/office/officeart/2009/3/layout/RandomtoResultProcess#1"/>
    <dgm:cxn modelId="{EFC16FCD-CE64-4B03-9544-90CAF2BAF090}" type="presOf" srcId="{70E56389-46F8-4678-A87F-E3A188E6E436}" destId="{7B35F8B0-F13F-4020-93B7-E245E9B47619}" srcOrd="0" destOrd="0" presId="urn:microsoft.com/office/officeart/2009/3/layout/RandomtoResultProcess#1"/>
    <dgm:cxn modelId="{336C7FD3-1649-4D52-AEC8-A149FF3CAEC8}" srcId="{822F188F-4656-4A80-9E1F-61F2C82978C5}" destId="{2CE75BCD-F8C1-425C-A028-5892059CB693}" srcOrd="4" destOrd="0" parTransId="{0F1764B5-1166-4D5A-86B7-3859F22576D2}" sibTransId="{C36844A9-FA87-4E4E-AE0B-C52F0F6A8383}"/>
    <dgm:cxn modelId="{C97ED1DC-7815-4530-8985-C3EC6725130C}" type="presOf" srcId="{FE84884E-9AC8-4ABB-BE88-AFB805279A0B}" destId="{EF7B72B6-BE69-4BBA-BF2E-2392ED7E2FEF}" srcOrd="0" destOrd="0" presId="urn:microsoft.com/office/officeart/2009/3/layout/RandomtoResultProcess#1"/>
    <dgm:cxn modelId="{2DA574F7-B340-49AB-A71E-20D38361B77F}" type="presOf" srcId="{81700C75-24FE-422D-B8C0-E6DF6DAD90A8}" destId="{3D07D381-163C-414E-AEAA-7431DDD42970}" srcOrd="0" destOrd="0" presId="urn:microsoft.com/office/officeart/2009/3/layout/RandomtoResultProcess#1"/>
    <dgm:cxn modelId="{D6947783-C46F-4FE4-95DE-F9A7916ADAB0}" type="presParOf" srcId="{9E205514-E2E6-416D-92FD-FFB8BB55E4E7}" destId="{52E6E309-4F5E-48F5-A405-040612611777}" srcOrd="0" destOrd="0" presId="urn:microsoft.com/office/officeart/2009/3/layout/RandomtoResultProcess#1"/>
    <dgm:cxn modelId="{9BB25216-D90A-40F8-89F9-18063F629CDF}" type="presParOf" srcId="{52E6E309-4F5E-48F5-A405-040612611777}" destId="{EF7B72B6-BE69-4BBA-BF2E-2392ED7E2FEF}" srcOrd="0" destOrd="0" presId="urn:microsoft.com/office/officeart/2009/3/layout/RandomtoResultProcess#1"/>
    <dgm:cxn modelId="{EEB5BB67-EBEC-4040-94E7-F6B938186E91}" type="presParOf" srcId="{52E6E309-4F5E-48F5-A405-040612611777}" destId="{0F2F73DB-3511-4728-969A-4D94D6A4A2C0}" srcOrd="1" destOrd="0" presId="urn:microsoft.com/office/officeart/2009/3/layout/RandomtoResultProcess#1"/>
    <dgm:cxn modelId="{72669396-A8F5-4E18-BEDF-BCE000894F49}" type="presParOf" srcId="{52E6E309-4F5E-48F5-A405-040612611777}" destId="{1477993B-2BA7-47E0-9EF7-D4A4C7F310EF}" srcOrd="2" destOrd="0" presId="urn:microsoft.com/office/officeart/2009/3/layout/RandomtoResultProcess#1"/>
    <dgm:cxn modelId="{1257ED5B-70ED-4371-9FA0-D90F2792EFA3}" type="presParOf" srcId="{52E6E309-4F5E-48F5-A405-040612611777}" destId="{16B7A084-26B7-416C-8B23-02D02AE19F2B}" srcOrd="3" destOrd="0" presId="urn:microsoft.com/office/officeart/2009/3/layout/RandomtoResultProcess#1"/>
    <dgm:cxn modelId="{A9B97D17-B735-4D52-9270-0CF5547F7CED}" type="presParOf" srcId="{52E6E309-4F5E-48F5-A405-040612611777}" destId="{E7A3ADF0-CB29-4F3A-8B07-D1A355A3C4FA}" srcOrd="4" destOrd="0" presId="urn:microsoft.com/office/officeart/2009/3/layout/RandomtoResultProcess#1"/>
    <dgm:cxn modelId="{8DEBDCBA-E513-4269-B409-7F2674E9F402}" type="presParOf" srcId="{52E6E309-4F5E-48F5-A405-040612611777}" destId="{A08B0887-4E41-483A-BEB9-696C592E57B6}" srcOrd="5" destOrd="0" presId="urn:microsoft.com/office/officeart/2009/3/layout/RandomtoResultProcess#1"/>
    <dgm:cxn modelId="{EC3CD217-7317-4DCC-A9D6-71C8C7E16215}" type="presParOf" srcId="{52E6E309-4F5E-48F5-A405-040612611777}" destId="{94F25AC0-6F3D-4DC4-B58F-7327CC10EA14}" srcOrd="6" destOrd="0" presId="urn:microsoft.com/office/officeart/2009/3/layout/RandomtoResultProcess#1"/>
    <dgm:cxn modelId="{1E71D6BB-B13E-4594-A16C-C5C98EB19368}" type="presParOf" srcId="{52E6E309-4F5E-48F5-A405-040612611777}" destId="{9B6A2EF6-78C1-49CF-81CF-5AD5A49E44EA}" srcOrd="7" destOrd="0" presId="urn:microsoft.com/office/officeart/2009/3/layout/RandomtoResultProcess#1"/>
    <dgm:cxn modelId="{E58BAA4F-D0F8-4A64-B448-A1F1F5586D70}" type="presParOf" srcId="{52E6E309-4F5E-48F5-A405-040612611777}" destId="{AE7FC897-F619-4345-AD1C-F7A21CE852F9}" srcOrd="8" destOrd="0" presId="urn:microsoft.com/office/officeart/2009/3/layout/RandomtoResultProcess#1"/>
    <dgm:cxn modelId="{19BE814F-5B94-493C-B01A-09DDE0552753}" type="presParOf" srcId="{52E6E309-4F5E-48F5-A405-040612611777}" destId="{3C449649-5F81-4148-97CE-AAD208D6989A}" srcOrd="9" destOrd="0" presId="urn:microsoft.com/office/officeart/2009/3/layout/RandomtoResultProcess#1"/>
    <dgm:cxn modelId="{21B4AE34-3A3A-4A2C-84C4-AE050541DBA3}" type="presParOf" srcId="{52E6E309-4F5E-48F5-A405-040612611777}" destId="{3CECCEEA-5DB0-47B7-B789-792B9CF43CAE}" srcOrd="10" destOrd="0" presId="urn:microsoft.com/office/officeart/2009/3/layout/RandomtoResultProcess#1"/>
    <dgm:cxn modelId="{32A45160-F240-4749-97DD-0574A943FDF4}" type="presParOf" srcId="{52E6E309-4F5E-48F5-A405-040612611777}" destId="{337F8105-F478-4776-852A-0AE7EFE401AA}" srcOrd="11" destOrd="0" presId="urn:microsoft.com/office/officeart/2009/3/layout/RandomtoResultProcess#1"/>
    <dgm:cxn modelId="{36981AA8-9F7F-402C-9F8B-5380A6CF7780}" type="presParOf" srcId="{52E6E309-4F5E-48F5-A405-040612611777}" destId="{5EE09A47-F665-4DEC-95BD-4324821009C4}" srcOrd="12" destOrd="0" presId="urn:microsoft.com/office/officeart/2009/3/layout/RandomtoResultProcess#1"/>
    <dgm:cxn modelId="{21908A0C-A03C-47FF-87C2-02DA57227C9F}" type="presParOf" srcId="{52E6E309-4F5E-48F5-A405-040612611777}" destId="{168BAB6B-D0DF-464F-9DD7-B4DDF297BB7A}" srcOrd="13" destOrd="0" presId="urn:microsoft.com/office/officeart/2009/3/layout/RandomtoResultProcess#1"/>
    <dgm:cxn modelId="{8167C3B5-11DC-4110-9888-F18A61E26245}" type="presParOf" srcId="{52E6E309-4F5E-48F5-A405-040612611777}" destId="{E1BAC325-87AC-4E87-A90E-78763690E314}" srcOrd="14" destOrd="0" presId="urn:microsoft.com/office/officeart/2009/3/layout/RandomtoResultProcess#1"/>
    <dgm:cxn modelId="{1B59F626-96C1-4BA5-AC03-E14C98E7578E}" type="presParOf" srcId="{52E6E309-4F5E-48F5-A405-040612611777}" destId="{D2845F2E-D2A8-4250-A67B-313EE6B8BE54}" srcOrd="15" destOrd="0" presId="urn:microsoft.com/office/officeart/2009/3/layout/RandomtoResultProcess#1"/>
    <dgm:cxn modelId="{04302218-F5A0-47DC-B88C-EBE5027C5383}" type="presParOf" srcId="{52E6E309-4F5E-48F5-A405-040612611777}" destId="{C2890CED-98F0-4ED0-B412-0B6DF470FE0A}" srcOrd="16" destOrd="0" presId="urn:microsoft.com/office/officeart/2009/3/layout/RandomtoResultProcess#1"/>
    <dgm:cxn modelId="{8A690433-E018-4924-9829-25C444197D8E}" type="presParOf" srcId="{52E6E309-4F5E-48F5-A405-040612611777}" destId="{AA2AE2A6-74F8-48FF-874C-4DDD5AC30971}" srcOrd="17" destOrd="0" presId="urn:microsoft.com/office/officeart/2009/3/layout/RandomtoResultProcess#1"/>
    <dgm:cxn modelId="{1EA33A48-FA14-4C05-B8BA-1E67EA9FD86E}" type="presParOf" srcId="{52E6E309-4F5E-48F5-A405-040612611777}" destId="{0D82E643-DE5F-4AA9-830D-BC381AC4796A}" srcOrd="18" destOrd="0" presId="urn:microsoft.com/office/officeart/2009/3/layout/RandomtoResultProcess#1"/>
    <dgm:cxn modelId="{5573759E-6ADC-4C00-B435-7539D573730B}" type="presParOf" srcId="{9E205514-E2E6-416D-92FD-FFB8BB55E4E7}" destId="{E38B9F35-893B-4341-A8A4-6446ACF57566}" srcOrd="1" destOrd="0" presId="urn:microsoft.com/office/officeart/2009/3/layout/RandomtoResultProcess#1"/>
    <dgm:cxn modelId="{8F1F55E0-1ECA-4BDF-9BAA-CCEB105BEBF3}" type="presParOf" srcId="{E38B9F35-893B-4341-A8A4-6446ACF57566}" destId="{4ABB80AC-F8BA-43D3-9FF3-F6F37220159C}" srcOrd="0" destOrd="0" presId="urn:microsoft.com/office/officeart/2009/3/layout/RandomtoResultProcess#1"/>
    <dgm:cxn modelId="{6FCD1E48-EA05-4E69-8844-3DEF145046DD}" type="presParOf" srcId="{E38B9F35-893B-4341-A8A4-6446ACF57566}" destId="{F41FEA2D-D598-4706-9670-D60F59332863}" srcOrd="1" destOrd="0" presId="urn:microsoft.com/office/officeart/2009/3/layout/RandomtoResultProcess#1"/>
    <dgm:cxn modelId="{78FA777D-21D0-4698-B617-F1AAABBF2977}" type="presParOf" srcId="{9E205514-E2E6-416D-92FD-FFB8BB55E4E7}" destId="{6FEC2822-B611-4F44-969C-9E5EF4C0935B}" srcOrd="2" destOrd="0" presId="urn:microsoft.com/office/officeart/2009/3/layout/RandomtoResultProcess#1"/>
    <dgm:cxn modelId="{244991C2-8029-4793-8A96-8EC27FE879EF}" type="presParOf" srcId="{6FEC2822-B611-4F44-969C-9E5EF4C0935B}" destId="{A418A960-501E-4196-ADB6-C6EA4E47EA8D}" srcOrd="0" destOrd="0" presId="urn:microsoft.com/office/officeart/2009/3/layout/RandomtoResultProcess#1"/>
    <dgm:cxn modelId="{788FFFE9-4A11-4180-9DE8-B525A3A09BCE}" type="presParOf" srcId="{6FEC2822-B611-4F44-969C-9E5EF4C0935B}" destId="{403DCA5D-07D4-43B2-A354-905835843C63}" srcOrd="1" destOrd="0" presId="urn:microsoft.com/office/officeart/2009/3/layout/RandomtoResultProcess#1"/>
    <dgm:cxn modelId="{E5E360E7-A2FF-489E-93E9-5BCDA5879A0E}" type="presParOf" srcId="{9E205514-E2E6-416D-92FD-FFB8BB55E4E7}" destId="{6D079647-8C80-44FF-82DA-8B74430E899E}" srcOrd="3" destOrd="0" presId="urn:microsoft.com/office/officeart/2009/3/layout/RandomtoResultProcess#1"/>
    <dgm:cxn modelId="{3916BCAE-BAD6-44F6-8AB2-88E23C931FA7}" type="presParOf" srcId="{6D079647-8C80-44FF-82DA-8B74430E899E}" destId="{A9019D1B-B1F4-4136-A199-275CC7AA023C}" srcOrd="0" destOrd="0" presId="urn:microsoft.com/office/officeart/2009/3/layout/RandomtoResultProcess#1"/>
    <dgm:cxn modelId="{F3B5E9A3-19BC-47AC-8AE4-8EB9E3EA1D82}" type="presParOf" srcId="{6D079647-8C80-44FF-82DA-8B74430E899E}" destId="{2B7A4E29-5EDF-4AA3-A646-32246511AA0D}" srcOrd="1" destOrd="0" presId="urn:microsoft.com/office/officeart/2009/3/layout/RandomtoResultProcess#1"/>
    <dgm:cxn modelId="{F85C4774-F339-4356-A573-17A370465D29}" type="presParOf" srcId="{9E205514-E2E6-416D-92FD-FFB8BB55E4E7}" destId="{B972A84D-AF4F-487E-AF41-5311E31144EA}" srcOrd="4" destOrd="0" presId="urn:microsoft.com/office/officeart/2009/3/layout/RandomtoResultProcess#1"/>
    <dgm:cxn modelId="{C541443D-1359-4274-9AE1-DFBEED80B92B}" type="presParOf" srcId="{B972A84D-AF4F-487E-AF41-5311E31144EA}" destId="{7B35F8B0-F13F-4020-93B7-E245E9B47619}" srcOrd="0" destOrd="0" presId="urn:microsoft.com/office/officeart/2009/3/layout/RandomtoResultProcess#1"/>
    <dgm:cxn modelId="{CEF3CD28-1A02-4BD2-A97E-1466C723DE35}" type="presParOf" srcId="{B972A84D-AF4F-487E-AF41-5311E31144EA}" destId="{54F60D9A-103C-4DDB-85EE-C204EBC84241}" srcOrd="1" destOrd="0" presId="urn:microsoft.com/office/officeart/2009/3/layout/RandomtoResultProcess#1"/>
    <dgm:cxn modelId="{EEF864E0-BBA0-41C6-81C6-6B63669DC954}" type="presParOf" srcId="{9E205514-E2E6-416D-92FD-FFB8BB55E4E7}" destId="{CD0E899B-1FCD-4D1F-9FEC-0CD22363A86A}" srcOrd="5" destOrd="0" presId="urn:microsoft.com/office/officeart/2009/3/layout/RandomtoResultProcess#1"/>
    <dgm:cxn modelId="{E29E4CC8-B321-4FCE-AB96-06DABA3B4D1E}" type="presParOf" srcId="{CD0E899B-1FCD-4D1F-9FEC-0CD22363A86A}" destId="{EB0AED9F-54A2-428A-921B-EF72E727EAF0}" srcOrd="0" destOrd="0" presId="urn:microsoft.com/office/officeart/2009/3/layout/RandomtoResultProcess#1"/>
    <dgm:cxn modelId="{C19C4FA6-9C03-4B06-AFD5-607ABDB7D152}" type="presParOf" srcId="{CD0E899B-1FCD-4D1F-9FEC-0CD22363A86A}" destId="{7F8E85F4-2788-4913-905C-F316916E4D72}" srcOrd="1" destOrd="0" presId="urn:microsoft.com/office/officeart/2009/3/layout/RandomtoResultProcess#1"/>
    <dgm:cxn modelId="{86B6B065-E305-4243-994A-038175CFFE11}" type="presParOf" srcId="{9E205514-E2E6-416D-92FD-FFB8BB55E4E7}" destId="{70C7C86A-20E6-4A5E-8E72-BBE39E283B49}" srcOrd="6" destOrd="0" presId="urn:microsoft.com/office/officeart/2009/3/layout/RandomtoResultProcess#1"/>
    <dgm:cxn modelId="{703346D6-3DCA-4426-87BF-4D305B38E024}" type="presParOf" srcId="{70C7C86A-20E6-4A5E-8E72-BBE39E283B49}" destId="{3D07D381-163C-414E-AEAA-7431DDD42970}" srcOrd="0" destOrd="0" presId="urn:microsoft.com/office/officeart/2009/3/layout/RandomtoResultProcess#1"/>
    <dgm:cxn modelId="{DC7FB41D-97C3-462C-88EB-F1896384994C}" type="presParOf" srcId="{70C7C86A-20E6-4A5E-8E72-BBE39E283B49}" destId="{BA95B733-4C15-4F13-9DF9-E807134ACA3C}" srcOrd="1" destOrd="0" presId="urn:microsoft.com/office/officeart/2009/3/layout/RandomtoResultProcess#1"/>
    <dgm:cxn modelId="{0C4F9B3F-57D2-436D-9DF8-27685C298BB0}" type="presParOf" srcId="{9E205514-E2E6-416D-92FD-FFB8BB55E4E7}" destId="{3560EAC0-CF8E-4303-B6E1-000C9A73E587}" srcOrd="7" destOrd="0" presId="urn:microsoft.com/office/officeart/2009/3/layout/RandomtoResultProcess#1"/>
    <dgm:cxn modelId="{B1287C55-AC91-4F3B-9A6E-49A6B36B2519}" type="presParOf" srcId="{3560EAC0-CF8E-4303-B6E1-000C9A73E587}" destId="{E2A654B5-CDD6-410D-8DF4-27DFC14B9A6E}" srcOrd="0" destOrd="0" presId="urn:microsoft.com/office/officeart/2009/3/layout/RandomtoResultProcess#1"/>
    <dgm:cxn modelId="{F6D7B701-D7F5-446C-BC90-F271DEB7856D}" type="presParOf" srcId="{3560EAC0-CF8E-4303-B6E1-000C9A73E587}" destId="{FB25A8E5-A643-4551-B2D6-05DA35E7DEA3}" srcOrd="1" destOrd="0" presId="urn:microsoft.com/office/officeart/2009/3/layout/RandomtoResultProcess#1"/>
    <dgm:cxn modelId="{62BA2DE0-68A2-4C66-9C40-C8988C080BFF}" type="presParOf" srcId="{9E205514-E2E6-416D-92FD-FFB8BB55E4E7}" destId="{6F1FD22C-AE35-4FCE-BC13-022CEFACC4F4}" srcOrd="8" destOrd="0" presId="urn:microsoft.com/office/officeart/2009/3/layout/RandomtoResultProcess#1"/>
    <dgm:cxn modelId="{165CF26F-0781-4059-AED4-3C101AB73EF9}" type="presParOf" srcId="{6F1FD22C-AE35-4FCE-BC13-022CEFACC4F4}" destId="{7D227C6C-3508-4A18-8187-D071BDB4C285}" srcOrd="0" destOrd="0" presId="urn:microsoft.com/office/officeart/2009/3/layout/RandomtoResultProcess#1"/>
    <dgm:cxn modelId="{A10804FA-50F4-402A-A023-8107D20FFB9F}" type="presParOf" srcId="{6F1FD22C-AE35-4FCE-BC13-022CEFACC4F4}" destId="{17DDD762-8960-4982-8767-31BB98054337}" srcOrd="1" destOrd="0" presId="urn:microsoft.com/office/officeart/2009/3/layout/RandomtoResultProcess#1"/>
    <dgm:cxn modelId="{9F463AC7-1BB2-452D-9E86-E43CFBC764D3}" type="presParOf" srcId="{9E205514-E2E6-416D-92FD-FFB8BB55E4E7}" destId="{5E9E7408-C1F5-407D-A8A6-0C8E64F8187E}" srcOrd="9" destOrd="0" presId="urn:microsoft.com/office/officeart/2009/3/layout/RandomtoResultProcess#1"/>
    <dgm:cxn modelId="{7210D427-4070-44E6-A4F8-646BDEA7BE11}" type="presParOf" srcId="{5E9E7408-C1F5-407D-A8A6-0C8E64F8187E}" destId="{5D2B0256-0346-474D-BA59-F3543BF3C46E}" srcOrd="0" destOrd="0" presId="urn:microsoft.com/office/officeart/2009/3/layout/RandomtoResultProcess#1"/>
    <dgm:cxn modelId="{94AA1325-C7EE-4A5F-A8C3-DEB44FEB4A66}" type="presParOf" srcId="{5E9E7408-C1F5-407D-A8A6-0C8E64F8187E}" destId="{D2F6D648-A134-4461-9BA8-8E7150C071E7}" srcOrd="1" destOrd="0" presId="urn:microsoft.com/office/officeart/2009/3/layout/RandomtoResultProcess#1"/>
    <dgm:cxn modelId="{49654EB4-9FAC-40F4-B474-EE2473F8CF37}" type="presParOf" srcId="{9E205514-E2E6-416D-92FD-FFB8BB55E4E7}" destId="{15E14E09-AFE4-48E2-A82A-E11286C3175E}" srcOrd="10" destOrd="0" presId="urn:microsoft.com/office/officeart/2009/3/layout/RandomtoResultProcess#1"/>
    <dgm:cxn modelId="{7F48DEF5-3140-4A43-AA5F-DC14D72D9575}" type="presParOf" srcId="{15E14E09-AFE4-48E2-A82A-E11286C3175E}" destId="{6C86D744-2A89-41E0-9ECB-62CE5462301A}" srcOrd="0" destOrd="0" presId="urn:microsoft.com/office/officeart/2009/3/layout/RandomtoResultProcess#1"/>
    <dgm:cxn modelId="{B99FF11F-1BF0-4A39-8E5A-F26765EEEDE0}" type="presParOf" srcId="{15E14E09-AFE4-48E2-A82A-E11286C3175E}" destId="{37B9AFCA-A3B0-4E76-90EC-5C0F020B1C48}" srcOrd="1" destOrd="0" presId="urn:microsoft.com/office/officeart/2009/3/layout/RandomtoResultProcess#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7B72B6-BE69-4BBA-BF2E-2392ED7E2FEF}">
      <dsp:nvSpPr>
        <dsp:cNvPr id="0" name=""/>
        <dsp:cNvSpPr/>
      </dsp:nvSpPr>
      <dsp:spPr>
        <a:xfrm>
          <a:off x="64193" y="510857"/>
          <a:ext cx="917785" cy="1665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rtl="1">
            <a:lnSpc>
              <a:spcPct val="90000"/>
            </a:lnSpc>
            <a:spcBef>
              <a:spcPct val="0"/>
            </a:spcBef>
            <a:spcAft>
              <a:spcPct val="35000"/>
            </a:spcAft>
            <a:buNone/>
          </a:pPr>
          <a:r>
            <a:rPr lang="he-IL" sz="8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בדיקת התאמה</a:t>
          </a:r>
          <a:r>
            <a:rPr lang="he-IL" sz="1100" b="1" kern="1200" baseline="300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(א)</a:t>
          </a:r>
          <a:r>
            <a:rPr lang="he-IL" sz="9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a:t>
          </a:r>
          <a:r>
            <a:rPr lang="he-IL" sz="8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והחלטה על מבנה העסקה</a:t>
          </a:r>
        </a:p>
      </dsp:txBody>
      <dsp:txXfrm>
        <a:off x="64193" y="510857"/>
        <a:ext cx="917785" cy="166571"/>
      </dsp:txXfrm>
    </dsp:sp>
    <dsp:sp modelId="{0F2F73DB-3511-4728-969A-4D94D6A4A2C0}">
      <dsp:nvSpPr>
        <dsp:cNvPr id="0" name=""/>
        <dsp:cNvSpPr/>
      </dsp:nvSpPr>
      <dsp:spPr>
        <a:xfrm>
          <a:off x="2067289" y="212392"/>
          <a:ext cx="56638" cy="56638"/>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477993B-2BA7-47E0-9EF7-D4A4C7F310EF}">
      <dsp:nvSpPr>
        <dsp:cNvPr id="0" name=""/>
        <dsp:cNvSpPr/>
      </dsp:nvSpPr>
      <dsp:spPr>
        <a:xfrm>
          <a:off x="4368065" y="172012"/>
          <a:ext cx="56638" cy="56638"/>
        </a:xfrm>
        <a:prstGeom prst="ellipse">
          <a:avLst/>
        </a:prstGeom>
        <a:solidFill>
          <a:srgbClr val="8064A2">
            <a:hueOff val="-248043"/>
            <a:satOff val="1494"/>
            <a:lumOff val="12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6B7A084-26B7-416C-8B23-02D02AE19F2B}">
      <dsp:nvSpPr>
        <dsp:cNvPr id="0" name=""/>
        <dsp:cNvSpPr/>
      </dsp:nvSpPr>
      <dsp:spPr>
        <a:xfrm>
          <a:off x="1846367" y="150103"/>
          <a:ext cx="89003" cy="89003"/>
        </a:xfrm>
        <a:prstGeom prst="ellipse">
          <a:avLst/>
        </a:prstGeom>
        <a:solidFill>
          <a:srgbClr val="8064A2">
            <a:hueOff val="-496086"/>
            <a:satOff val="2989"/>
            <a:lumOff val="24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7A3ADF0-CB29-4F3A-8B07-D1A355A3C4FA}">
      <dsp:nvSpPr>
        <dsp:cNvPr id="0" name=""/>
        <dsp:cNvSpPr/>
      </dsp:nvSpPr>
      <dsp:spPr>
        <a:xfrm>
          <a:off x="2614629" y="186004"/>
          <a:ext cx="56638" cy="56638"/>
        </a:xfrm>
        <a:prstGeom prst="ellipse">
          <a:avLst/>
        </a:prstGeom>
        <a:solidFill>
          <a:srgbClr val="8064A2">
            <a:hueOff val="-744128"/>
            <a:satOff val="4483"/>
            <a:lumOff val="35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08B0887-4E41-483A-BEB9-696C592E57B6}">
      <dsp:nvSpPr>
        <dsp:cNvPr id="0" name=""/>
        <dsp:cNvSpPr/>
      </dsp:nvSpPr>
      <dsp:spPr>
        <a:xfrm>
          <a:off x="2433770" y="208312"/>
          <a:ext cx="56638" cy="56638"/>
        </a:xfrm>
        <a:prstGeom prst="ellipse">
          <a:avLst/>
        </a:prstGeom>
        <a:solidFill>
          <a:srgbClr val="8064A2">
            <a:hueOff val="-992171"/>
            <a:satOff val="5978"/>
            <a:lumOff val="47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4F25AC0-6F3D-4DC4-B58F-7327CC10EA14}">
      <dsp:nvSpPr>
        <dsp:cNvPr id="0" name=""/>
        <dsp:cNvSpPr/>
      </dsp:nvSpPr>
      <dsp:spPr>
        <a:xfrm>
          <a:off x="3123754" y="224058"/>
          <a:ext cx="56638" cy="56638"/>
        </a:xfrm>
        <a:prstGeom prst="ellipse">
          <a:avLst/>
        </a:prstGeom>
        <a:solidFill>
          <a:srgbClr val="8064A2">
            <a:hueOff val="-1240214"/>
            <a:satOff val="7472"/>
            <a:lumOff val="59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B6A2EF6-78C1-49CF-81CF-5AD5A49E44EA}">
      <dsp:nvSpPr>
        <dsp:cNvPr id="0" name=""/>
        <dsp:cNvSpPr/>
      </dsp:nvSpPr>
      <dsp:spPr>
        <a:xfrm>
          <a:off x="3876649" y="190187"/>
          <a:ext cx="89003" cy="89003"/>
        </a:xfrm>
        <a:prstGeom prst="ellipse">
          <a:avLst/>
        </a:prstGeom>
        <a:solidFill>
          <a:srgbClr val="8064A2">
            <a:hueOff val="-1488257"/>
            <a:satOff val="8966"/>
            <a:lumOff val="71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E7FC897-F619-4345-AD1C-F7A21CE852F9}">
      <dsp:nvSpPr>
        <dsp:cNvPr id="0" name=""/>
        <dsp:cNvSpPr/>
      </dsp:nvSpPr>
      <dsp:spPr>
        <a:xfrm>
          <a:off x="3286545" y="209891"/>
          <a:ext cx="56638" cy="56638"/>
        </a:xfrm>
        <a:prstGeom prst="ellipse">
          <a:avLst/>
        </a:prstGeom>
        <a:solidFill>
          <a:srgbClr val="8064A2">
            <a:hueOff val="-1736299"/>
            <a:satOff val="10461"/>
            <a:lumOff val="83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C449649-5F81-4148-97CE-AAD208D6989A}">
      <dsp:nvSpPr>
        <dsp:cNvPr id="0" name=""/>
        <dsp:cNvSpPr/>
      </dsp:nvSpPr>
      <dsp:spPr>
        <a:xfrm>
          <a:off x="2759226" y="197869"/>
          <a:ext cx="56638" cy="56638"/>
        </a:xfrm>
        <a:prstGeom prst="ellipse">
          <a:avLst/>
        </a:prstGeom>
        <a:solidFill>
          <a:srgbClr val="8064A2">
            <a:hueOff val="-1984342"/>
            <a:satOff val="11955"/>
            <a:lumOff val="95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CECCEEA-5DB0-47B7-B789-792B9CF43CAE}">
      <dsp:nvSpPr>
        <dsp:cNvPr id="0" name=""/>
        <dsp:cNvSpPr/>
      </dsp:nvSpPr>
      <dsp:spPr>
        <a:xfrm>
          <a:off x="1374333" y="124350"/>
          <a:ext cx="145641" cy="145641"/>
        </a:xfrm>
        <a:prstGeom prst="ellipse">
          <a:avLst/>
        </a:prstGeom>
        <a:solidFill>
          <a:srgbClr val="8064A2">
            <a:hueOff val="-2232385"/>
            <a:satOff val="13449"/>
            <a:lumOff val="107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37F8105-F478-4776-852A-0AE7EFE401AA}">
      <dsp:nvSpPr>
        <dsp:cNvPr id="0" name=""/>
        <dsp:cNvSpPr/>
      </dsp:nvSpPr>
      <dsp:spPr>
        <a:xfrm>
          <a:off x="1628087" y="200165"/>
          <a:ext cx="56638" cy="56638"/>
        </a:xfrm>
        <a:prstGeom prst="ellipse">
          <a:avLst/>
        </a:prstGeom>
        <a:solidFill>
          <a:srgbClr val="8064A2">
            <a:hueOff val="-2480428"/>
            <a:satOff val="14944"/>
            <a:lumOff val="119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EE09A47-F665-4DEC-95BD-4324821009C4}">
      <dsp:nvSpPr>
        <dsp:cNvPr id="0" name=""/>
        <dsp:cNvSpPr/>
      </dsp:nvSpPr>
      <dsp:spPr>
        <a:xfrm>
          <a:off x="802858" y="157195"/>
          <a:ext cx="89003" cy="89003"/>
        </a:xfrm>
        <a:prstGeom prst="ellipse">
          <a:avLst/>
        </a:prstGeom>
        <a:solidFill>
          <a:srgbClr val="8064A2">
            <a:hueOff val="-2728470"/>
            <a:satOff val="16438"/>
            <a:lumOff val="131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68BAB6B-D0DF-464F-9DD7-B4DDF297BB7A}">
      <dsp:nvSpPr>
        <dsp:cNvPr id="0" name=""/>
        <dsp:cNvSpPr/>
      </dsp:nvSpPr>
      <dsp:spPr>
        <a:xfrm rot="9715795">
          <a:off x="2886256" y="160848"/>
          <a:ext cx="129459" cy="129459"/>
        </a:xfrm>
        <a:prstGeom prst="ellipse">
          <a:avLst/>
        </a:prstGeom>
        <a:solidFill>
          <a:srgbClr val="8064A2">
            <a:hueOff val="-2976513"/>
            <a:satOff val="17933"/>
            <a:lumOff val="143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1BAC325-87AC-4E87-A90E-78763690E314}">
      <dsp:nvSpPr>
        <dsp:cNvPr id="0" name=""/>
        <dsp:cNvSpPr/>
      </dsp:nvSpPr>
      <dsp:spPr>
        <a:xfrm>
          <a:off x="3398444" y="217651"/>
          <a:ext cx="56638" cy="56638"/>
        </a:xfrm>
        <a:prstGeom prst="ellipse">
          <a:avLst/>
        </a:prstGeom>
        <a:solidFill>
          <a:srgbClr val="8064A2">
            <a:hueOff val="-3224556"/>
            <a:satOff val="19427"/>
            <a:lumOff val="155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2845F2E-D2A8-4250-A67B-313EE6B8BE54}">
      <dsp:nvSpPr>
        <dsp:cNvPr id="0" name=""/>
        <dsp:cNvSpPr/>
      </dsp:nvSpPr>
      <dsp:spPr>
        <a:xfrm>
          <a:off x="3596334" y="202941"/>
          <a:ext cx="89003" cy="89003"/>
        </a:xfrm>
        <a:prstGeom prst="ellipse">
          <a:avLst/>
        </a:prstGeom>
        <a:solidFill>
          <a:srgbClr val="8064A2">
            <a:hueOff val="-3472599"/>
            <a:satOff val="20921"/>
            <a:lumOff val="167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2890CED-98F0-4ED0-B412-0B6DF470FE0A}">
      <dsp:nvSpPr>
        <dsp:cNvPr id="0" name=""/>
        <dsp:cNvSpPr/>
      </dsp:nvSpPr>
      <dsp:spPr>
        <a:xfrm>
          <a:off x="1080031" y="191008"/>
          <a:ext cx="56638" cy="56638"/>
        </a:xfrm>
        <a:prstGeom prst="ellipse">
          <a:avLst/>
        </a:prstGeom>
        <a:solidFill>
          <a:srgbClr val="8064A2">
            <a:hueOff val="-3720641"/>
            <a:satOff val="22416"/>
            <a:lumOff val="179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A2AE2A6-74F8-48FF-874C-4DDD5AC30971}">
      <dsp:nvSpPr>
        <dsp:cNvPr id="0" name=""/>
        <dsp:cNvSpPr/>
      </dsp:nvSpPr>
      <dsp:spPr>
        <a:xfrm>
          <a:off x="2207040" y="164972"/>
          <a:ext cx="129459" cy="129459"/>
        </a:xfrm>
        <a:prstGeom prst="ellipse">
          <a:avLst/>
        </a:prstGeom>
        <a:solidFill>
          <a:srgbClr val="8064A2">
            <a:hueOff val="-3968684"/>
            <a:satOff val="23910"/>
            <a:lumOff val="191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D82E643-DE5F-4AA9-830D-BC381AC4796A}">
      <dsp:nvSpPr>
        <dsp:cNvPr id="0" name=""/>
        <dsp:cNvSpPr/>
      </dsp:nvSpPr>
      <dsp:spPr>
        <a:xfrm>
          <a:off x="4110494" y="192774"/>
          <a:ext cx="89003" cy="89003"/>
        </a:xfrm>
        <a:prstGeom prst="ellipse">
          <a:avLst/>
        </a:prstGeom>
        <a:solidFill>
          <a:srgbClr val="8064A2">
            <a:hueOff val="-4216727"/>
            <a:satOff val="25405"/>
            <a:lumOff val="203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ABB80AC-F8BA-43D3-9FF3-F6F37220159C}">
      <dsp:nvSpPr>
        <dsp:cNvPr id="0" name=""/>
        <dsp:cNvSpPr/>
      </dsp:nvSpPr>
      <dsp:spPr>
        <a:xfrm>
          <a:off x="921912" y="335637"/>
          <a:ext cx="261773" cy="501177"/>
        </a:xfrm>
        <a:prstGeom prst="chevron">
          <a:avLst>
            <a:gd name="adj" fmla="val 62310"/>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418A960-501E-4196-ADB6-C6EA4E47EA8D}">
      <dsp:nvSpPr>
        <dsp:cNvPr id="0" name=""/>
        <dsp:cNvSpPr/>
      </dsp:nvSpPr>
      <dsp:spPr>
        <a:xfrm>
          <a:off x="1183686" y="339444"/>
          <a:ext cx="713928" cy="4997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rtl="1">
            <a:lnSpc>
              <a:spcPct val="90000"/>
            </a:lnSpc>
            <a:spcBef>
              <a:spcPct val="0"/>
            </a:spcBef>
            <a:spcAft>
              <a:spcPct val="35000"/>
            </a:spcAft>
            <a:buNone/>
          </a:pPr>
          <a:r>
            <a:rPr lang="he-IL" sz="8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מיון מוקדם</a:t>
          </a:r>
          <a:r>
            <a:rPr lang="he-IL" sz="1100" b="1" kern="1200" baseline="300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(ב)</a:t>
          </a:r>
          <a:r>
            <a:rPr lang="he-IL" sz="11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a:t>
          </a:r>
          <a:endParaRPr lang="he-IL" sz="8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endParaRPr>
        </a:p>
        <a:p>
          <a:pPr marL="0" lvl="0" indent="0" algn="ctr" defTabSz="355600" rtl="1">
            <a:lnSpc>
              <a:spcPct val="90000"/>
            </a:lnSpc>
            <a:spcBef>
              <a:spcPct val="0"/>
            </a:spcBef>
            <a:spcAft>
              <a:spcPct val="35000"/>
            </a:spcAft>
            <a:buNone/>
          </a:pPr>
          <a:r>
            <a:rPr lang="en-US" sz="8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PQ </a:t>
          </a:r>
        </a:p>
        <a:p>
          <a:pPr marL="0" lvl="0" indent="0" algn="ctr" defTabSz="355600" rtl="1">
            <a:lnSpc>
              <a:spcPct val="90000"/>
            </a:lnSpc>
            <a:spcBef>
              <a:spcPct val="0"/>
            </a:spcBef>
            <a:spcAft>
              <a:spcPct val="35000"/>
            </a:spcAft>
            <a:buNone/>
          </a:pPr>
          <a:r>
            <a:rPr lang="en-US" sz="7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(Pre-Qualification)</a:t>
          </a:r>
          <a:endParaRPr lang="he-IL" sz="7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endParaRPr>
        </a:p>
      </dsp:txBody>
      <dsp:txXfrm>
        <a:off x="1183686" y="339444"/>
        <a:ext cx="713928" cy="499749"/>
      </dsp:txXfrm>
    </dsp:sp>
    <dsp:sp modelId="{A9019D1B-B1F4-4136-A199-275CC7AA023C}">
      <dsp:nvSpPr>
        <dsp:cNvPr id="0" name=""/>
        <dsp:cNvSpPr/>
      </dsp:nvSpPr>
      <dsp:spPr>
        <a:xfrm>
          <a:off x="1897615" y="335637"/>
          <a:ext cx="261773" cy="501177"/>
        </a:xfrm>
        <a:prstGeom prst="chevron">
          <a:avLst>
            <a:gd name="adj" fmla="val 62310"/>
          </a:avLst>
        </a:prstGeom>
        <a:solidFill>
          <a:srgbClr val="8064A2">
            <a:hueOff val="-1116192"/>
            <a:satOff val="6725"/>
            <a:lumOff val="539"/>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B35F8B0-F13F-4020-93B7-E245E9B47619}">
      <dsp:nvSpPr>
        <dsp:cNvPr id="0" name=""/>
        <dsp:cNvSpPr/>
      </dsp:nvSpPr>
      <dsp:spPr>
        <a:xfrm>
          <a:off x="2159388" y="339444"/>
          <a:ext cx="529792" cy="4997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rtl="1">
            <a:lnSpc>
              <a:spcPct val="90000"/>
            </a:lnSpc>
            <a:spcBef>
              <a:spcPct val="0"/>
            </a:spcBef>
            <a:spcAft>
              <a:spcPct val="35000"/>
            </a:spcAft>
            <a:buNone/>
          </a:pPr>
          <a:r>
            <a:rPr lang="he-IL" sz="8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פרסום המכרז ובחירה בזוכה</a:t>
          </a:r>
        </a:p>
      </dsp:txBody>
      <dsp:txXfrm>
        <a:off x="2159388" y="339444"/>
        <a:ext cx="529792" cy="499749"/>
      </dsp:txXfrm>
    </dsp:sp>
    <dsp:sp modelId="{EB0AED9F-54A2-428A-921B-EF72E727EAF0}">
      <dsp:nvSpPr>
        <dsp:cNvPr id="0" name=""/>
        <dsp:cNvSpPr/>
      </dsp:nvSpPr>
      <dsp:spPr>
        <a:xfrm>
          <a:off x="2689181" y="335637"/>
          <a:ext cx="261773" cy="501177"/>
        </a:xfrm>
        <a:prstGeom prst="chevron">
          <a:avLst>
            <a:gd name="adj" fmla="val 62310"/>
          </a:avLst>
        </a:prstGeom>
        <a:solidFill>
          <a:srgbClr val="8064A2">
            <a:hueOff val="-2232385"/>
            <a:satOff val="13449"/>
            <a:lumOff val="1078"/>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D07D381-163C-414E-AEAA-7431DDD42970}">
      <dsp:nvSpPr>
        <dsp:cNvPr id="0" name=""/>
        <dsp:cNvSpPr/>
      </dsp:nvSpPr>
      <dsp:spPr>
        <a:xfrm>
          <a:off x="2950954" y="339444"/>
          <a:ext cx="585278" cy="4997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rtl="1">
            <a:lnSpc>
              <a:spcPct val="90000"/>
            </a:lnSpc>
            <a:spcBef>
              <a:spcPct val="0"/>
            </a:spcBef>
            <a:spcAft>
              <a:spcPct val="35000"/>
            </a:spcAft>
            <a:buNone/>
          </a:pPr>
          <a:r>
            <a:rPr lang="he-IL" sz="8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סגירה פיננסית</a:t>
          </a:r>
          <a:r>
            <a:rPr lang="he-IL" sz="1100" b="1" kern="1200" baseline="300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(ג)</a:t>
          </a:r>
          <a:endParaRPr lang="he-IL" sz="8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endParaRPr>
        </a:p>
      </dsp:txBody>
      <dsp:txXfrm>
        <a:off x="2950954" y="339444"/>
        <a:ext cx="585278" cy="499749"/>
      </dsp:txXfrm>
    </dsp:sp>
    <dsp:sp modelId="{E2A654B5-CDD6-410D-8DF4-27DFC14B9A6E}">
      <dsp:nvSpPr>
        <dsp:cNvPr id="0" name=""/>
        <dsp:cNvSpPr/>
      </dsp:nvSpPr>
      <dsp:spPr>
        <a:xfrm>
          <a:off x="3536233" y="335637"/>
          <a:ext cx="261773" cy="501177"/>
        </a:xfrm>
        <a:prstGeom prst="chevron">
          <a:avLst>
            <a:gd name="adj" fmla="val 62310"/>
          </a:avLst>
        </a:prstGeom>
        <a:solidFill>
          <a:srgbClr val="8064A2">
            <a:hueOff val="-3348577"/>
            <a:satOff val="20174"/>
            <a:lumOff val="1617"/>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D227C6C-3508-4A18-8187-D071BDB4C285}">
      <dsp:nvSpPr>
        <dsp:cNvPr id="0" name=""/>
        <dsp:cNvSpPr/>
      </dsp:nvSpPr>
      <dsp:spPr>
        <a:xfrm>
          <a:off x="3798007" y="339444"/>
          <a:ext cx="495302" cy="4997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rtl="1">
            <a:lnSpc>
              <a:spcPct val="90000"/>
            </a:lnSpc>
            <a:spcBef>
              <a:spcPct val="0"/>
            </a:spcBef>
            <a:spcAft>
              <a:spcPct val="35000"/>
            </a:spcAft>
            <a:buNone/>
          </a:pPr>
          <a:r>
            <a:rPr lang="he-IL" sz="8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חתימה על הסכם זיכיון</a:t>
          </a:r>
        </a:p>
      </dsp:txBody>
      <dsp:txXfrm>
        <a:off x="3798007" y="339444"/>
        <a:ext cx="495302" cy="499749"/>
      </dsp:txXfrm>
    </dsp:sp>
    <dsp:sp modelId="{5D2B0256-0346-474D-BA59-F3543BF3C46E}">
      <dsp:nvSpPr>
        <dsp:cNvPr id="0" name=""/>
        <dsp:cNvSpPr/>
      </dsp:nvSpPr>
      <dsp:spPr>
        <a:xfrm>
          <a:off x="4293309" y="335637"/>
          <a:ext cx="261773" cy="501177"/>
        </a:xfrm>
        <a:prstGeom prst="chevron">
          <a:avLst>
            <a:gd name="adj" fmla="val 62310"/>
          </a:avLst>
        </a:prstGeom>
        <a:solidFill>
          <a:srgbClr val="8064A2">
            <a:hueOff val="-4464770"/>
            <a:satOff val="26899"/>
            <a:lumOff val="2156"/>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C86D744-2A89-41E0-9ECB-62CE5462301A}">
      <dsp:nvSpPr>
        <dsp:cNvPr id="0" name=""/>
        <dsp:cNvSpPr/>
      </dsp:nvSpPr>
      <dsp:spPr>
        <a:xfrm>
          <a:off x="4583640" y="297751"/>
          <a:ext cx="606839" cy="606839"/>
        </a:xfrm>
        <a:prstGeom prst="ellipse">
          <a:avLst/>
        </a:prstGeo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r>
            <a:rPr lang="he-IL" sz="800" b="1" kern="1200">
              <a:solidFill>
                <a:sysClr val="windowText" lastClr="000000"/>
              </a:solidFill>
              <a:latin typeface="David" panose="020E0502060401010101" pitchFamily="34" charset="-79"/>
              <a:ea typeface="+mn-ea"/>
              <a:cs typeface="David" panose="020E0502060401010101" pitchFamily="34" charset="-79"/>
            </a:rPr>
            <a:t>הקמת הפרויקט ותפעולו </a:t>
          </a:r>
        </a:p>
      </dsp:txBody>
      <dsp:txXfrm>
        <a:off x="4672510" y="386621"/>
        <a:ext cx="429099" cy="429099"/>
      </dsp:txXfrm>
    </dsp:sp>
  </dsp:spTree>
</dsp:drawing>
</file>

<file path=word/diagrams/layout1.xml><?xml version="1.0" encoding="utf-8"?>
<dgm:layoutDef xmlns:dgm="http://schemas.openxmlformats.org/drawingml/2006/diagram" xmlns:a="http://schemas.openxmlformats.org/drawingml/2006/main" uniqueId="urn:microsoft.com/office/officeart/2009/3/layout/RandomtoResultProcess#1">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linDir" val="fromR"/>
          <dgm:param type="nodeVertAlign" val="t"/>
        </dgm:alg>
      </dgm:else>
    </dgm:choose>
    <dgm:shape xmlns:r="http://schemas.openxmlformats.org/officeDocument/2006/relationships" r:blip="">
      <dgm:adjLst/>
    </dgm:shape>
    <dgm:constrLst>
      <dgm:constr type="userH" refType="h" fact="2"/>
      <dgm:constr type="w" for="ch" forName="chaos" refType="userH" fact="0.68"/>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2"/>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
                  </dgm:adjLst>
                </dgm:shape>
              </dgm:if>
              <dgm:else name="Name30">
                <dgm:shape xmlns:r="http://schemas.openxmlformats.org/officeDocument/2006/relationships" rot="180" type="chevron" r:blip="">
                  <dgm:adjLst>
                    <dgm:adj idx="1" val="0.62"/>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
                      </dgm:adjLst>
                    </dgm:shape>
                  </dgm:if>
                  <dgm:else name="Name35">
                    <dgm:shape xmlns:r="http://schemas.openxmlformats.org/officeDocument/2006/relationships" rot="180" type="chevron" r:blip="">
                      <dgm:adjLst>
                        <dgm:adj idx="1" val="0.62"/>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4AA17FE-A9B7-4B7D-8575-0B11BF64A761}">
  <ds:schemaRefs>
    <ds:schemaRef ds:uri="http://schemas.openxmlformats.org/officeDocument/2006/bibliography"/>
  </ds:schemaRefs>
</ds:datastoreItem>
</file>

<file path=customXml/itemProps2.xml><?xml version="1.0" encoding="utf-8"?>
<ds:datastoreItem xmlns:ds="http://schemas.openxmlformats.org/officeDocument/2006/customXml" ds:itemID="{9EE04CCC-7A85-4C78-AE76-AA8DAA07C116}"/>
</file>

<file path=customXml/itemProps3.xml><?xml version="1.0" encoding="utf-8"?>
<ds:datastoreItem xmlns:ds="http://schemas.openxmlformats.org/officeDocument/2006/customXml" ds:itemID="{03945862-B3C6-41AD-B517-497BAD954302}"/>
</file>

<file path=customXml/itemProps4.xml><?xml version="1.0" encoding="utf-8"?>
<ds:datastoreItem xmlns:ds="http://schemas.openxmlformats.org/officeDocument/2006/customXml" ds:itemID="{34F5270E-F870-4638-8816-8BF8843636E6}"/>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2668</TotalTime>
  <Pages>72</Pages>
  <Words>18191</Words>
  <Characters>90957</Characters>
  <Application>Microsoft Office Word</Application>
  <DocSecurity>0</DocSecurity>
  <Lines>757</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scorpio 88</cp:lastModifiedBy>
  <cp:revision>1188</cp:revision>
  <cp:lastPrinted>2020-02-23T08:43:00Z</cp:lastPrinted>
  <dcterms:created xsi:type="dcterms:W3CDTF">2020-02-23T14:43:00Z</dcterms:created>
  <dcterms:modified xsi:type="dcterms:W3CDTF">2020-04-30T17:54:00Z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