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93D" w:rsidRPr="00170230" w:rsidRDefault="001D693D" w:rsidP="001D693D">
      <w:pPr>
        <w:spacing w:line="240" w:lineRule="atLeast"/>
        <w:jc w:val="center"/>
        <w:rPr>
          <w:rFonts w:ascii="Tahoma" w:hAnsi="Tahoma" w:cs="Tahoma"/>
          <w:szCs w:val="18"/>
        </w:rPr>
      </w:pPr>
      <w:r>
        <w:rPr>
          <w:rFonts w:ascii="Tahoma" w:hAnsi="Tahoma" w:cs="Tahoma"/>
          <w:noProof/>
          <w:szCs w:val="18"/>
        </w:rPr>
        <w:drawing>
          <wp:inline distT="0" distB="0" distL="0" distR="0" wp14:anchorId="70655C09" wp14:editId="7B88A9BC">
            <wp:extent cx="658369" cy="810770"/>
            <wp:effectExtent l="0" t="0" r="8890" b="8890"/>
            <wp:docPr id="8"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RDefault="000F76A8" w:rsidP="00482559">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RDefault="00084E3A" w:rsidP="008D2388">
      <w:pPr>
        <w:spacing w:before="1080" w:line="240" w:lineRule="auto"/>
        <w:jc w:val="center"/>
        <w:rPr>
          <w:rFonts w:ascii="Tahoma" w:hAnsi="Tahoma" w:cs="Tahoma"/>
          <w:color w:val="2A2AA6"/>
          <w:sz w:val="32"/>
          <w:szCs w:val="32"/>
        </w:rPr>
      </w:pPr>
    </w:p>
    <w:p w:rsidR="00084E3A" w:rsidRDefault="00084E3A"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70א</w:t>
      </w:r>
    </w:p>
    <w:p w:rsidR="00084E3A" w:rsidRPr="00154682" w:rsidRDefault="00084E3A" w:rsidP="00154682">
      <w:pPr>
        <w:pStyle w:val="tab-name"/>
        <w:keepNext w:val="0"/>
        <w:spacing w:before="120" w:line="240" w:lineRule="exact"/>
        <w:jc w:val="center"/>
        <w:rPr>
          <w:rFonts w:eastAsiaTheme="minorHAnsi"/>
          <w:color w:val="2A2AA6"/>
          <w:sz w:val="24"/>
          <w:szCs w:val="24"/>
          <w:rtl/>
        </w:rPr>
      </w:pPr>
    </w:p>
    <w:p w:rsidR="00084E3A" w:rsidRDefault="00D806A2" w:rsidP="008D2388">
      <w:pPr>
        <w:pStyle w:val="tab-name"/>
        <w:keepNext w:val="0"/>
        <w:spacing w:before="360" w:line="240" w:lineRule="atLeast"/>
        <w:jc w:val="center"/>
        <w:outlineLvl w:val="0"/>
        <w:rPr>
          <w:color w:val="2A2AA6"/>
          <w:sz w:val="52"/>
          <w:szCs w:val="52"/>
          <w:rtl/>
        </w:rPr>
      </w:pPr>
      <w:bookmarkStart w:id="0" w:name="_Toc32167102"/>
      <w:r w:rsidRPr="00D806A2">
        <w:rPr>
          <w:color w:val="2A2AA6"/>
          <w:sz w:val="52"/>
          <w:szCs w:val="52"/>
          <w:rtl/>
        </w:rPr>
        <w:t>חברת הגיחון בע"מ</w:t>
      </w:r>
      <w:bookmarkEnd w:id="0"/>
    </w:p>
    <w:p w:rsidR="00A75367" w:rsidRDefault="00A75367" w:rsidP="00CC4288">
      <w:pPr>
        <w:pStyle w:val="tab-name"/>
        <w:keepNext w:val="0"/>
        <w:spacing w:before="240" w:line="269" w:lineRule="auto"/>
        <w:jc w:val="center"/>
        <w:outlineLvl w:val="0"/>
        <w:rPr>
          <w:rFonts w:eastAsiaTheme="minorHAnsi"/>
          <w:color w:val="2A2AA6"/>
          <w:sz w:val="28"/>
          <w:szCs w:val="28"/>
          <w:rtl/>
        </w:rPr>
      </w:pPr>
      <w:bookmarkStart w:id="1" w:name="_Toc32167103"/>
      <w:r w:rsidRPr="00CC4288">
        <w:rPr>
          <w:rFonts w:eastAsiaTheme="minorHAnsi"/>
          <w:color w:val="2A2AA6"/>
          <w:sz w:val="28"/>
          <w:szCs w:val="28"/>
          <w:rtl/>
        </w:rPr>
        <w:t>היבטים בפעילות תאגיד הגיחון</w:t>
      </w:r>
      <w:bookmarkEnd w:id="1"/>
    </w:p>
    <w:p w:rsidR="00CC4288" w:rsidRPr="00CC4288" w:rsidRDefault="00CC4288" w:rsidP="00CC4288">
      <w:pPr>
        <w:pStyle w:val="tab-name"/>
        <w:keepNext w:val="0"/>
        <w:spacing w:before="240" w:line="269" w:lineRule="auto"/>
        <w:jc w:val="center"/>
        <w:outlineLvl w:val="0"/>
        <w:rPr>
          <w:rFonts w:eastAsiaTheme="minorHAnsi"/>
          <w:color w:val="2A2AA6"/>
          <w:sz w:val="28"/>
          <w:szCs w:val="28"/>
          <w:rtl/>
        </w:rPr>
      </w:pPr>
    </w:p>
    <w:p w:rsidR="00A75367" w:rsidRDefault="00A75367" w:rsidP="00CC4288">
      <w:pPr>
        <w:spacing w:before="3480" w:line="720" w:lineRule="exact"/>
        <w:jc w:val="center"/>
        <w:rPr>
          <w:rFonts w:ascii="Tahoma" w:hAnsi="Tahoma" w:cs="Tahoma"/>
          <w:sz w:val="24"/>
          <w:rtl/>
        </w:rPr>
      </w:pPr>
    </w:p>
    <w:p w:rsidR="00EF2F02" w:rsidRDefault="00EF2F02" w:rsidP="00EF2F02">
      <w:pPr>
        <w:spacing w:line="240" w:lineRule="atLeast"/>
        <w:jc w:val="center"/>
        <w:rPr>
          <w:rFonts w:ascii="Tahoma" w:hAnsi="Tahoma" w:cs="Tahoma"/>
          <w:sz w:val="22"/>
          <w:szCs w:val="22"/>
          <w:rtl/>
        </w:rPr>
      </w:pPr>
      <w:r>
        <w:rPr>
          <w:noProof/>
          <w:rtl/>
        </w:rPr>
        <w:drawing>
          <wp:inline distT="0" distB="0" distL="0" distR="0" wp14:anchorId="4927EFCC" wp14:editId="1C273F7A">
            <wp:extent cx="744855" cy="489585"/>
            <wp:effectExtent l="0" t="0" r="0" b="5715"/>
            <wp:docPr id="15"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489585"/>
                    </a:xfrm>
                    <a:prstGeom prst="rect">
                      <a:avLst/>
                    </a:prstGeom>
                    <a:noFill/>
                  </pic:spPr>
                </pic:pic>
              </a:graphicData>
            </a:graphic>
          </wp:inline>
        </w:drawing>
      </w:r>
    </w:p>
    <w:p w:rsidR="00F62588" w:rsidRDefault="00084E3A" w:rsidP="00084E3A">
      <w:pPr>
        <w:spacing w:line="240" w:lineRule="auto"/>
        <w:jc w:val="center"/>
        <w:rPr>
          <w:rFonts w:ascii="Tahoma" w:hAnsi="Tahoma" w:cs="Tahoma"/>
          <w:sz w:val="22"/>
          <w:szCs w:val="22"/>
          <w:rtl/>
        </w:rPr>
      </w:pPr>
      <w:r>
        <w:rPr>
          <w:rFonts w:ascii="Tahoma" w:hAnsi="Tahoma" w:cs="Tahoma"/>
          <w:sz w:val="22"/>
          <w:szCs w:val="22"/>
          <w:rtl/>
        </w:rPr>
        <w:t xml:space="preserve">ירושלים, אדר </w:t>
      </w:r>
      <w:proofErr w:type="spellStart"/>
      <w:r>
        <w:rPr>
          <w:rFonts w:ascii="Tahoma" w:hAnsi="Tahoma" w:cs="Tahoma"/>
          <w:sz w:val="22"/>
          <w:szCs w:val="22"/>
          <w:rtl/>
        </w:rPr>
        <w:t>התש"ף</w:t>
      </w:r>
      <w:proofErr w:type="spellEnd"/>
      <w:r>
        <w:rPr>
          <w:rFonts w:ascii="Tahoma" w:hAnsi="Tahoma" w:cs="Tahoma"/>
          <w:sz w:val="22"/>
          <w:szCs w:val="22"/>
          <w:rtl/>
        </w:rPr>
        <w:t>, מרץ 2020</w:t>
      </w:r>
    </w:p>
    <w:p w:rsidR="00DE6C5F" w:rsidRDefault="00F62588">
      <w:pPr>
        <w:bidi w:val="0"/>
        <w:spacing w:after="200" w:line="276" w:lineRule="auto"/>
        <w:rPr>
          <w:rFonts w:ascii="Tahoma" w:hAnsi="Tahoma" w:cs="Tahoma"/>
          <w:sz w:val="22"/>
          <w:szCs w:val="22"/>
          <w:rtl/>
        </w:rPr>
        <w:sectPr w:rsidR="00DE6C5F" w:rsidSect="00CC74ED">
          <w:headerReference w:type="default" r:id="rId11"/>
          <w:footerReference w:type="default" r:id="rId12"/>
          <w:pgSz w:w="11906" w:h="16838" w:code="9"/>
          <w:pgMar w:top="2268" w:right="1985" w:bottom="2155" w:left="1701" w:header="1559" w:footer="709" w:gutter="0"/>
          <w:pgNumType w:start="867"/>
          <w:cols w:space="720"/>
          <w:titlePg/>
          <w:bidi/>
          <w:rtlGutter/>
          <w:docGrid w:linePitch="272"/>
        </w:sectPr>
      </w:pPr>
      <w:r>
        <w:rPr>
          <w:rFonts w:ascii="Tahoma" w:hAnsi="Tahoma" w:cs="Tahoma"/>
          <w:sz w:val="22"/>
          <w:szCs w:val="22"/>
          <w:rtl/>
        </w:rPr>
        <w:br w:type="page"/>
      </w:r>
    </w:p>
    <w:p w:rsidR="00F62588" w:rsidRDefault="00F62588">
      <w:pPr>
        <w:bidi w:val="0"/>
        <w:spacing w:after="200" w:line="276" w:lineRule="auto"/>
        <w:rPr>
          <w:rFonts w:ascii="Tahoma" w:hAnsi="Tahoma" w:cs="Tahoma"/>
          <w:sz w:val="22"/>
          <w:szCs w:val="22"/>
          <w:rtl/>
        </w:rPr>
      </w:pPr>
    </w:p>
    <w:p w:rsidR="00084E3A" w:rsidRDefault="00084E3A" w:rsidP="00084E3A">
      <w:pPr>
        <w:spacing w:line="240" w:lineRule="auto"/>
        <w:jc w:val="center"/>
        <w:rPr>
          <w:rFonts w:ascii="Tahoma" w:hAnsi="Tahoma" w:cs="Tahoma"/>
          <w:sz w:val="22"/>
          <w:szCs w:val="22"/>
          <w:rtl/>
        </w:rPr>
      </w:pPr>
    </w:p>
    <w:p w:rsidR="00DE6C5F" w:rsidRDefault="00DE6C5F" w:rsidP="00C017CA">
      <w:pPr>
        <w:bidi w:val="0"/>
        <w:spacing w:after="200" w:line="276" w:lineRule="auto"/>
        <w:rPr>
          <w:rFonts w:ascii="Tahoma" w:hAnsi="Tahoma" w:cs="Tahoma"/>
          <w:sz w:val="22"/>
          <w:szCs w:val="22"/>
        </w:rPr>
        <w:sectPr w:rsidR="00DE6C5F" w:rsidSect="00041F2A">
          <w:pgSz w:w="11906" w:h="16838" w:code="9"/>
          <w:pgMar w:top="2268" w:right="1985" w:bottom="2155" w:left="1701" w:header="1559" w:footer="709" w:gutter="0"/>
          <w:cols w:space="720"/>
          <w:titlePg/>
          <w:bidi/>
          <w:rtlGutter/>
          <w:docGrid w:linePitch="272"/>
        </w:sectPr>
      </w:pPr>
    </w:p>
    <w:p w:rsidR="002C2927" w:rsidRDefault="002C2927" w:rsidP="00017586">
      <w:pPr>
        <w:spacing w:line="240" w:lineRule="atLeast"/>
        <w:jc w:val="center"/>
        <w:rPr>
          <w:rFonts w:ascii="Tahoma" w:hAnsi="Tahoma" w:cs="Tahoma"/>
          <w:sz w:val="22"/>
          <w:szCs w:val="22"/>
          <w:rtl/>
        </w:rPr>
      </w:pPr>
      <w:r>
        <w:rPr>
          <w:rFonts w:ascii="Tahoma" w:hAnsi="Tahoma" w:cs="Tahoma" w:hint="cs"/>
          <w:noProof/>
          <w:sz w:val="22"/>
          <w:szCs w:val="22"/>
        </w:rPr>
        <w:lastRenderedPageBreak/>
        <w:drawing>
          <wp:inline distT="0" distB="0" distL="0" distR="0">
            <wp:extent cx="5220000" cy="7052019"/>
            <wp:effectExtent l="0" t="0" r="0" b="0"/>
            <wp:docPr id="2" name="תמונה 2" descr="שירותי מים וביוב בירושלים, מבשרת ציון ואבו גוש. הגיחון הוקמה על ידי עיריית ירושלים בשנת 1996, ובשנת 2003 העניק לה הממונה על התאגידים רישיון להפעלת תאגיד לפי חוק תאגידי מים וביוב. התאגיד נמצא בבעלותן של עיריית ירושלים (מחזיקה ב-94.95% מהבעלות), המועצה המקומית מבשרת ציון (3.5% מהבעלות) והמועצה המקומית אבו גוש (1.55% מהבעלות).&#10;&#10;נתוני מפתח&#10;71.4 מיליון מ״ק מים סיפק התאגיד בשנת 2018 לכ-900,000 תושבים בירושלים והסביבה&#10;125,000 מ״ק מי קולחים, שרכשה עיריית ירושלים מהתאגיד בשנת 2018, שימשו להשקיית גינות ציבוריות בעיר&#10;2.1 מיליון מ״ק מים שפירים שימשו להשקיית גינות ציבוריות בירושלים בשנת 2018&#10;6% בלבד מהמים ששימשו להשקיית גינות ציבוריות בירושלים בשנת 2018, היו מי קולחים&#10;36 מיליון ש״ח - רווח התאגיד בשנת 2018 (לעומת רווח של כ-44 מיליון ש״ח בשנת 2017)&#10;27.8 מיליון ש״ח - סכום ההפסד הכספי של התאגיד ב-2017 עקב פחת מים בשכונות הערביות במזרח ירושלים (פחת המים הוא ההפרש בין כמות המים שהתאגיד רוכש או מפיק לבין כמות המים שהוא מספק לכלל צרכניו)&#10;34.1% - שיעור פחת המים בשכונות הערביות במזרח ירושלים בשנת 2017&#10;8.5% - שיעור הפחת הכולל בתאגיד באותה שנה&#10;140.5 מיליון ש״ח השקיע התאגיד בשנת 2018, כ-25% מהכנסותיו באותה ש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4-14-מותאם.jpg"/>
                    <pic:cNvPicPr/>
                  </pic:nvPicPr>
                  <pic:blipFill rotWithShape="1">
                    <a:blip r:embed="rId13" cstate="print">
                      <a:extLst>
                        <a:ext uri="{28A0092B-C50C-407E-A947-70E740481C1C}">
                          <a14:useLocalDpi xmlns:a14="http://schemas.microsoft.com/office/drawing/2010/main" val="0"/>
                        </a:ext>
                      </a:extLst>
                    </a:blip>
                    <a:srcRect l="12226" t="9633" r="11861" b="8339"/>
                    <a:stretch/>
                  </pic:blipFill>
                  <pic:spPr bwMode="auto">
                    <a:xfrm>
                      <a:off x="0" y="0"/>
                      <a:ext cx="5220000" cy="7052019"/>
                    </a:xfrm>
                    <a:prstGeom prst="rect">
                      <a:avLst/>
                    </a:prstGeom>
                    <a:ln>
                      <a:noFill/>
                    </a:ln>
                    <a:extLst>
                      <a:ext uri="{53640926-AAD7-44D8-BBD7-CCE9431645EC}">
                        <a14:shadowObscured xmlns:a14="http://schemas.microsoft.com/office/drawing/2010/main"/>
                      </a:ext>
                    </a:extLst>
                  </pic:spPr>
                </pic:pic>
              </a:graphicData>
            </a:graphic>
          </wp:inline>
        </w:drawing>
      </w:r>
    </w:p>
    <w:p w:rsidR="002C2927" w:rsidRDefault="002C2927" w:rsidP="00017586">
      <w:pPr>
        <w:spacing w:line="240" w:lineRule="atLeast"/>
        <w:jc w:val="center"/>
        <w:rPr>
          <w:rFonts w:ascii="Tahoma" w:hAnsi="Tahoma" w:cs="Tahoma"/>
          <w:sz w:val="22"/>
          <w:szCs w:val="22"/>
          <w:rtl/>
        </w:rPr>
      </w:pPr>
      <w:r>
        <w:rPr>
          <w:rFonts w:ascii="Tahoma" w:hAnsi="Tahoma" w:cs="Tahoma" w:hint="cs"/>
          <w:noProof/>
          <w:sz w:val="22"/>
          <w:szCs w:val="22"/>
        </w:rPr>
        <w:lastRenderedPageBreak/>
        <w:drawing>
          <wp:inline distT="0" distB="0" distL="0" distR="0">
            <wp:extent cx="5220000" cy="7018699"/>
            <wp:effectExtent l="0" t="0" r="0" b="0"/>
            <wp:docPr id="3" name="תמונה 3" descr="פעולות הביקורת&#10;בחודשים אוגוסט 2018 עד פברואר 2019 בדק משרד מבקר המדינה היבטים בפעילות תאגיד הגיחון. בין היתר בדק משרד מבקר המדינה בנוגע לתאגיד את הנושאים האלה: הוצאות התפעול, פחת המים, פחת הגבייה (פחת הגבייה הוא ההפרש בין סך החיובים של החברה בגין הספקת שירותי המים והביוב לצרכניה, לבין סך הגבייה בפועל בגין אותם חיובים), חיבור המים לשכונות במזרח ירושלים, הוצאות שכר וכוננות, מכרזים והתקשרויות ואספקת מי קולחים לגינון הציבורי בירושלים. הביקורת נעשתה בתאגיד, ובדיקות השלמה נעשו ברשות המים.&#10;&#10;תמונת המצב העולה מן הביקורת&#10;פחת הגבייה ופחת המים גבוהים בשכונות שמעבר לגדר ההפרדה במזרח ירושלים - פחת המים ופחת הגבייה גבוהים בשכונות אלה במידה ניכרת מהנורמות שנקבעו לתאגיד. הדבר גורם לבזבוז מים, שהם משאב במחסור, ומייקר את תעריפי המים. לפי חישובי התאגיד, הנזק הכספי שנגרם לו עקב כך הסתכם בשנת 2017 בכ-12 מיליון ש״ח.&#10;אי-עמידה בנורמות פחת הגבייה ופחת המים - בשל קשיי גבייה במזרח ירושלים קיימת חריגה בפחת הגבייה, המשפיעה על פחת הגבייה הכולל של התאגיד. בשנים 2014 עד 2018 היה שיעור פחת הגבייה בתאגיד 2.34% עד 3.3%, לעומת הנורמה שנקבעה לו - 1.5%. בשנת 2018 היה שיעור פחת המים של התאגיד 7.3%, לעומת הנורמה שקבע לו הממונה על התאגידים - 7% (נורמה זו עודכנה במסגרת ההחלטה על עדכון התעריפים לינואר 2020 ל-8%).&#10;אי-עמידה בנורמות התפעול - התאגיד לא עמד בנורמות התפעול שנקבעו לו, ובשנת 2017 היה פער של כ-48 מיליון ש״ח בין הנורמה להוצאות התפעול בפועל (נורמת התפעול נוגעת למרכיבים האלה בתעריף המים: רשת המים, רשת הביוב, הגבייה והוצאות ההנהלה).&#10;התקשרויות הגיחון - ועדת המכרזים של הגיחון אישרה הגדלה של התקשרויות באופן שאינו עולה בקנה אחד עם נוהל התקשרויות: כמה התקשרויות הוגדלו כמה פעמים, וההגדלה המצטברת חרגה מהמגבלות שנקבעו בנוהל. נמצאו התקשרויות שהגדלת היקפן הכספי הובאה לדיון בוועדת המכרזים בדיעבד.&#10;הקצאת שעות כוננות - אף שחלק מעובדי הגיחון נקראו לשוב לעבודה רק ב-10% משעות הכוננות שהוקצו להם בשנת 2017, הגיחון לא הפיק לקחים, וגם בשנת 2018 המשיך לשלם לעובדיו עבור היקף שעות כוננות דומה. הניצול המזערי של שעות הכוננות שהוקצו בשנת 2017 מעלה ספק לגבי נחיצות כמות שעות הכוננות המשולמות לעובדים.&#10;ניצול מי קולחים להשקיית גינות ציבוריות - משנת 2015, עם הנחת תשתיות להולכת מי הקולחים ממכון טיהור השפכים בהר חומה לגנים הגדולים בירושלים, גדלה צריכת מי הקולחים להשקיית גינות ציבוריות בעיר. עם זאת, כמות מי הקולחים המועברים מהגיחון לעיריית ירושלים נמוכה מהצפי (בשנת 2018 כ-125,000 מכ-500,000 מ״ק לפי הצפי, כ-25%) ומקיבולת הטיהור (רק כ-12.5%). במקביל, מוחזרים מי קולחים באיכות מעולה לטיהור חוזר במערכת הביוב המרכז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4-14-מותאם2.jpg"/>
                    <pic:cNvPicPr/>
                  </pic:nvPicPr>
                  <pic:blipFill rotWithShape="1">
                    <a:blip r:embed="rId14" cstate="print">
                      <a:extLst>
                        <a:ext uri="{28A0092B-C50C-407E-A947-70E740481C1C}">
                          <a14:useLocalDpi xmlns:a14="http://schemas.microsoft.com/office/drawing/2010/main" val="0"/>
                        </a:ext>
                      </a:extLst>
                    </a:blip>
                    <a:srcRect l="12226" t="9634" r="12044" b="8922"/>
                    <a:stretch/>
                  </pic:blipFill>
                  <pic:spPr bwMode="auto">
                    <a:xfrm>
                      <a:off x="0" y="0"/>
                      <a:ext cx="5220000" cy="7018699"/>
                    </a:xfrm>
                    <a:prstGeom prst="rect">
                      <a:avLst/>
                    </a:prstGeom>
                    <a:ln>
                      <a:noFill/>
                    </a:ln>
                    <a:extLst>
                      <a:ext uri="{53640926-AAD7-44D8-BBD7-CCE9431645EC}">
                        <a14:shadowObscured xmlns:a14="http://schemas.microsoft.com/office/drawing/2010/main"/>
                      </a:ext>
                    </a:extLst>
                  </pic:spPr>
                </pic:pic>
              </a:graphicData>
            </a:graphic>
          </wp:inline>
        </w:drawing>
      </w:r>
    </w:p>
    <w:p w:rsidR="002C2927" w:rsidRDefault="002E64ED" w:rsidP="00017586">
      <w:pPr>
        <w:spacing w:line="240" w:lineRule="atLeast"/>
        <w:jc w:val="center"/>
        <w:rPr>
          <w:rFonts w:ascii="Tahoma" w:hAnsi="Tahoma" w:cs="Tahoma"/>
          <w:sz w:val="22"/>
          <w:szCs w:val="22"/>
          <w:rtl/>
        </w:rPr>
      </w:pPr>
      <w:r>
        <w:rPr>
          <w:rFonts w:ascii="Tahoma" w:hAnsi="Tahoma" w:cs="Tahoma"/>
          <w:noProof/>
          <w:sz w:val="22"/>
          <w:szCs w:val="22"/>
        </w:rPr>
        <w:lastRenderedPageBreak/>
        <w:drawing>
          <wp:inline distT="0" distB="0" distL="0" distR="0">
            <wp:extent cx="5220000" cy="6614810"/>
            <wp:effectExtent l="0" t="0" r="0" b="0"/>
            <wp:docPr id="14" name="תמונה 14" descr="איכות המים - לא נמצאו ליקויים באיכות המים שסיפק תאגיד הגיחון.&#10;צמצום פחת הגבייה - בשנים 2013 - 2017 צמצם התאגיד את שיעור פחת הגבייה במזרח ירושלים מ-20.59% ל-11.26%, אולם שיעור זה עדיין גבוה מהשיעור שקבע הממונה על התאגידים - 1.5%.&#10;צמצום פחת המים - בשנים 2014 - 2018 צמצם התאגיד את שיעור פחת המים מ-10.8% ל-7.3%, אולם לא הצליח לעמוד בנורמות שנקבעו לו.&#10;&#10;עיקרי המלצות הביקורת&#10;על התאגיד לפעול לעמוד בנורמות פחת הגבייה ופחת המים ובנורמות התפעול שקבע לו הממונה על התאגידים, כדי לצמצם את הנטל הכספי על צרכני המים המקבלים שירות מהתאגיד.&#10;יש לפעול למציאת פתרון לסוגיית מזרח ירושלים באמצעות קיום שיח רציף בין הגורמים הנוגעים בדבר (משרד האוצר, רשות המים, התאגיד, עיריית ירושלים, וכן גורמים ביטחוניים ככל הנדרש), לשם שיפור אספקת המים, פחת הגבייה ופחת המים.&#10;על התאגיד להקפיד על עריכת התקשרויות והסכמים בהתאם לחוק חובת המכרזים, תקנותיו ונוהלי ההתקשרויות הפנימיים של התאגיד.&#10;על התאגיד לבחון את אופן הקצאת שעות הכוננות לעובדים, לפקח על ניצולן ולהסדיר את הנושא עם הממונה על השכר.&#10;נוכח החשיבות שבניצול מי הקולחים על רשות המים, כגורם מאסדר, להידרש לנושא במקרים בהם קיימת התכנות כלכלית, להשקיית גינות ציבוריות ברשויות מקומיות ובמוסדות ציבור במי קולחים כתחליף להשקיה במים שפירים ולבחון את הצורך בקביעת תעריפים ייעודיים לשימושים אלה לכלל ספקי הקולחים. על התאגיד לפעול לניצול יעיל של עודפי הקולחים ממכון טיהור השפכים בהר חומה, כדי שהשימוש בהם יהיה לתועלת הציבור.&#10;&#10;סיכום&#10;הגיחון מספק שירותי מים וביוב לאוכלוסייה מגוונת, ובכללה תושבי מזרח ירושלים, דבר המערים עליו קשיים. קיימים פערים בין הנורמות שקבעה רשות המים לבין עלויות התאגיד בפועל. היות שמשק המים הוא משק כספים סגור, עלויות גבוהות מהנורמות עשויות לבוא על חשבון רכיב ההון המיועד למימון פיתוח תשתיות המים והביוב בירושלים. על רשות המים והתאגיד למצוא פתרון לנושא העלויות העודפות, כדי שהן לא יכבידו את הנטל על צרכני המ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04-14-מותאם3.jpg"/>
                    <pic:cNvPicPr/>
                  </pic:nvPicPr>
                  <pic:blipFill rotWithShape="1">
                    <a:blip r:embed="rId15" cstate="print">
                      <a:extLst>
                        <a:ext uri="{28A0092B-C50C-407E-A947-70E740481C1C}">
                          <a14:useLocalDpi xmlns:a14="http://schemas.microsoft.com/office/drawing/2010/main" val="0"/>
                        </a:ext>
                      </a:extLst>
                    </a:blip>
                    <a:srcRect l="12514" t="10009" r="12523" b="14011"/>
                    <a:stretch/>
                  </pic:blipFill>
                  <pic:spPr bwMode="auto">
                    <a:xfrm>
                      <a:off x="0" y="0"/>
                      <a:ext cx="5220000" cy="6614810"/>
                    </a:xfrm>
                    <a:prstGeom prst="rect">
                      <a:avLst/>
                    </a:prstGeom>
                    <a:ln>
                      <a:noFill/>
                    </a:ln>
                    <a:extLst>
                      <a:ext uri="{53640926-AAD7-44D8-BBD7-CCE9431645EC}">
                        <a14:shadowObscured xmlns:a14="http://schemas.microsoft.com/office/drawing/2010/main"/>
                      </a:ext>
                    </a:extLst>
                  </pic:spPr>
                </pic:pic>
              </a:graphicData>
            </a:graphic>
          </wp:inline>
        </w:drawing>
      </w:r>
    </w:p>
    <w:p w:rsidR="00327593" w:rsidRDefault="002C2927" w:rsidP="00017586">
      <w:pPr>
        <w:spacing w:line="240" w:lineRule="atLeast"/>
        <w:jc w:val="center"/>
        <w:rPr>
          <w:rFonts w:ascii="Tahoma" w:hAnsi="Tahoma" w:cs="Tahoma"/>
          <w:sz w:val="22"/>
          <w:szCs w:val="22"/>
        </w:rPr>
      </w:pPr>
      <w:r>
        <w:rPr>
          <w:rFonts w:ascii="Tahoma" w:hAnsi="Tahoma" w:cs="Tahoma" w:hint="cs"/>
          <w:noProof/>
          <w:sz w:val="22"/>
          <w:szCs w:val="22"/>
        </w:rPr>
        <w:lastRenderedPageBreak/>
        <w:drawing>
          <wp:inline distT="0" distB="0" distL="0" distR="0">
            <wp:extent cx="5220000" cy="6462260"/>
            <wp:effectExtent l="0" t="0" r="0" b="0"/>
            <wp:docPr id="12" name="תמונה 12" descr="פחת המים בתאגיד לפי אזורים 2011 - 2017&#10;תיאור התרשים: על פי התרשים, בשנים 2011 עד 2017 הייתה מגמת ירידה בשיעור פחת המים באזורים שלהם מספק תאגיד הגיחון מים: במערב ירושלים מ-12.8% ל-8.5%, במבשרת ציון מ-17.1% ל-5.7%, באבו גוש מ-32.5% ל-11%. הפחת הכולל של תאגיד הגיחון ירד מ-13.1% ל-8.5%. שיעור הפחת במערב ירושלים זהה לשיעור הפחת הכללי (הגיחון פחת כולל), ולכן שני הקווים מתלכדים.&#10;נתונים שמסר התאגיד למשרד מבקר המדינה בינואר 2019. &#10;&#10;הנחת תשתית בתאגיד הגיחון&#10;תיאור התמונה: בתמונה נראה ציוד מכני כבד מניח צינור מים בנוף מדברי.&#10;המקור: תאגיד הגיחו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04-14-מותאם4.jpg"/>
                    <pic:cNvPicPr/>
                  </pic:nvPicPr>
                  <pic:blipFill rotWithShape="1">
                    <a:blip r:embed="rId16" cstate="print">
                      <a:extLst>
                        <a:ext uri="{28A0092B-C50C-407E-A947-70E740481C1C}">
                          <a14:useLocalDpi xmlns:a14="http://schemas.microsoft.com/office/drawing/2010/main" val="0"/>
                        </a:ext>
                      </a:extLst>
                    </a:blip>
                    <a:srcRect l="12226" t="11239" r="11862" b="13593"/>
                    <a:stretch/>
                  </pic:blipFill>
                  <pic:spPr bwMode="auto">
                    <a:xfrm>
                      <a:off x="0" y="0"/>
                      <a:ext cx="5220000" cy="6462260"/>
                    </a:xfrm>
                    <a:prstGeom prst="rect">
                      <a:avLst/>
                    </a:prstGeom>
                    <a:ln>
                      <a:noFill/>
                    </a:ln>
                    <a:extLst>
                      <a:ext uri="{53640926-AAD7-44D8-BBD7-CCE9431645EC}">
                        <a14:shadowObscured xmlns:a14="http://schemas.microsoft.com/office/drawing/2010/main"/>
                      </a:ext>
                    </a:extLst>
                  </pic:spPr>
                </pic:pic>
              </a:graphicData>
            </a:graphic>
          </wp:inline>
        </w:drawing>
      </w:r>
    </w:p>
    <w:p w:rsidR="00327593" w:rsidRDefault="00327593" w:rsidP="00327593">
      <w:pPr>
        <w:spacing w:after="200" w:line="276" w:lineRule="auto"/>
        <w:rPr>
          <w:rFonts w:ascii="Tahoma" w:hAnsi="Tahoma" w:cs="Tahoma"/>
          <w:sz w:val="22"/>
          <w:szCs w:val="22"/>
        </w:rPr>
      </w:pPr>
    </w:p>
    <w:p w:rsidR="00084E3A" w:rsidRDefault="00084E3A" w:rsidP="00084E3A">
      <w:pPr>
        <w:bidi w:val="0"/>
        <w:spacing w:line="240" w:lineRule="auto"/>
        <w:jc w:val="left"/>
        <w:rPr>
          <w:rFonts w:ascii="Tahoma" w:hAnsi="Tahoma" w:cs="Tahoma"/>
          <w:sz w:val="22"/>
          <w:szCs w:val="22"/>
          <w:rtl/>
        </w:rPr>
        <w:sectPr w:rsidR="00084E3A" w:rsidSect="00CC74ED">
          <w:pgSz w:w="11906" w:h="16838" w:code="9"/>
          <w:pgMar w:top="2268" w:right="1985" w:bottom="2155" w:left="1701" w:header="709" w:footer="709" w:gutter="0"/>
          <w:cols w:space="720"/>
          <w:bidi/>
          <w:rtlGutter/>
          <w:docGrid w:linePitch="272"/>
        </w:sectPr>
      </w:pPr>
    </w:p>
    <w:p w:rsidR="00AF3713" w:rsidRDefault="00AF3713" w:rsidP="00AF3713">
      <w:pPr>
        <w:pStyle w:val="11"/>
        <w:rPr>
          <w:rtl/>
        </w:rPr>
      </w:pPr>
      <w:bookmarkStart w:id="2" w:name="_Toc32167104"/>
      <w:bookmarkStart w:id="3" w:name="_Toc17268269"/>
      <w:r w:rsidRPr="00D806A2">
        <w:rPr>
          <w:rtl/>
        </w:rPr>
        <w:lastRenderedPageBreak/>
        <w:t>חברת הגיחון בע"מ</w:t>
      </w:r>
    </w:p>
    <w:p w:rsidR="00A75367" w:rsidRPr="00A75367" w:rsidRDefault="00A75367" w:rsidP="00AF3713">
      <w:pPr>
        <w:pStyle w:val="21"/>
        <w:jc w:val="center"/>
        <w:rPr>
          <w:rFonts w:eastAsia="Times New Roman"/>
          <w:bCs/>
          <w:rtl/>
          <w:cs/>
          <w:lang w:eastAsia="he-IL"/>
        </w:rPr>
      </w:pPr>
      <w:r w:rsidRPr="00A75367">
        <w:rPr>
          <w:rFonts w:eastAsia="Times New Roman"/>
          <w:rtl/>
          <w:cs/>
          <w:lang w:eastAsia="he-IL"/>
        </w:rPr>
        <w:t>היבטים בפעילות תאגיד הגיחון</w:t>
      </w:r>
      <w:bookmarkEnd w:id="2"/>
    </w:p>
    <w:sdt>
      <w:sdtPr>
        <w:rPr>
          <w:rFonts w:ascii="Tahoma" w:eastAsiaTheme="minorHAnsi" w:hAnsi="Tahoma" w:cs="Tahoma"/>
          <w:b w:val="0"/>
          <w:bCs w:val="0"/>
          <w:color w:val="auto"/>
          <w:sz w:val="16"/>
          <w:szCs w:val="20"/>
          <w:rtl/>
          <w:cs/>
          <w:lang w:val="he-IL"/>
        </w:rPr>
        <w:id w:val="-1757362157"/>
        <w:docPartObj>
          <w:docPartGallery w:val="Table of Contents"/>
          <w:docPartUnique/>
        </w:docPartObj>
      </w:sdtPr>
      <w:sdtEndPr>
        <w:rPr>
          <w:lang w:val="en-US"/>
        </w:rPr>
      </w:sdtEndPr>
      <w:sdtContent>
        <w:p w:rsidR="00A75367" w:rsidRPr="00BC57BC" w:rsidRDefault="00A75367" w:rsidP="00A75367">
          <w:pPr>
            <w:pStyle w:val="TOCHeading"/>
            <w:spacing w:before="0" w:after="120"/>
            <w:rPr>
              <w:rFonts w:ascii="Tahoma" w:hAnsi="Tahoma" w:cs="Tahoma"/>
              <w:sz w:val="24"/>
              <w:szCs w:val="24"/>
              <w:rtl/>
              <w:cs/>
            </w:rPr>
          </w:pPr>
          <w:r w:rsidRPr="00BC57BC">
            <w:rPr>
              <w:rFonts w:ascii="Tahoma" w:hAnsi="Tahoma" w:cs="Tahoma"/>
              <w:sz w:val="24"/>
              <w:szCs w:val="24"/>
              <w:rtl/>
              <w:cs/>
              <w:lang w:val="he-IL"/>
            </w:rPr>
            <w:t>תוכן</w:t>
          </w:r>
          <w:r w:rsidRPr="00BC57BC">
            <w:rPr>
              <w:rFonts w:ascii="Tahoma" w:hAnsi="Tahoma" w:cs="Tahoma"/>
              <w:sz w:val="24"/>
              <w:szCs w:val="24"/>
              <w:rtl/>
              <w:cs/>
            </w:rPr>
            <w:t xml:space="preserve"> העניינים</w:t>
          </w:r>
        </w:p>
        <w:p w:rsidR="00AF3713" w:rsidRPr="00AF3713" w:rsidRDefault="00A75367" w:rsidP="007900AC">
          <w:pPr>
            <w:pStyle w:val="TOC1"/>
            <w:spacing w:after="60"/>
            <w:rPr>
              <w:rFonts w:eastAsiaTheme="minorEastAsia"/>
              <w:rtl/>
            </w:rPr>
          </w:pPr>
          <w:r w:rsidRPr="00AF3713">
            <w:rPr>
              <w:b/>
              <w:bCs/>
              <w:lang w:val="he-IL"/>
            </w:rPr>
            <w:fldChar w:fldCharType="begin"/>
          </w:r>
          <w:r w:rsidRPr="00AF3713">
            <w:rPr>
              <w:b/>
              <w:bCs/>
              <w:rtl/>
              <w:lang w:val="he-IL"/>
            </w:rPr>
            <w:instrText xml:space="preserve"> TOC \o "1-3" \h \z \u </w:instrText>
          </w:r>
          <w:r w:rsidRPr="00AF3713">
            <w:rPr>
              <w:b/>
              <w:bCs/>
              <w:lang w:val="he-IL"/>
            </w:rPr>
            <w:fldChar w:fldCharType="separate"/>
          </w:r>
          <w:hyperlink w:anchor="_Toc32167105" w:history="1">
            <w:r w:rsidR="00AF3713" w:rsidRPr="00AF3713">
              <w:rPr>
                <w:rStyle w:val="Hyperlink"/>
                <w:rtl/>
              </w:rPr>
              <w:t>מבוא</w:t>
            </w:r>
            <w:r w:rsidR="00AF3713" w:rsidRPr="00AF3713">
              <w:rPr>
                <w:webHidden/>
                <w:rtl/>
              </w:rPr>
              <w:tab/>
            </w:r>
            <w:r w:rsidR="00AF3713" w:rsidRPr="00AF3713">
              <w:rPr>
                <w:webHidden/>
                <w:rtl/>
              </w:rPr>
              <w:fldChar w:fldCharType="begin"/>
            </w:r>
            <w:r w:rsidR="00AF3713" w:rsidRPr="00AF3713">
              <w:rPr>
                <w:webHidden/>
                <w:rtl/>
              </w:rPr>
              <w:instrText xml:space="preserve"> </w:instrText>
            </w:r>
            <w:r w:rsidR="00AF3713" w:rsidRPr="00AF3713">
              <w:rPr>
                <w:webHidden/>
              </w:rPr>
              <w:instrText>PAGEREF</w:instrText>
            </w:r>
            <w:r w:rsidR="00AF3713" w:rsidRPr="00AF3713">
              <w:rPr>
                <w:webHidden/>
                <w:rtl/>
              </w:rPr>
              <w:instrText xml:space="preserve"> _</w:instrText>
            </w:r>
            <w:r w:rsidR="00AF3713" w:rsidRPr="00AF3713">
              <w:rPr>
                <w:webHidden/>
              </w:rPr>
              <w:instrText>Toc32167105 \h</w:instrText>
            </w:r>
            <w:r w:rsidR="00AF3713" w:rsidRPr="00AF3713">
              <w:rPr>
                <w:webHidden/>
                <w:rtl/>
              </w:rPr>
              <w:instrText xml:space="preserve"> </w:instrText>
            </w:r>
            <w:r w:rsidR="00AF3713" w:rsidRPr="00AF3713">
              <w:rPr>
                <w:webHidden/>
                <w:rtl/>
              </w:rPr>
            </w:r>
            <w:r w:rsidR="00AF3713" w:rsidRPr="00AF3713">
              <w:rPr>
                <w:webHidden/>
                <w:rtl/>
              </w:rPr>
              <w:fldChar w:fldCharType="separate"/>
            </w:r>
            <w:r w:rsidR="00B07FC1">
              <w:rPr>
                <w:webHidden/>
                <w:rtl/>
              </w:rPr>
              <w:t>875</w:t>
            </w:r>
            <w:r w:rsidR="00AF3713" w:rsidRPr="00AF3713">
              <w:rPr>
                <w:webHidden/>
                <w:rtl/>
              </w:rPr>
              <w:fldChar w:fldCharType="end"/>
            </w:r>
          </w:hyperlink>
        </w:p>
        <w:p w:rsidR="00AF3713" w:rsidRPr="00AF3713" w:rsidRDefault="0055181B" w:rsidP="00AF3713">
          <w:pPr>
            <w:pStyle w:val="TOC3"/>
            <w:tabs>
              <w:tab w:val="right" w:leader="dot" w:pos="8210"/>
            </w:tabs>
            <w:spacing w:after="60"/>
            <w:rPr>
              <w:rFonts w:ascii="Tahoma" w:eastAsiaTheme="minorEastAsia" w:hAnsi="Tahoma" w:cs="Tahoma"/>
              <w:noProof/>
              <w:szCs w:val="20"/>
              <w:rtl/>
            </w:rPr>
          </w:pPr>
          <w:hyperlink w:anchor="_Toc32167106" w:history="1">
            <w:r w:rsidR="00AF3713" w:rsidRPr="00AF3713">
              <w:rPr>
                <w:rStyle w:val="Hyperlink"/>
                <w:rFonts w:ascii="Tahoma" w:hAnsi="Tahoma" w:cs="Tahoma"/>
                <w:noProof/>
                <w:szCs w:val="20"/>
                <w:rtl/>
              </w:rPr>
              <w:t>פעולות הביקורת</w:t>
            </w:r>
            <w:r w:rsidR="00AF3713" w:rsidRPr="00AF3713">
              <w:rPr>
                <w:rFonts w:ascii="Tahoma" w:hAnsi="Tahoma" w:cs="Tahoma"/>
                <w:noProof/>
                <w:webHidden/>
                <w:szCs w:val="20"/>
                <w:rtl/>
              </w:rPr>
              <w:tab/>
            </w:r>
            <w:r w:rsidR="00AF3713" w:rsidRPr="00AF3713">
              <w:rPr>
                <w:rFonts w:ascii="Tahoma" w:hAnsi="Tahoma" w:cs="Tahoma"/>
                <w:noProof/>
                <w:webHidden/>
                <w:szCs w:val="20"/>
                <w:rtl/>
              </w:rPr>
              <w:fldChar w:fldCharType="begin"/>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Pr>
              <w:instrText>PAGEREF</w:instrText>
            </w:r>
            <w:r w:rsidR="00AF3713" w:rsidRPr="00AF3713">
              <w:rPr>
                <w:rFonts w:ascii="Tahoma" w:hAnsi="Tahoma" w:cs="Tahoma"/>
                <w:noProof/>
                <w:webHidden/>
                <w:szCs w:val="20"/>
                <w:rtl/>
              </w:rPr>
              <w:instrText xml:space="preserve"> _</w:instrText>
            </w:r>
            <w:r w:rsidR="00AF3713" w:rsidRPr="00AF3713">
              <w:rPr>
                <w:rFonts w:ascii="Tahoma" w:hAnsi="Tahoma" w:cs="Tahoma"/>
                <w:noProof/>
                <w:webHidden/>
                <w:szCs w:val="20"/>
              </w:rPr>
              <w:instrText>Toc32167106 \h</w:instrText>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tl/>
              </w:rPr>
            </w:r>
            <w:r w:rsidR="00AF3713" w:rsidRPr="00AF3713">
              <w:rPr>
                <w:rFonts w:ascii="Tahoma" w:hAnsi="Tahoma" w:cs="Tahoma"/>
                <w:noProof/>
                <w:webHidden/>
                <w:szCs w:val="20"/>
                <w:rtl/>
              </w:rPr>
              <w:fldChar w:fldCharType="separate"/>
            </w:r>
            <w:r w:rsidR="00B07FC1">
              <w:rPr>
                <w:rFonts w:ascii="Tahoma" w:hAnsi="Tahoma" w:cs="Tahoma"/>
                <w:noProof/>
                <w:webHidden/>
                <w:szCs w:val="20"/>
                <w:rtl/>
              </w:rPr>
              <w:t>878</w:t>
            </w:r>
            <w:r w:rsidR="00AF3713" w:rsidRPr="00AF3713">
              <w:rPr>
                <w:rFonts w:ascii="Tahoma" w:hAnsi="Tahoma" w:cs="Tahoma"/>
                <w:noProof/>
                <w:webHidden/>
                <w:szCs w:val="20"/>
                <w:rtl/>
              </w:rPr>
              <w:fldChar w:fldCharType="end"/>
            </w:r>
          </w:hyperlink>
        </w:p>
        <w:p w:rsidR="00AF3713" w:rsidRPr="00AF3713" w:rsidRDefault="0055181B" w:rsidP="00AF3713">
          <w:pPr>
            <w:pStyle w:val="TOC2"/>
            <w:tabs>
              <w:tab w:val="right" w:leader="dot" w:pos="8210"/>
            </w:tabs>
            <w:spacing w:after="60"/>
            <w:rPr>
              <w:rFonts w:ascii="Tahoma" w:eastAsiaTheme="minorEastAsia" w:hAnsi="Tahoma" w:cs="Tahoma"/>
              <w:noProof/>
              <w:szCs w:val="20"/>
              <w:rtl/>
            </w:rPr>
          </w:pPr>
          <w:hyperlink w:anchor="_Toc32167107" w:history="1">
            <w:r w:rsidR="00AF3713" w:rsidRPr="00AF3713">
              <w:rPr>
                <w:rStyle w:val="Hyperlink"/>
                <w:rFonts w:ascii="Tahoma" w:hAnsi="Tahoma" w:cs="Tahoma"/>
                <w:noProof/>
                <w:szCs w:val="20"/>
                <w:rtl/>
              </w:rPr>
              <w:t>תנאים למתן רישיון לפעילות נוספת של תאגיד המים</w:t>
            </w:r>
            <w:r w:rsidR="00AF3713" w:rsidRPr="00AF3713">
              <w:rPr>
                <w:rFonts w:ascii="Tahoma" w:hAnsi="Tahoma" w:cs="Tahoma"/>
                <w:noProof/>
                <w:webHidden/>
                <w:szCs w:val="20"/>
                <w:rtl/>
              </w:rPr>
              <w:tab/>
            </w:r>
            <w:r w:rsidR="00AF3713" w:rsidRPr="00AF3713">
              <w:rPr>
                <w:rFonts w:ascii="Tahoma" w:hAnsi="Tahoma" w:cs="Tahoma"/>
                <w:noProof/>
                <w:webHidden/>
                <w:szCs w:val="20"/>
                <w:rtl/>
              </w:rPr>
              <w:fldChar w:fldCharType="begin"/>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Pr>
              <w:instrText>PAGEREF</w:instrText>
            </w:r>
            <w:r w:rsidR="00AF3713" w:rsidRPr="00AF3713">
              <w:rPr>
                <w:rFonts w:ascii="Tahoma" w:hAnsi="Tahoma" w:cs="Tahoma"/>
                <w:noProof/>
                <w:webHidden/>
                <w:szCs w:val="20"/>
                <w:rtl/>
              </w:rPr>
              <w:instrText xml:space="preserve"> _</w:instrText>
            </w:r>
            <w:r w:rsidR="00AF3713" w:rsidRPr="00AF3713">
              <w:rPr>
                <w:rFonts w:ascii="Tahoma" w:hAnsi="Tahoma" w:cs="Tahoma"/>
                <w:noProof/>
                <w:webHidden/>
                <w:szCs w:val="20"/>
              </w:rPr>
              <w:instrText>Toc32167107 \h</w:instrText>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tl/>
              </w:rPr>
            </w:r>
            <w:r w:rsidR="00AF3713" w:rsidRPr="00AF3713">
              <w:rPr>
                <w:rFonts w:ascii="Tahoma" w:hAnsi="Tahoma" w:cs="Tahoma"/>
                <w:noProof/>
                <w:webHidden/>
                <w:szCs w:val="20"/>
                <w:rtl/>
              </w:rPr>
              <w:fldChar w:fldCharType="separate"/>
            </w:r>
            <w:r w:rsidR="00B07FC1">
              <w:rPr>
                <w:rFonts w:ascii="Tahoma" w:hAnsi="Tahoma" w:cs="Tahoma"/>
                <w:noProof/>
                <w:webHidden/>
                <w:szCs w:val="20"/>
                <w:rtl/>
              </w:rPr>
              <w:t>878</w:t>
            </w:r>
            <w:r w:rsidR="00AF3713" w:rsidRPr="00AF3713">
              <w:rPr>
                <w:rFonts w:ascii="Tahoma" w:hAnsi="Tahoma" w:cs="Tahoma"/>
                <w:noProof/>
                <w:webHidden/>
                <w:szCs w:val="20"/>
                <w:rtl/>
              </w:rPr>
              <w:fldChar w:fldCharType="end"/>
            </w:r>
          </w:hyperlink>
        </w:p>
        <w:p w:rsidR="00AF3713" w:rsidRPr="00AF3713" w:rsidRDefault="0055181B" w:rsidP="00AF3713">
          <w:pPr>
            <w:pStyle w:val="TOC3"/>
            <w:tabs>
              <w:tab w:val="right" w:leader="dot" w:pos="8210"/>
            </w:tabs>
            <w:spacing w:after="60"/>
            <w:rPr>
              <w:rFonts w:ascii="Tahoma" w:eastAsiaTheme="minorEastAsia" w:hAnsi="Tahoma" w:cs="Tahoma"/>
              <w:noProof/>
              <w:szCs w:val="20"/>
              <w:rtl/>
            </w:rPr>
          </w:pPr>
          <w:hyperlink w:anchor="_Toc32167108" w:history="1">
            <w:r w:rsidR="00AF3713" w:rsidRPr="00AF3713">
              <w:rPr>
                <w:rStyle w:val="Hyperlink"/>
                <w:rFonts w:ascii="Tahoma" w:hAnsi="Tahoma" w:cs="Tahoma"/>
                <w:noProof/>
                <w:szCs w:val="20"/>
                <w:rtl/>
              </w:rPr>
              <w:t>ניצול מי קולחים</w:t>
            </w:r>
            <w:r w:rsidR="00AF3713" w:rsidRPr="00AF3713">
              <w:rPr>
                <w:rFonts w:ascii="Tahoma" w:hAnsi="Tahoma" w:cs="Tahoma"/>
                <w:noProof/>
                <w:webHidden/>
                <w:szCs w:val="20"/>
                <w:rtl/>
              </w:rPr>
              <w:tab/>
            </w:r>
            <w:r w:rsidR="00AF3713" w:rsidRPr="00AF3713">
              <w:rPr>
                <w:rFonts w:ascii="Tahoma" w:hAnsi="Tahoma" w:cs="Tahoma"/>
                <w:noProof/>
                <w:webHidden/>
                <w:szCs w:val="20"/>
                <w:rtl/>
              </w:rPr>
              <w:fldChar w:fldCharType="begin"/>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Pr>
              <w:instrText>PAGEREF</w:instrText>
            </w:r>
            <w:r w:rsidR="00AF3713" w:rsidRPr="00AF3713">
              <w:rPr>
                <w:rFonts w:ascii="Tahoma" w:hAnsi="Tahoma" w:cs="Tahoma"/>
                <w:noProof/>
                <w:webHidden/>
                <w:szCs w:val="20"/>
                <w:rtl/>
              </w:rPr>
              <w:instrText xml:space="preserve"> _</w:instrText>
            </w:r>
            <w:r w:rsidR="00AF3713" w:rsidRPr="00AF3713">
              <w:rPr>
                <w:rFonts w:ascii="Tahoma" w:hAnsi="Tahoma" w:cs="Tahoma"/>
                <w:noProof/>
                <w:webHidden/>
                <w:szCs w:val="20"/>
              </w:rPr>
              <w:instrText>Toc32167108 \h</w:instrText>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tl/>
              </w:rPr>
            </w:r>
            <w:r w:rsidR="00AF3713" w:rsidRPr="00AF3713">
              <w:rPr>
                <w:rFonts w:ascii="Tahoma" w:hAnsi="Tahoma" w:cs="Tahoma"/>
                <w:noProof/>
                <w:webHidden/>
                <w:szCs w:val="20"/>
                <w:rtl/>
              </w:rPr>
              <w:fldChar w:fldCharType="separate"/>
            </w:r>
            <w:r w:rsidR="00B07FC1">
              <w:rPr>
                <w:rFonts w:ascii="Tahoma" w:hAnsi="Tahoma" w:cs="Tahoma"/>
                <w:noProof/>
                <w:webHidden/>
                <w:szCs w:val="20"/>
                <w:rtl/>
              </w:rPr>
              <w:t>879</w:t>
            </w:r>
            <w:r w:rsidR="00AF3713" w:rsidRPr="00AF3713">
              <w:rPr>
                <w:rFonts w:ascii="Tahoma" w:hAnsi="Tahoma" w:cs="Tahoma"/>
                <w:noProof/>
                <w:webHidden/>
                <w:szCs w:val="20"/>
                <w:rtl/>
              </w:rPr>
              <w:fldChar w:fldCharType="end"/>
            </w:r>
          </w:hyperlink>
        </w:p>
        <w:p w:rsidR="00AF3713" w:rsidRPr="00AF3713" w:rsidRDefault="0055181B" w:rsidP="00AF3713">
          <w:pPr>
            <w:pStyle w:val="TOC2"/>
            <w:tabs>
              <w:tab w:val="right" w:leader="dot" w:pos="8210"/>
            </w:tabs>
            <w:spacing w:after="60"/>
            <w:rPr>
              <w:rFonts w:ascii="Tahoma" w:eastAsiaTheme="minorEastAsia" w:hAnsi="Tahoma" w:cs="Tahoma"/>
              <w:noProof/>
              <w:szCs w:val="20"/>
              <w:rtl/>
            </w:rPr>
          </w:pPr>
          <w:hyperlink w:anchor="_Toc32167109" w:history="1">
            <w:r w:rsidR="00AF3713" w:rsidRPr="00AF3713">
              <w:rPr>
                <w:rStyle w:val="Hyperlink"/>
                <w:rFonts w:ascii="Tahoma" w:hAnsi="Tahoma" w:cs="Tahoma"/>
                <w:noProof/>
                <w:szCs w:val="20"/>
                <w:rtl/>
              </w:rPr>
              <w:t>הוצאות תפעול</w:t>
            </w:r>
            <w:r w:rsidR="00AF3713" w:rsidRPr="00AF3713">
              <w:rPr>
                <w:rFonts w:ascii="Tahoma" w:hAnsi="Tahoma" w:cs="Tahoma"/>
                <w:noProof/>
                <w:webHidden/>
                <w:szCs w:val="20"/>
                <w:rtl/>
              </w:rPr>
              <w:tab/>
            </w:r>
            <w:r w:rsidR="00AF3713" w:rsidRPr="00AF3713">
              <w:rPr>
                <w:rFonts w:ascii="Tahoma" w:hAnsi="Tahoma" w:cs="Tahoma"/>
                <w:noProof/>
                <w:webHidden/>
                <w:szCs w:val="20"/>
                <w:rtl/>
              </w:rPr>
              <w:fldChar w:fldCharType="begin"/>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Pr>
              <w:instrText>PAGEREF</w:instrText>
            </w:r>
            <w:r w:rsidR="00AF3713" w:rsidRPr="00AF3713">
              <w:rPr>
                <w:rFonts w:ascii="Tahoma" w:hAnsi="Tahoma" w:cs="Tahoma"/>
                <w:noProof/>
                <w:webHidden/>
                <w:szCs w:val="20"/>
                <w:rtl/>
              </w:rPr>
              <w:instrText xml:space="preserve"> _</w:instrText>
            </w:r>
            <w:r w:rsidR="00AF3713" w:rsidRPr="00AF3713">
              <w:rPr>
                <w:rFonts w:ascii="Tahoma" w:hAnsi="Tahoma" w:cs="Tahoma"/>
                <w:noProof/>
                <w:webHidden/>
                <w:szCs w:val="20"/>
              </w:rPr>
              <w:instrText>Toc32167109 \h</w:instrText>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tl/>
              </w:rPr>
            </w:r>
            <w:r w:rsidR="00AF3713" w:rsidRPr="00AF3713">
              <w:rPr>
                <w:rFonts w:ascii="Tahoma" w:hAnsi="Tahoma" w:cs="Tahoma"/>
                <w:noProof/>
                <w:webHidden/>
                <w:szCs w:val="20"/>
                <w:rtl/>
              </w:rPr>
              <w:fldChar w:fldCharType="separate"/>
            </w:r>
            <w:r w:rsidR="00B07FC1">
              <w:rPr>
                <w:rFonts w:ascii="Tahoma" w:hAnsi="Tahoma" w:cs="Tahoma"/>
                <w:noProof/>
                <w:webHidden/>
                <w:szCs w:val="20"/>
                <w:rtl/>
              </w:rPr>
              <w:t>881</w:t>
            </w:r>
            <w:r w:rsidR="00AF3713" w:rsidRPr="00AF3713">
              <w:rPr>
                <w:rFonts w:ascii="Tahoma" w:hAnsi="Tahoma" w:cs="Tahoma"/>
                <w:noProof/>
                <w:webHidden/>
                <w:szCs w:val="20"/>
                <w:rtl/>
              </w:rPr>
              <w:fldChar w:fldCharType="end"/>
            </w:r>
          </w:hyperlink>
        </w:p>
        <w:p w:rsidR="00AF3713" w:rsidRPr="00AF3713" w:rsidRDefault="0055181B" w:rsidP="00AF3713">
          <w:pPr>
            <w:pStyle w:val="TOC2"/>
            <w:tabs>
              <w:tab w:val="right" w:leader="dot" w:pos="8210"/>
            </w:tabs>
            <w:spacing w:after="60"/>
            <w:rPr>
              <w:rFonts w:ascii="Tahoma" w:eastAsiaTheme="minorEastAsia" w:hAnsi="Tahoma" w:cs="Tahoma"/>
              <w:noProof/>
              <w:szCs w:val="20"/>
              <w:rtl/>
            </w:rPr>
          </w:pPr>
          <w:hyperlink w:anchor="_Toc32167110" w:history="1">
            <w:r w:rsidR="00AF3713" w:rsidRPr="00AF3713">
              <w:rPr>
                <w:rStyle w:val="Hyperlink"/>
                <w:rFonts w:ascii="Tahoma" w:hAnsi="Tahoma" w:cs="Tahoma"/>
                <w:noProof/>
                <w:szCs w:val="20"/>
                <w:rtl/>
              </w:rPr>
              <w:t>פחת הגבייה</w:t>
            </w:r>
            <w:r w:rsidR="00AF3713" w:rsidRPr="00AF3713">
              <w:rPr>
                <w:rFonts w:ascii="Tahoma" w:hAnsi="Tahoma" w:cs="Tahoma"/>
                <w:noProof/>
                <w:webHidden/>
                <w:szCs w:val="20"/>
                <w:rtl/>
              </w:rPr>
              <w:tab/>
            </w:r>
            <w:r w:rsidR="00AF3713" w:rsidRPr="00AF3713">
              <w:rPr>
                <w:rFonts w:ascii="Tahoma" w:hAnsi="Tahoma" w:cs="Tahoma"/>
                <w:noProof/>
                <w:webHidden/>
                <w:szCs w:val="20"/>
                <w:rtl/>
              </w:rPr>
              <w:fldChar w:fldCharType="begin"/>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Pr>
              <w:instrText>PAGEREF</w:instrText>
            </w:r>
            <w:r w:rsidR="00AF3713" w:rsidRPr="00AF3713">
              <w:rPr>
                <w:rFonts w:ascii="Tahoma" w:hAnsi="Tahoma" w:cs="Tahoma"/>
                <w:noProof/>
                <w:webHidden/>
                <w:szCs w:val="20"/>
                <w:rtl/>
              </w:rPr>
              <w:instrText xml:space="preserve"> _</w:instrText>
            </w:r>
            <w:r w:rsidR="00AF3713" w:rsidRPr="00AF3713">
              <w:rPr>
                <w:rFonts w:ascii="Tahoma" w:hAnsi="Tahoma" w:cs="Tahoma"/>
                <w:noProof/>
                <w:webHidden/>
                <w:szCs w:val="20"/>
              </w:rPr>
              <w:instrText>Toc32167110 \h</w:instrText>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tl/>
              </w:rPr>
            </w:r>
            <w:r w:rsidR="00AF3713" w:rsidRPr="00AF3713">
              <w:rPr>
                <w:rFonts w:ascii="Tahoma" w:hAnsi="Tahoma" w:cs="Tahoma"/>
                <w:noProof/>
                <w:webHidden/>
                <w:szCs w:val="20"/>
                <w:rtl/>
              </w:rPr>
              <w:fldChar w:fldCharType="separate"/>
            </w:r>
            <w:r w:rsidR="00B07FC1">
              <w:rPr>
                <w:rFonts w:ascii="Tahoma" w:hAnsi="Tahoma" w:cs="Tahoma"/>
                <w:noProof/>
                <w:webHidden/>
                <w:szCs w:val="20"/>
                <w:rtl/>
              </w:rPr>
              <w:t>884</w:t>
            </w:r>
            <w:r w:rsidR="00AF3713" w:rsidRPr="00AF3713">
              <w:rPr>
                <w:rFonts w:ascii="Tahoma" w:hAnsi="Tahoma" w:cs="Tahoma"/>
                <w:noProof/>
                <w:webHidden/>
                <w:szCs w:val="20"/>
                <w:rtl/>
              </w:rPr>
              <w:fldChar w:fldCharType="end"/>
            </w:r>
          </w:hyperlink>
        </w:p>
        <w:p w:rsidR="00AF3713" w:rsidRPr="00AF3713" w:rsidRDefault="0055181B" w:rsidP="00AF3713">
          <w:pPr>
            <w:pStyle w:val="TOC2"/>
            <w:tabs>
              <w:tab w:val="right" w:leader="dot" w:pos="8210"/>
            </w:tabs>
            <w:spacing w:after="60"/>
            <w:rPr>
              <w:rFonts w:ascii="Tahoma" w:eastAsiaTheme="minorEastAsia" w:hAnsi="Tahoma" w:cs="Tahoma"/>
              <w:noProof/>
              <w:szCs w:val="20"/>
              <w:rtl/>
            </w:rPr>
          </w:pPr>
          <w:hyperlink w:anchor="_Toc32167111" w:history="1">
            <w:r w:rsidR="00AF3713" w:rsidRPr="00AF3713">
              <w:rPr>
                <w:rStyle w:val="Hyperlink"/>
                <w:rFonts w:ascii="Tahoma" w:hAnsi="Tahoma" w:cs="Tahoma"/>
                <w:noProof/>
                <w:szCs w:val="20"/>
                <w:rtl/>
              </w:rPr>
              <w:t>פחת המים</w:t>
            </w:r>
            <w:r w:rsidR="00AF3713" w:rsidRPr="00AF3713">
              <w:rPr>
                <w:rFonts w:ascii="Tahoma" w:hAnsi="Tahoma" w:cs="Tahoma"/>
                <w:noProof/>
                <w:webHidden/>
                <w:szCs w:val="20"/>
                <w:rtl/>
              </w:rPr>
              <w:tab/>
            </w:r>
            <w:r w:rsidR="00AF3713" w:rsidRPr="00AF3713">
              <w:rPr>
                <w:rFonts w:ascii="Tahoma" w:hAnsi="Tahoma" w:cs="Tahoma"/>
                <w:noProof/>
                <w:webHidden/>
                <w:szCs w:val="20"/>
                <w:rtl/>
              </w:rPr>
              <w:fldChar w:fldCharType="begin"/>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Pr>
              <w:instrText>PAGEREF</w:instrText>
            </w:r>
            <w:r w:rsidR="00AF3713" w:rsidRPr="00AF3713">
              <w:rPr>
                <w:rFonts w:ascii="Tahoma" w:hAnsi="Tahoma" w:cs="Tahoma"/>
                <w:noProof/>
                <w:webHidden/>
                <w:szCs w:val="20"/>
                <w:rtl/>
              </w:rPr>
              <w:instrText xml:space="preserve"> _</w:instrText>
            </w:r>
            <w:r w:rsidR="00AF3713" w:rsidRPr="00AF3713">
              <w:rPr>
                <w:rFonts w:ascii="Tahoma" w:hAnsi="Tahoma" w:cs="Tahoma"/>
                <w:noProof/>
                <w:webHidden/>
                <w:szCs w:val="20"/>
              </w:rPr>
              <w:instrText>Toc32167111 \h</w:instrText>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tl/>
              </w:rPr>
            </w:r>
            <w:r w:rsidR="00AF3713" w:rsidRPr="00AF3713">
              <w:rPr>
                <w:rFonts w:ascii="Tahoma" w:hAnsi="Tahoma" w:cs="Tahoma"/>
                <w:noProof/>
                <w:webHidden/>
                <w:szCs w:val="20"/>
                <w:rtl/>
              </w:rPr>
              <w:fldChar w:fldCharType="separate"/>
            </w:r>
            <w:r w:rsidR="00B07FC1">
              <w:rPr>
                <w:rFonts w:ascii="Tahoma" w:hAnsi="Tahoma" w:cs="Tahoma"/>
                <w:noProof/>
                <w:webHidden/>
                <w:szCs w:val="20"/>
                <w:rtl/>
              </w:rPr>
              <w:t>887</w:t>
            </w:r>
            <w:r w:rsidR="00AF3713" w:rsidRPr="00AF3713">
              <w:rPr>
                <w:rFonts w:ascii="Tahoma" w:hAnsi="Tahoma" w:cs="Tahoma"/>
                <w:noProof/>
                <w:webHidden/>
                <w:szCs w:val="20"/>
                <w:rtl/>
              </w:rPr>
              <w:fldChar w:fldCharType="end"/>
            </w:r>
          </w:hyperlink>
        </w:p>
        <w:p w:rsidR="00AF3713" w:rsidRPr="00AF3713" w:rsidRDefault="0055181B" w:rsidP="00AF3713">
          <w:pPr>
            <w:pStyle w:val="TOC2"/>
            <w:tabs>
              <w:tab w:val="right" w:leader="dot" w:pos="8210"/>
            </w:tabs>
            <w:spacing w:after="60"/>
            <w:rPr>
              <w:rFonts w:ascii="Tahoma" w:eastAsiaTheme="minorEastAsia" w:hAnsi="Tahoma" w:cs="Tahoma"/>
              <w:noProof/>
              <w:szCs w:val="20"/>
              <w:rtl/>
            </w:rPr>
          </w:pPr>
          <w:hyperlink w:anchor="_Toc32167112" w:history="1">
            <w:r w:rsidR="00AF3713" w:rsidRPr="00AF3713">
              <w:rPr>
                <w:rStyle w:val="Hyperlink"/>
                <w:rFonts w:ascii="Tahoma" w:hAnsi="Tahoma" w:cs="Tahoma"/>
                <w:noProof/>
                <w:szCs w:val="20"/>
                <w:rtl/>
              </w:rPr>
              <w:t>חיבור המים לשכונות במזרח ירושלים שמעבר לגדר ההפרדה.</w:t>
            </w:r>
            <w:r w:rsidR="00AF3713" w:rsidRPr="00AF3713">
              <w:rPr>
                <w:rFonts w:ascii="Tahoma" w:hAnsi="Tahoma" w:cs="Tahoma"/>
                <w:noProof/>
                <w:webHidden/>
                <w:szCs w:val="20"/>
                <w:rtl/>
              </w:rPr>
              <w:tab/>
            </w:r>
            <w:r w:rsidR="00AF3713" w:rsidRPr="00AF3713">
              <w:rPr>
                <w:rFonts w:ascii="Tahoma" w:hAnsi="Tahoma" w:cs="Tahoma"/>
                <w:noProof/>
                <w:webHidden/>
                <w:szCs w:val="20"/>
                <w:rtl/>
              </w:rPr>
              <w:fldChar w:fldCharType="begin"/>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Pr>
              <w:instrText>PAGEREF</w:instrText>
            </w:r>
            <w:r w:rsidR="00AF3713" w:rsidRPr="00AF3713">
              <w:rPr>
                <w:rFonts w:ascii="Tahoma" w:hAnsi="Tahoma" w:cs="Tahoma"/>
                <w:noProof/>
                <w:webHidden/>
                <w:szCs w:val="20"/>
                <w:rtl/>
              </w:rPr>
              <w:instrText xml:space="preserve"> _</w:instrText>
            </w:r>
            <w:r w:rsidR="00AF3713" w:rsidRPr="00AF3713">
              <w:rPr>
                <w:rFonts w:ascii="Tahoma" w:hAnsi="Tahoma" w:cs="Tahoma"/>
                <w:noProof/>
                <w:webHidden/>
                <w:szCs w:val="20"/>
              </w:rPr>
              <w:instrText>Toc32167112 \h</w:instrText>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tl/>
              </w:rPr>
            </w:r>
            <w:r w:rsidR="00AF3713" w:rsidRPr="00AF3713">
              <w:rPr>
                <w:rFonts w:ascii="Tahoma" w:hAnsi="Tahoma" w:cs="Tahoma"/>
                <w:noProof/>
                <w:webHidden/>
                <w:szCs w:val="20"/>
                <w:rtl/>
              </w:rPr>
              <w:fldChar w:fldCharType="separate"/>
            </w:r>
            <w:r w:rsidR="00B07FC1">
              <w:rPr>
                <w:rFonts w:ascii="Tahoma" w:hAnsi="Tahoma" w:cs="Tahoma"/>
                <w:noProof/>
                <w:webHidden/>
                <w:szCs w:val="20"/>
                <w:rtl/>
              </w:rPr>
              <w:t>889</w:t>
            </w:r>
            <w:r w:rsidR="00AF3713" w:rsidRPr="00AF3713">
              <w:rPr>
                <w:rFonts w:ascii="Tahoma" w:hAnsi="Tahoma" w:cs="Tahoma"/>
                <w:noProof/>
                <w:webHidden/>
                <w:szCs w:val="20"/>
                <w:rtl/>
              </w:rPr>
              <w:fldChar w:fldCharType="end"/>
            </w:r>
          </w:hyperlink>
        </w:p>
        <w:p w:rsidR="00AF3713" w:rsidRPr="00AF3713" w:rsidRDefault="0055181B" w:rsidP="00AF3713">
          <w:pPr>
            <w:pStyle w:val="TOC2"/>
            <w:tabs>
              <w:tab w:val="right" w:leader="dot" w:pos="8210"/>
            </w:tabs>
            <w:spacing w:after="60"/>
            <w:rPr>
              <w:rFonts w:ascii="Tahoma" w:eastAsiaTheme="minorEastAsia" w:hAnsi="Tahoma" w:cs="Tahoma"/>
              <w:noProof/>
              <w:szCs w:val="20"/>
              <w:rtl/>
            </w:rPr>
          </w:pPr>
          <w:hyperlink w:anchor="_Toc32167113" w:history="1">
            <w:r w:rsidR="00AF3713" w:rsidRPr="00AF3713">
              <w:rPr>
                <w:rStyle w:val="Hyperlink"/>
                <w:rFonts w:ascii="Tahoma" w:hAnsi="Tahoma" w:cs="Tahoma"/>
                <w:noProof/>
                <w:szCs w:val="20"/>
                <w:rtl/>
              </w:rPr>
              <w:t>הוצאות שכר וכוננות</w:t>
            </w:r>
            <w:r w:rsidR="00AF3713" w:rsidRPr="00AF3713">
              <w:rPr>
                <w:rFonts w:ascii="Tahoma" w:hAnsi="Tahoma" w:cs="Tahoma"/>
                <w:noProof/>
                <w:webHidden/>
                <w:szCs w:val="20"/>
                <w:rtl/>
              </w:rPr>
              <w:tab/>
            </w:r>
            <w:r w:rsidR="00AF3713" w:rsidRPr="00AF3713">
              <w:rPr>
                <w:rFonts w:ascii="Tahoma" w:hAnsi="Tahoma" w:cs="Tahoma"/>
                <w:noProof/>
                <w:webHidden/>
                <w:szCs w:val="20"/>
                <w:rtl/>
              </w:rPr>
              <w:fldChar w:fldCharType="begin"/>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Pr>
              <w:instrText>PAGEREF</w:instrText>
            </w:r>
            <w:r w:rsidR="00AF3713" w:rsidRPr="00AF3713">
              <w:rPr>
                <w:rFonts w:ascii="Tahoma" w:hAnsi="Tahoma" w:cs="Tahoma"/>
                <w:noProof/>
                <w:webHidden/>
                <w:szCs w:val="20"/>
                <w:rtl/>
              </w:rPr>
              <w:instrText xml:space="preserve"> _</w:instrText>
            </w:r>
            <w:r w:rsidR="00AF3713" w:rsidRPr="00AF3713">
              <w:rPr>
                <w:rFonts w:ascii="Tahoma" w:hAnsi="Tahoma" w:cs="Tahoma"/>
                <w:noProof/>
                <w:webHidden/>
                <w:szCs w:val="20"/>
              </w:rPr>
              <w:instrText>Toc32167113 \h</w:instrText>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tl/>
              </w:rPr>
            </w:r>
            <w:r w:rsidR="00AF3713" w:rsidRPr="00AF3713">
              <w:rPr>
                <w:rFonts w:ascii="Tahoma" w:hAnsi="Tahoma" w:cs="Tahoma"/>
                <w:noProof/>
                <w:webHidden/>
                <w:szCs w:val="20"/>
                <w:rtl/>
              </w:rPr>
              <w:fldChar w:fldCharType="separate"/>
            </w:r>
            <w:r w:rsidR="00B07FC1">
              <w:rPr>
                <w:rFonts w:ascii="Tahoma" w:hAnsi="Tahoma" w:cs="Tahoma"/>
                <w:noProof/>
                <w:webHidden/>
                <w:szCs w:val="20"/>
                <w:rtl/>
              </w:rPr>
              <w:t>892</w:t>
            </w:r>
            <w:r w:rsidR="00AF3713" w:rsidRPr="00AF3713">
              <w:rPr>
                <w:rFonts w:ascii="Tahoma" w:hAnsi="Tahoma" w:cs="Tahoma"/>
                <w:noProof/>
                <w:webHidden/>
                <w:szCs w:val="20"/>
                <w:rtl/>
              </w:rPr>
              <w:fldChar w:fldCharType="end"/>
            </w:r>
          </w:hyperlink>
        </w:p>
        <w:p w:rsidR="00AF3713" w:rsidRPr="00AF3713" w:rsidRDefault="0055181B" w:rsidP="00AF3713">
          <w:pPr>
            <w:pStyle w:val="TOC2"/>
            <w:tabs>
              <w:tab w:val="right" w:leader="dot" w:pos="8210"/>
            </w:tabs>
            <w:spacing w:after="60"/>
            <w:rPr>
              <w:rFonts w:ascii="Tahoma" w:eastAsiaTheme="minorEastAsia" w:hAnsi="Tahoma" w:cs="Tahoma"/>
              <w:noProof/>
              <w:szCs w:val="20"/>
              <w:rtl/>
            </w:rPr>
          </w:pPr>
          <w:hyperlink w:anchor="_Toc32167114" w:history="1">
            <w:r w:rsidR="00AF3713" w:rsidRPr="00AF3713">
              <w:rPr>
                <w:rStyle w:val="Hyperlink"/>
                <w:rFonts w:ascii="Tahoma" w:hAnsi="Tahoma" w:cs="Tahoma"/>
                <w:noProof/>
                <w:szCs w:val="20"/>
                <w:rtl/>
              </w:rPr>
              <w:t>מכרזים והתקשרויות</w:t>
            </w:r>
            <w:r w:rsidR="00AF3713" w:rsidRPr="00AF3713">
              <w:rPr>
                <w:rFonts w:ascii="Tahoma" w:hAnsi="Tahoma" w:cs="Tahoma"/>
                <w:noProof/>
                <w:webHidden/>
                <w:szCs w:val="20"/>
                <w:rtl/>
              </w:rPr>
              <w:tab/>
            </w:r>
            <w:r w:rsidR="00AF3713" w:rsidRPr="00AF3713">
              <w:rPr>
                <w:rFonts w:ascii="Tahoma" w:hAnsi="Tahoma" w:cs="Tahoma"/>
                <w:noProof/>
                <w:webHidden/>
                <w:szCs w:val="20"/>
                <w:rtl/>
              </w:rPr>
              <w:fldChar w:fldCharType="begin"/>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Pr>
              <w:instrText>PAGEREF</w:instrText>
            </w:r>
            <w:r w:rsidR="00AF3713" w:rsidRPr="00AF3713">
              <w:rPr>
                <w:rFonts w:ascii="Tahoma" w:hAnsi="Tahoma" w:cs="Tahoma"/>
                <w:noProof/>
                <w:webHidden/>
                <w:szCs w:val="20"/>
                <w:rtl/>
              </w:rPr>
              <w:instrText xml:space="preserve"> _</w:instrText>
            </w:r>
            <w:r w:rsidR="00AF3713" w:rsidRPr="00AF3713">
              <w:rPr>
                <w:rFonts w:ascii="Tahoma" w:hAnsi="Tahoma" w:cs="Tahoma"/>
                <w:noProof/>
                <w:webHidden/>
                <w:szCs w:val="20"/>
              </w:rPr>
              <w:instrText>Toc32167114 \h</w:instrText>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tl/>
              </w:rPr>
            </w:r>
            <w:r w:rsidR="00AF3713" w:rsidRPr="00AF3713">
              <w:rPr>
                <w:rFonts w:ascii="Tahoma" w:hAnsi="Tahoma" w:cs="Tahoma"/>
                <w:noProof/>
                <w:webHidden/>
                <w:szCs w:val="20"/>
                <w:rtl/>
              </w:rPr>
              <w:fldChar w:fldCharType="separate"/>
            </w:r>
            <w:r w:rsidR="00B07FC1">
              <w:rPr>
                <w:rFonts w:ascii="Tahoma" w:hAnsi="Tahoma" w:cs="Tahoma"/>
                <w:noProof/>
                <w:webHidden/>
                <w:szCs w:val="20"/>
                <w:rtl/>
              </w:rPr>
              <w:t>897</w:t>
            </w:r>
            <w:r w:rsidR="00AF3713" w:rsidRPr="00AF3713">
              <w:rPr>
                <w:rFonts w:ascii="Tahoma" w:hAnsi="Tahoma" w:cs="Tahoma"/>
                <w:noProof/>
                <w:webHidden/>
                <w:szCs w:val="20"/>
                <w:rtl/>
              </w:rPr>
              <w:fldChar w:fldCharType="end"/>
            </w:r>
          </w:hyperlink>
        </w:p>
        <w:p w:rsidR="00AF3713" w:rsidRPr="00AF3713" w:rsidRDefault="0055181B" w:rsidP="00AF3713">
          <w:pPr>
            <w:pStyle w:val="TOC3"/>
            <w:tabs>
              <w:tab w:val="right" w:leader="dot" w:pos="8210"/>
            </w:tabs>
            <w:spacing w:after="60"/>
            <w:rPr>
              <w:rFonts w:ascii="Tahoma" w:eastAsiaTheme="minorEastAsia" w:hAnsi="Tahoma" w:cs="Tahoma"/>
              <w:noProof/>
              <w:szCs w:val="20"/>
              <w:rtl/>
            </w:rPr>
          </w:pPr>
          <w:hyperlink w:anchor="_Toc32167115" w:history="1">
            <w:r w:rsidR="00AF3713" w:rsidRPr="00AF3713">
              <w:rPr>
                <w:rStyle w:val="Hyperlink"/>
                <w:rFonts w:ascii="Tahoma" w:hAnsi="Tahoma" w:cs="Tahoma"/>
                <w:noProof/>
                <w:szCs w:val="20"/>
                <w:rtl/>
              </w:rPr>
              <w:t>הגדלת התקשרויות</w:t>
            </w:r>
            <w:r w:rsidR="00AF3713" w:rsidRPr="00AF3713">
              <w:rPr>
                <w:rFonts w:ascii="Tahoma" w:hAnsi="Tahoma" w:cs="Tahoma"/>
                <w:noProof/>
                <w:webHidden/>
                <w:szCs w:val="20"/>
                <w:rtl/>
              </w:rPr>
              <w:tab/>
            </w:r>
            <w:r w:rsidR="00AF3713" w:rsidRPr="00AF3713">
              <w:rPr>
                <w:rFonts w:ascii="Tahoma" w:hAnsi="Tahoma" w:cs="Tahoma"/>
                <w:noProof/>
                <w:webHidden/>
                <w:szCs w:val="20"/>
                <w:rtl/>
              </w:rPr>
              <w:fldChar w:fldCharType="begin"/>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Pr>
              <w:instrText>PAGEREF</w:instrText>
            </w:r>
            <w:r w:rsidR="00AF3713" w:rsidRPr="00AF3713">
              <w:rPr>
                <w:rFonts w:ascii="Tahoma" w:hAnsi="Tahoma" w:cs="Tahoma"/>
                <w:noProof/>
                <w:webHidden/>
                <w:szCs w:val="20"/>
                <w:rtl/>
              </w:rPr>
              <w:instrText xml:space="preserve"> _</w:instrText>
            </w:r>
            <w:r w:rsidR="00AF3713" w:rsidRPr="00AF3713">
              <w:rPr>
                <w:rFonts w:ascii="Tahoma" w:hAnsi="Tahoma" w:cs="Tahoma"/>
                <w:noProof/>
                <w:webHidden/>
                <w:szCs w:val="20"/>
              </w:rPr>
              <w:instrText>Toc32167115 \h</w:instrText>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tl/>
              </w:rPr>
            </w:r>
            <w:r w:rsidR="00AF3713" w:rsidRPr="00AF3713">
              <w:rPr>
                <w:rFonts w:ascii="Tahoma" w:hAnsi="Tahoma" w:cs="Tahoma"/>
                <w:noProof/>
                <w:webHidden/>
                <w:szCs w:val="20"/>
                <w:rtl/>
              </w:rPr>
              <w:fldChar w:fldCharType="separate"/>
            </w:r>
            <w:r w:rsidR="00B07FC1">
              <w:rPr>
                <w:rFonts w:ascii="Tahoma" w:hAnsi="Tahoma" w:cs="Tahoma"/>
                <w:noProof/>
                <w:webHidden/>
                <w:szCs w:val="20"/>
                <w:rtl/>
              </w:rPr>
              <w:t>898</w:t>
            </w:r>
            <w:r w:rsidR="00AF3713" w:rsidRPr="00AF3713">
              <w:rPr>
                <w:rFonts w:ascii="Tahoma" w:hAnsi="Tahoma" w:cs="Tahoma"/>
                <w:noProof/>
                <w:webHidden/>
                <w:szCs w:val="20"/>
                <w:rtl/>
              </w:rPr>
              <w:fldChar w:fldCharType="end"/>
            </w:r>
          </w:hyperlink>
        </w:p>
        <w:p w:rsidR="00AF3713" w:rsidRPr="00AF3713" w:rsidRDefault="0055181B" w:rsidP="00AF3713">
          <w:pPr>
            <w:pStyle w:val="TOC3"/>
            <w:tabs>
              <w:tab w:val="right" w:leader="dot" w:pos="8210"/>
            </w:tabs>
            <w:spacing w:after="60"/>
            <w:rPr>
              <w:rFonts w:ascii="Tahoma" w:eastAsiaTheme="minorEastAsia" w:hAnsi="Tahoma" w:cs="Tahoma"/>
              <w:noProof/>
              <w:szCs w:val="20"/>
              <w:rtl/>
            </w:rPr>
          </w:pPr>
          <w:hyperlink w:anchor="_Toc32167116" w:history="1">
            <w:r w:rsidR="00AF3713" w:rsidRPr="00AF3713">
              <w:rPr>
                <w:rStyle w:val="Hyperlink"/>
                <w:rFonts w:ascii="Tahoma" w:hAnsi="Tahoma" w:cs="Tahoma"/>
                <w:noProof/>
                <w:szCs w:val="20"/>
                <w:rtl/>
              </w:rPr>
              <w:t>הגדלות מצטברות</w:t>
            </w:r>
            <w:r w:rsidR="00AF3713" w:rsidRPr="00AF3713">
              <w:rPr>
                <w:rFonts w:ascii="Tahoma" w:hAnsi="Tahoma" w:cs="Tahoma"/>
                <w:noProof/>
                <w:webHidden/>
                <w:szCs w:val="20"/>
                <w:rtl/>
              </w:rPr>
              <w:tab/>
            </w:r>
            <w:r w:rsidR="00AF3713" w:rsidRPr="00AF3713">
              <w:rPr>
                <w:rFonts w:ascii="Tahoma" w:hAnsi="Tahoma" w:cs="Tahoma"/>
                <w:noProof/>
                <w:webHidden/>
                <w:szCs w:val="20"/>
                <w:rtl/>
              </w:rPr>
              <w:fldChar w:fldCharType="begin"/>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Pr>
              <w:instrText>PAGEREF</w:instrText>
            </w:r>
            <w:r w:rsidR="00AF3713" w:rsidRPr="00AF3713">
              <w:rPr>
                <w:rFonts w:ascii="Tahoma" w:hAnsi="Tahoma" w:cs="Tahoma"/>
                <w:noProof/>
                <w:webHidden/>
                <w:szCs w:val="20"/>
                <w:rtl/>
              </w:rPr>
              <w:instrText xml:space="preserve"> _</w:instrText>
            </w:r>
            <w:r w:rsidR="00AF3713" w:rsidRPr="00AF3713">
              <w:rPr>
                <w:rFonts w:ascii="Tahoma" w:hAnsi="Tahoma" w:cs="Tahoma"/>
                <w:noProof/>
                <w:webHidden/>
                <w:szCs w:val="20"/>
              </w:rPr>
              <w:instrText>Toc32167116 \h</w:instrText>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tl/>
              </w:rPr>
            </w:r>
            <w:r w:rsidR="00AF3713" w:rsidRPr="00AF3713">
              <w:rPr>
                <w:rFonts w:ascii="Tahoma" w:hAnsi="Tahoma" w:cs="Tahoma"/>
                <w:noProof/>
                <w:webHidden/>
                <w:szCs w:val="20"/>
                <w:rtl/>
              </w:rPr>
              <w:fldChar w:fldCharType="separate"/>
            </w:r>
            <w:r w:rsidR="00B07FC1">
              <w:rPr>
                <w:rFonts w:ascii="Tahoma" w:hAnsi="Tahoma" w:cs="Tahoma"/>
                <w:noProof/>
                <w:webHidden/>
                <w:szCs w:val="20"/>
                <w:rtl/>
              </w:rPr>
              <w:t>901</w:t>
            </w:r>
            <w:r w:rsidR="00AF3713" w:rsidRPr="00AF3713">
              <w:rPr>
                <w:rFonts w:ascii="Tahoma" w:hAnsi="Tahoma" w:cs="Tahoma"/>
                <w:noProof/>
                <w:webHidden/>
                <w:szCs w:val="20"/>
                <w:rtl/>
              </w:rPr>
              <w:fldChar w:fldCharType="end"/>
            </w:r>
          </w:hyperlink>
        </w:p>
        <w:p w:rsidR="00AF3713" w:rsidRPr="00AF3713" w:rsidRDefault="0055181B" w:rsidP="00AF3713">
          <w:pPr>
            <w:pStyle w:val="TOC3"/>
            <w:tabs>
              <w:tab w:val="right" w:leader="dot" w:pos="8210"/>
            </w:tabs>
            <w:spacing w:after="60"/>
            <w:rPr>
              <w:rFonts w:ascii="Tahoma" w:eastAsiaTheme="minorEastAsia" w:hAnsi="Tahoma" w:cs="Tahoma"/>
              <w:noProof/>
              <w:szCs w:val="20"/>
              <w:rtl/>
            </w:rPr>
          </w:pPr>
          <w:hyperlink w:anchor="_Toc32167117" w:history="1">
            <w:r w:rsidR="00AF3713" w:rsidRPr="00AF3713">
              <w:rPr>
                <w:rStyle w:val="Hyperlink"/>
                <w:rFonts w:ascii="Tahoma" w:hAnsi="Tahoma" w:cs="Tahoma"/>
                <w:b/>
                <w:noProof/>
                <w:szCs w:val="20"/>
                <w:rtl/>
              </w:rPr>
              <w:t>הסכם למתן שירותי הפקת חשבונות ומוצרי דיוור ישיר</w:t>
            </w:r>
            <w:r w:rsidR="00AF3713" w:rsidRPr="00AF3713">
              <w:rPr>
                <w:rFonts w:ascii="Tahoma" w:hAnsi="Tahoma" w:cs="Tahoma"/>
                <w:noProof/>
                <w:webHidden/>
                <w:szCs w:val="20"/>
                <w:rtl/>
              </w:rPr>
              <w:tab/>
            </w:r>
            <w:r w:rsidR="00AF3713" w:rsidRPr="00AF3713">
              <w:rPr>
                <w:rFonts w:ascii="Tahoma" w:hAnsi="Tahoma" w:cs="Tahoma"/>
                <w:noProof/>
                <w:webHidden/>
                <w:szCs w:val="20"/>
                <w:rtl/>
              </w:rPr>
              <w:fldChar w:fldCharType="begin"/>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Pr>
              <w:instrText>PAGEREF</w:instrText>
            </w:r>
            <w:r w:rsidR="00AF3713" w:rsidRPr="00AF3713">
              <w:rPr>
                <w:rFonts w:ascii="Tahoma" w:hAnsi="Tahoma" w:cs="Tahoma"/>
                <w:noProof/>
                <w:webHidden/>
                <w:szCs w:val="20"/>
                <w:rtl/>
              </w:rPr>
              <w:instrText xml:space="preserve"> _</w:instrText>
            </w:r>
            <w:r w:rsidR="00AF3713" w:rsidRPr="00AF3713">
              <w:rPr>
                <w:rFonts w:ascii="Tahoma" w:hAnsi="Tahoma" w:cs="Tahoma"/>
                <w:noProof/>
                <w:webHidden/>
                <w:szCs w:val="20"/>
              </w:rPr>
              <w:instrText>Toc32167117 \h</w:instrText>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tl/>
              </w:rPr>
            </w:r>
            <w:r w:rsidR="00AF3713" w:rsidRPr="00AF3713">
              <w:rPr>
                <w:rFonts w:ascii="Tahoma" w:hAnsi="Tahoma" w:cs="Tahoma"/>
                <w:noProof/>
                <w:webHidden/>
                <w:szCs w:val="20"/>
                <w:rtl/>
              </w:rPr>
              <w:fldChar w:fldCharType="separate"/>
            </w:r>
            <w:r w:rsidR="00B07FC1">
              <w:rPr>
                <w:rFonts w:ascii="Tahoma" w:hAnsi="Tahoma" w:cs="Tahoma"/>
                <w:noProof/>
                <w:webHidden/>
                <w:szCs w:val="20"/>
                <w:rtl/>
              </w:rPr>
              <w:t>902</w:t>
            </w:r>
            <w:r w:rsidR="00AF3713" w:rsidRPr="00AF3713">
              <w:rPr>
                <w:rFonts w:ascii="Tahoma" w:hAnsi="Tahoma" w:cs="Tahoma"/>
                <w:noProof/>
                <w:webHidden/>
                <w:szCs w:val="20"/>
                <w:rtl/>
              </w:rPr>
              <w:fldChar w:fldCharType="end"/>
            </w:r>
          </w:hyperlink>
        </w:p>
        <w:p w:rsidR="00AF3713" w:rsidRPr="00AF3713" w:rsidRDefault="0055181B" w:rsidP="00AF3713">
          <w:pPr>
            <w:pStyle w:val="TOC3"/>
            <w:tabs>
              <w:tab w:val="right" w:leader="dot" w:pos="8210"/>
            </w:tabs>
            <w:spacing w:after="60"/>
            <w:rPr>
              <w:rFonts w:ascii="Tahoma" w:eastAsiaTheme="minorEastAsia" w:hAnsi="Tahoma" w:cs="Tahoma"/>
              <w:noProof/>
              <w:szCs w:val="20"/>
              <w:rtl/>
            </w:rPr>
          </w:pPr>
          <w:hyperlink w:anchor="_Toc32167118" w:history="1">
            <w:r w:rsidR="00AF3713" w:rsidRPr="00AF3713">
              <w:rPr>
                <w:rStyle w:val="Hyperlink"/>
                <w:rFonts w:ascii="Tahoma" w:hAnsi="Tahoma" w:cs="Tahoma"/>
                <w:noProof/>
                <w:szCs w:val="20"/>
                <w:rtl/>
              </w:rPr>
              <w:t>הכנת אומדנים עצמיים להערכת סכום ההתקשרות</w:t>
            </w:r>
            <w:r w:rsidR="00AF3713" w:rsidRPr="00AF3713">
              <w:rPr>
                <w:rFonts w:ascii="Tahoma" w:hAnsi="Tahoma" w:cs="Tahoma"/>
                <w:noProof/>
                <w:webHidden/>
                <w:szCs w:val="20"/>
                <w:rtl/>
              </w:rPr>
              <w:tab/>
            </w:r>
            <w:r w:rsidR="00AF3713" w:rsidRPr="00AF3713">
              <w:rPr>
                <w:rFonts w:ascii="Tahoma" w:hAnsi="Tahoma" w:cs="Tahoma"/>
                <w:noProof/>
                <w:webHidden/>
                <w:szCs w:val="20"/>
                <w:rtl/>
              </w:rPr>
              <w:fldChar w:fldCharType="begin"/>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Pr>
              <w:instrText>PAGEREF</w:instrText>
            </w:r>
            <w:r w:rsidR="00AF3713" w:rsidRPr="00AF3713">
              <w:rPr>
                <w:rFonts w:ascii="Tahoma" w:hAnsi="Tahoma" w:cs="Tahoma"/>
                <w:noProof/>
                <w:webHidden/>
                <w:szCs w:val="20"/>
                <w:rtl/>
              </w:rPr>
              <w:instrText xml:space="preserve"> _</w:instrText>
            </w:r>
            <w:r w:rsidR="00AF3713" w:rsidRPr="00AF3713">
              <w:rPr>
                <w:rFonts w:ascii="Tahoma" w:hAnsi="Tahoma" w:cs="Tahoma"/>
                <w:noProof/>
                <w:webHidden/>
                <w:szCs w:val="20"/>
              </w:rPr>
              <w:instrText>Toc32167118 \h</w:instrText>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tl/>
              </w:rPr>
            </w:r>
            <w:r w:rsidR="00AF3713" w:rsidRPr="00AF3713">
              <w:rPr>
                <w:rFonts w:ascii="Tahoma" w:hAnsi="Tahoma" w:cs="Tahoma"/>
                <w:noProof/>
                <w:webHidden/>
                <w:szCs w:val="20"/>
                <w:rtl/>
              </w:rPr>
              <w:fldChar w:fldCharType="separate"/>
            </w:r>
            <w:r w:rsidR="00B07FC1">
              <w:rPr>
                <w:rFonts w:ascii="Tahoma" w:hAnsi="Tahoma" w:cs="Tahoma"/>
                <w:noProof/>
                <w:webHidden/>
                <w:szCs w:val="20"/>
                <w:rtl/>
              </w:rPr>
              <w:t>904</w:t>
            </w:r>
            <w:r w:rsidR="00AF3713" w:rsidRPr="00AF3713">
              <w:rPr>
                <w:rFonts w:ascii="Tahoma" w:hAnsi="Tahoma" w:cs="Tahoma"/>
                <w:noProof/>
                <w:webHidden/>
                <w:szCs w:val="20"/>
                <w:rtl/>
              </w:rPr>
              <w:fldChar w:fldCharType="end"/>
            </w:r>
          </w:hyperlink>
        </w:p>
        <w:p w:rsidR="00AF3713" w:rsidRPr="00AF3713" w:rsidRDefault="0055181B" w:rsidP="00AF3713">
          <w:pPr>
            <w:pStyle w:val="TOC2"/>
            <w:tabs>
              <w:tab w:val="right" w:leader="dot" w:pos="8210"/>
            </w:tabs>
            <w:spacing w:after="60"/>
            <w:rPr>
              <w:rFonts w:ascii="Tahoma" w:eastAsiaTheme="minorEastAsia" w:hAnsi="Tahoma" w:cs="Tahoma"/>
              <w:noProof/>
              <w:szCs w:val="20"/>
              <w:rtl/>
            </w:rPr>
          </w:pPr>
          <w:hyperlink w:anchor="_Toc32167119" w:history="1">
            <w:r w:rsidR="00AF3713" w:rsidRPr="00AF3713">
              <w:rPr>
                <w:rStyle w:val="Hyperlink"/>
                <w:rFonts w:ascii="Tahoma" w:hAnsi="Tahoma" w:cs="Tahoma"/>
                <w:noProof/>
                <w:szCs w:val="20"/>
                <w:rtl/>
              </w:rPr>
              <w:t>התקשרות עם עיריית ירושלים לאספקת קולחים</w:t>
            </w:r>
            <w:r w:rsidR="00AF3713" w:rsidRPr="00AF3713">
              <w:rPr>
                <w:rFonts w:ascii="Tahoma" w:hAnsi="Tahoma" w:cs="Tahoma"/>
                <w:noProof/>
                <w:webHidden/>
                <w:szCs w:val="20"/>
                <w:rtl/>
              </w:rPr>
              <w:tab/>
            </w:r>
            <w:r w:rsidR="00AF3713" w:rsidRPr="00AF3713">
              <w:rPr>
                <w:rFonts w:ascii="Tahoma" w:hAnsi="Tahoma" w:cs="Tahoma"/>
                <w:noProof/>
                <w:webHidden/>
                <w:szCs w:val="20"/>
                <w:rtl/>
              </w:rPr>
              <w:fldChar w:fldCharType="begin"/>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Pr>
              <w:instrText>PAGEREF</w:instrText>
            </w:r>
            <w:r w:rsidR="00AF3713" w:rsidRPr="00AF3713">
              <w:rPr>
                <w:rFonts w:ascii="Tahoma" w:hAnsi="Tahoma" w:cs="Tahoma"/>
                <w:noProof/>
                <w:webHidden/>
                <w:szCs w:val="20"/>
                <w:rtl/>
              </w:rPr>
              <w:instrText xml:space="preserve"> _</w:instrText>
            </w:r>
            <w:r w:rsidR="00AF3713" w:rsidRPr="00AF3713">
              <w:rPr>
                <w:rFonts w:ascii="Tahoma" w:hAnsi="Tahoma" w:cs="Tahoma"/>
                <w:noProof/>
                <w:webHidden/>
                <w:szCs w:val="20"/>
              </w:rPr>
              <w:instrText>Toc32167119 \h</w:instrText>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tl/>
              </w:rPr>
            </w:r>
            <w:r w:rsidR="00AF3713" w:rsidRPr="00AF3713">
              <w:rPr>
                <w:rFonts w:ascii="Tahoma" w:hAnsi="Tahoma" w:cs="Tahoma"/>
                <w:noProof/>
                <w:webHidden/>
                <w:szCs w:val="20"/>
                <w:rtl/>
              </w:rPr>
              <w:fldChar w:fldCharType="separate"/>
            </w:r>
            <w:r w:rsidR="00B07FC1">
              <w:rPr>
                <w:rFonts w:ascii="Tahoma" w:hAnsi="Tahoma" w:cs="Tahoma"/>
                <w:noProof/>
                <w:webHidden/>
                <w:szCs w:val="20"/>
                <w:rtl/>
              </w:rPr>
              <w:t>906</w:t>
            </w:r>
            <w:r w:rsidR="00AF3713" w:rsidRPr="00AF3713">
              <w:rPr>
                <w:rFonts w:ascii="Tahoma" w:hAnsi="Tahoma" w:cs="Tahoma"/>
                <w:noProof/>
                <w:webHidden/>
                <w:szCs w:val="20"/>
                <w:rtl/>
              </w:rPr>
              <w:fldChar w:fldCharType="end"/>
            </w:r>
          </w:hyperlink>
        </w:p>
        <w:p w:rsidR="00AF3713" w:rsidRPr="00AF3713" w:rsidRDefault="0055181B" w:rsidP="00AF3713">
          <w:pPr>
            <w:pStyle w:val="TOC3"/>
            <w:tabs>
              <w:tab w:val="right" w:leader="dot" w:pos="8210"/>
            </w:tabs>
            <w:spacing w:after="60"/>
            <w:rPr>
              <w:rFonts w:ascii="Tahoma" w:eastAsiaTheme="minorEastAsia" w:hAnsi="Tahoma" w:cs="Tahoma"/>
              <w:noProof/>
              <w:szCs w:val="20"/>
              <w:rtl/>
            </w:rPr>
          </w:pPr>
          <w:hyperlink w:anchor="_Toc32167120" w:history="1">
            <w:r w:rsidR="00AF3713" w:rsidRPr="00AF3713">
              <w:rPr>
                <w:rStyle w:val="Hyperlink"/>
                <w:rFonts w:ascii="Tahoma" w:hAnsi="Tahoma" w:cs="Tahoma"/>
                <w:noProof/>
                <w:szCs w:val="20"/>
                <w:rtl/>
              </w:rPr>
              <w:t>סיכום</w:t>
            </w:r>
            <w:r w:rsidR="00AF3713" w:rsidRPr="00AF3713">
              <w:rPr>
                <w:rFonts w:ascii="Tahoma" w:hAnsi="Tahoma" w:cs="Tahoma"/>
                <w:noProof/>
                <w:webHidden/>
                <w:szCs w:val="20"/>
                <w:rtl/>
              </w:rPr>
              <w:tab/>
            </w:r>
            <w:r w:rsidR="00AF3713" w:rsidRPr="00AF3713">
              <w:rPr>
                <w:rFonts w:ascii="Tahoma" w:hAnsi="Tahoma" w:cs="Tahoma"/>
                <w:noProof/>
                <w:webHidden/>
                <w:szCs w:val="20"/>
                <w:rtl/>
              </w:rPr>
              <w:fldChar w:fldCharType="begin"/>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Pr>
              <w:instrText>PAGEREF</w:instrText>
            </w:r>
            <w:r w:rsidR="00AF3713" w:rsidRPr="00AF3713">
              <w:rPr>
                <w:rFonts w:ascii="Tahoma" w:hAnsi="Tahoma" w:cs="Tahoma"/>
                <w:noProof/>
                <w:webHidden/>
                <w:szCs w:val="20"/>
                <w:rtl/>
              </w:rPr>
              <w:instrText xml:space="preserve"> _</w:instrText>
            </w:r>
            <w:r w:rsidR="00AF3713" w:rsidRPr="00AF3713">
              <w:rPr>
                <w:rFonts w:ascii="Tahoma" w:hAnsi="Tahoma" w:cs="Tahoma"/>
                <w:noProof/>
                <w:webHidden/>
                <w:szCs w:val="20"/>
              </w:rPr>
              <w:instrText>Toc32167120 \h</w:instrText>
            </w:r>
            <w:r w:rsidR="00AF3713" w:rsidRPr="00AF3713">
              <w:rPr>
                <w:rFonts w:ascii="Tahoma" w:hAnsi="Tahoma" w:cs="Tahoma"/>
                <w:noProof/>
                <w:webHidden/>
                <w:szCs w:val="20"/>
                <w:rtl/>
              </w:rPr>
              <w:instrText xml:space="preserve"> </w:instrText>
            </w:r>
            <w:r w:rsidR="00AF3713" w:rsidRPr="00AF3713">
              <w:rPr>
                <w:rFonts w:ascii="Tahoma" w:hAnsi="Tahoma" w:cs="Tahoma"/>
                <w:noProof/>
                <w:webHidden/>
                <w:szCs w:val="20"/>
                <w:rtl/>
              </w:rPr>
            </w:r>
            <w:r w:rsidR="00AF3713" w:rsidRPr="00AF3713">
              <w:rPr>
                <w:rFonts w:ascii="Tahoma" w:hAnsi="Tahoma" w:cs="Tahoma"/>
                <w:noProof/>
                <w:webHidden/>
                <w:szCs w:val="20"/>
                <w:rtl/>
              </w:rPr>
              <w:fldChar w:fldCharType="separate"/>
            </w:r>
            <w:r w:rsidR="00B07FC1">
              <w:rPr>
                <w:rFonts w:ascii="Tahoma" w:hAnsi="Tahoma" w:cs="Tahoma"/>
                <w:noProof/>
                <w:webHidden/>
                <w:szCs w:val="20"/>
                <w:rtl/>
              </w:rPr>
              <w:t>911</w:t>
            </w:r>
            <w:r w:rsidR="00AF3713" w:rsidRPr="00AF3713">
              <w:rPr>
                <w:rFonts w:ascii="Tahoma" w:hAnsi="Tahoma" w:cs="Tahoma"/>
                <w:noProof/>
                <w:webHidden/>
                <w:szCs w:val="20"/>
                <w:rtl/>
              </w:rPr>
              <w:fldChar w:fldCharType="end"/>
            </w:r>
          </w:hyperlink>
        </w:p>
        <w:p w:rsidR="00A75367" w:rsidRPr="00BC57BC" w:rsidRDefault="00A75367" w:rsidP="00AF3713">
          <w:pPr>
            <w:spacing w:after="60"/>
            <w:rPr>
              <w:rFonts w:ascii="Tahoma" w:hAnsi="Tahoma" w:cs="Tahoma"/>
              <w:sz w:val="16"/>
              <w:szCs w:val="20"/>
              <w:rtl/>
              <w:cs/>
            </w:rPr>
          </w:pPr>
          <w:r w:rsidRPr="00AF3713">
            <w:rPr>
              <w:rFonts w:ascii="Tahoma" w:hAnsi="Tahoma" w:cs="Tahoma"/>
              <w:b/>
              <w:bCs/>
              <w:szCs w:val="20"/>
              <w:lang w:val="he-IL"/>
            </w:rPr>
            <w:fldChar w:fldCharType="end"/>
          </w:r>
        </w:p>
      </w:sdtContent>
    </w:sdt>
    <w:p w:rsidR="00AF3713" w:rsidRDefault="00AF3713" w:rsidP="00017586">
      <w:pPr>
        <w:spacing w:after="120"/>
        <w:rPr>
          <w:rFonts w:ascii="Tahoma" w:hAnsi="Tahoma" w:cs="Tahoma"/>
          <w:sz w:val="16"/>
          <w:szCs w:val="20"/>
          <w:rtl/>
        </w:rPr>
        <w:sectPr w:rsidR="00AF3713" w:rsidSect="00CC74ED">
          <w:headerReference w:type="first" r:id="rId17"/>
          <w:footerReference w:type="first" r:id="rId18"/>
          <w:pgSz w:w="11906" w:h="16838"/>
          <w:pgMar w:top="2268" w:right="1985" w:bottom="2155" w:left="1701" w:header="709" w:footer="709" w:gutter="0"/>
          <w:cols w:space="708"/>
          <w:bidi/>
          <w:rtlGutter/>
          <w:docGrid w:linePitch="360"/>
        </w:sectPr>
      </w:pPr>
    </w:p>
    <w:p w:rsidR="00017586" w:rsidRPr="00017586" w:rsidRDefault="00017586" w:rsidP="00017586">
      <w:pPr>
        <w:spacing w:after="120"/>
        <w:rPr>
          <w:rFonts w:ascii="Tahoma" w:hAnsi="Tahoma" w:cs="Tahoma"/>
          <w:sz w:val="16"/>
          <w:szCs w:val="20"/>
        </w:rPr>
      </w:pPr>
    </w:p>
    <w:p w:rsidR="00017586" w:rsidRPr="00017586" w:rsidRDefault="00017586" w:rsidP="00017586">
      <w:pPr>
        <w:spacing w:after="120"/>
        <w:rPr>
          <w:rFonts w:ascii="Tahoma" w:hAnsi="Tahoma" w:cs="Tahoma"/>
          <w:sz w:val="16"/>
          <w:szCs w:val="20"/>
        </w:rPr>
      </w:pPr>
    </w:p>
    <w:p w:rsidR="00AF3713" w:rsidRDefault="00AF3713" w:rsidP="00A75367">
      <w:pPr>
        <w:pStyle w:val="31"/>
        <w:rPr>
          <w:rtl/>
        </w:rPr>
        <w:sectPr w:rsidR="00AF3713" w:rsidSect="00CC74ED">
          <w:pgSz w:w="11906" w:h="16838"/>
          <w:pgMar w:top="2268" w:right="1985" w:bottom="2155" w:left="1701" w:header="709" w:footer="709" w:gutter="0"/>
          <w:cols w:space="708"/>
          <w:titlePg/>
          <w:bidi/>
          <w:rtlGutter/>
          <w:docGrid w:linePitch="360"/>
        </w:sectPr>
      </w:pPr>
      <w:bookmarkStart w:id="4" w:name="_Toc32167105"/>
    </w:p>
    <w:p w:rsidR="00A75367" w:rsidRPr="00A75367" w:rsidRDefault="00A75367" w:rsidP="00A75367">
      <w:pPr>
        <w:pStyle w:val="31"/>
        <w:rPr>
          <w:rtl/>
        </w:rPr>
      </w:pPr>
      <w:r w:rsidRPr="00A75367">
        <w:rPr>
          <w:rtl/>
        </w:rPr>
        <w:lastRenderedPageBreak/>
        <w:t>מבוא</w:t>
      </w:r>
      <w:bookmarkEnd w:id="3"/>
      <w:bookmarkEnd w:id="4"/>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 xml:space="preserve">הרשות הממשלתית למים ולביוב (להלן - רשות המים), שאחראית לניהולו של משק המים והביוב, לתפעולו </w:t>
      </w:r>
      <w:proofErr w:type="spellStart"/>
      <w:r w:rsidRPr="00BC57BC">
        <w:rPr>
          <w:rFonts w:ascii="Tahoma" w:hAnsi="Tahoma" w:cs="Tahoma"/>
          <w:sz w:val="16"/>
          <w:szCs w:val="20"/>
          <w:rtl/>
        </w:rPr>
        <w:t>ולאסדרתו</w:t>
      </w:r>
      <w:proofErr w:type="spellEnd"/>
      <w:r w:rsidRPr="00BC57BC">
        <w:rPr>
          <w:rFonts w:ascii="Tahoma" w:hAnsi="Tahoma" w:cs="Tahoma"/>
          <w:sz w:val="16"/>
          <w:szCs w:val="20"/>
          <w:rtl/>
        </w:rPr>
        <w:t xml:space="preserve">, הוקמה ב-2007 בהתאם להוראות חוק המים, התשי"ט-1959 (להלן - חוק המים). עוד נקבע בחוק המים כי לרשות המים תהיה מועצה (מועצת רשות המים), שתהיה אמונה על </w:t>
      </w:r>
      <w:proofErr w:type="spellStart"/>
      <w:r w:rsidRPr="00BC57BC">
        <w:rPr>
          <w:rFonts w:ascii="Tahoma" w:hAnsi="Tahoma" w:cs="Tahoma"/>
          <w:sz w:val="16"/>
          <w:szCs w:val="20"/>
          <w:rtl/>
        </w:rPr>
        <w:t>אסדרת</w:t>
      </w:r>
      <w:proofErr w:type="spellEnd"/>
      <w:r w:rsidRPr="00BC57BC">
        <w:rPr>
          <w:rFonts w:ascii="Tahoma" w:hAnsi="Tahoma" w:cs="Tahoma"/>
          <w:sz w:val="16"/>
          <w:szCs w:val="20"/>
          <w:rtl/>
        </w:rPr>
        <w:t xml:space="preserve"> משק המים, פיתוחו והפיקוח עליו, וכן על ביצוע מדיניות הממשלה. על פי חוק תאגידי מים וביוב, התשס"א-2001 (להלן - חוק תאגידי מים וביוב), הממונה על ענייני החברות לשירותי מים וביוב</w:t>
      </w:r>
      <w:r w:rsidRPr="00BC57BC">
        <w:rPr>
          <w:rFonts w:ascii="Tahoma" w:hAnsi="Tahoma" w:cs="Tahoma"/>
          <w:szCs w:val="20"/>
          <w:rtl/>
        </w:rPr>
        <w:t xml:space="preserve"> (להלן - הממונה על התאגידים)</w:t>
      </w:r>
      <w:r w:rsidRPr="00BC57BC">
        <w:rPr>
          <w:rStyle w:val="FootnoteReference"/>
          <w:rFonts w:ascii="Tahoma" w:hAnsi="Tahoma" w:cs="Tahoma"/>
          <w:szCs w:val="20"/>
          <w:rtl/>
        </w:rPr>
        <w:footnoteReference w:id="1"/>
      </w:r>
      <w:r w:rsidRPr="00BC57BC">
        <w:rPr>
          <w:rFonts w:ascii="Tahoma" w:hAnsi="Tahoma" w:cs="Tahoma"/>
          <w:szCs w:val="20"/>
          <w:rtl/>
        </w:rPr>
        <w:t xml:space="preserve"> אחראי בין היתר לתת הנחיות מקצועיות בנושא ניהול משק המים ושיקום מערכות המים ופיתוחן, וכן לפיקוח על תאגידי המים ולבקרה על הוצאותיהם.</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חברת הגיחון בע"מ (להלן - הגיחון או התאגיד) הוקמה בידי עיריית ירושלים בשנת 1996. בשנת 2003 העניק הממונה על התאגידים לגיחון רישיון להפעלת תאגיד לפי חוק תאגידי מים וביוב. על התאגיד הוטלה האחריות המלאה למתן שירותי מים וביוב בעיר ירושלים. משנת 2010 אחראי התאגיד להעניק שירותי מים וביוב גם למועצות המקומיות מבשרת ציון ואבו גוש. התאגיד נמצא בבעלותן של עיריית ירושלים (94.95%), המועצה המקומית מבשרת ציון (3.5%) והמועצה המקומית אבו גוש (1.55%). התאגיד מחזיק ב-95.92% מחברת מפעלי ביוב וטיהור ירושלים בע"מ (</w:t>
      </w:r>
      <w:proofErr w:type="spellStart"/>
      <w:r w:rsidRPr="00BC57BC">
        <w:rPr>
          <w:rFonts w:ascii="Tahoma" w:hAnsi="Tahoma" w:cs="Tahoma"/>
          <w:sz w:val="16"/>
          <w:szCs w:val="20"/>
          <w:rtl/>
        </w:rPr>
        <w:t>מבט"י</w:t>
      </w:r>
      <w:proofErr w:type="spellEnd"/>
      <w:r w:rsidRPr="00BC57BC">
        <w:rPr>
          <w:rFonts w:ascii="Tahoma" w:hAnsi="Tahoma" w:cs="Tahoma"/>
          <w:sz w:val="16"/>
          <w:szCs w:val="20"/>
          <w:rtl/>
        </w:rPr>
        <w:t>)</w:t>
      </w:r>
      <w:r w:rsidRPr="00BC57BC">
        <w:rPr>
          <w:rStyle w:val="FootnoteReference"/>
          <w:rFonts w:ascii="Tahoma" w:hAnsi="Tahoma" w:cs="Tahoma"/>
          <w:sz w:val="16"/>
          <w:szCs w:val="20"/>
          <w:rtl/>
        </w:rPr>
        <w:footnoteReference w:id="2"/>
      </w:r>
      <w:r w:rsidRPr="00BC57BC">
        <w:rPr>
          <w:rFonts w:ascii="Tahoma" w:hAnsi="Tahoma" w:cs="Tahoma"/>
          <w:sz w:val="16"/>
          <w:szCs w:val="20"/>
          <w:rtl/>
        </w:rPr>
        <w:t>, חברה שמטרותיה העיקריות הן הקמת מפעלי ביוב להולכת השפכים מהעיר ירושלים וסביבתה, טיהורם ומכירתם לצרכים חקלאיים ואחרים.</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 xml:space="preserve">התאגיד מספק שירותי מים וביוב לאוכלוסייה גדולה ומגוונת מן ההיבט הכלכלי והחברתי ובכלל זאת למזרח ירושלים, שמתגוררים בה כ-33% מאוכלוסיית העיר, דבר המערים קשיים רבים בפיתוח התשתיות, באכיפה ובגבייה. כמו כן אזור ירושלים מאופיין במבנה טופוגרפי הררי בעל הפרשי גובה של עד 330 מטר, דבר המחייב שימוש במערכות ייעודיות לוויסות לחצים של המים והשקעות נוספות בתשתיות שחלקן ישנות מאוד ורעועות. </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בסוף 2018 הועסקו בתאגיד כ-238 עובדים</w:t>
      </w:r>
      <w:r w:rsidRPr="00BC57BC">
        <w:rPr>
          <w:rStyle w:val="FootnoteReference"/>
          <w:rFonts w:ascii="Tahoma" w:hAnsi="Tahoma" w:cs="Tahoma"/>
          <w:sz w:val="16"/>
          <w:szCs w:val="20"/>
          <w:rtl/>
        </w:rPr>
        <w:footnoteReference w:id="3"/>
      </w:r>
      <w:r w:rsidRPr="00BC57BC">
        <w:rPr>
          <w:rFonts w:ascii="Tahoma" w:hAnsi="Tahoma" w:cs="Tahoma"/>
          <w:sz w:val="16"/>
          <w:szCs w:val="20"/>
          <w:rtl/>
        </w:rPr>
        <w:t>. בשנה זו סיפק התאגיד כ-71.4 מיליון מ"ק</w:t>
      </w:r>
      <w:r w:rsidRPr="00BC57BC">
        <w:rPr>
          <w:rStyle w:val="FootnoteReference"/>
          <w:rFonts w:ascii="Tahoma" w:hAnsi="Tahoma" w:cs="Tahoma"/>
          <w:sz w:val="16"/>
          <w:szCs w:val="20"/>
          <w:rtl/>
        </w:rPr>
        <w:footnoteReference w:id="4"/>
      </w:r>
      <w:r w:rsidRPr="00BC57BC">
        <w:rPr>
          <w:rFonts w:ascii="Tahoma" w:hAnsi="Tahoma" w:cs="Tahoma"/>
          <w:sz w:val="16"/>
          <w:szCs w:val="20"/>
          <w:rtl/>
        </w:rPr>
        <w:t xml:space="preserve"> מים ליותר </w:t>
      </w:r>
      <w:r>
        <w:rPr>
          <w:rFonts w:ascii="Tahoma" w:hAnsi="Tahoma" w:cs="Tahoma"/>
          <w:sz w:val="16"/>
          <w:szCs w:val="20"/>
          <w:rtl/>
        </w:rPr>
        <w:t>מ-</w:t>
      </w:r>
      <w:r w:rsidRPr="00BC57BC">
        <w:rPr>
          <w:rFonts w:ascii="Tahoma" w:hAnsi="Tahoma" w:cs="Tahoma"/>
          <w:sz w:val="16"/>
          <w:szCs w:val="20"/>
          <w:rtl/>
        </w:rPr>
        <w:t>900,000 תושבים בירושלים, במבשרת ציון ובאבו גוש, באזור ששטחו כ-130,000 דונמים. נוסף על כך סיפק התאגיד שירותי ביוב וניקוז. אורכה של תשתית רשת המים של התאגיד כ-1,300 ק"מ, ואורכם של קווי ההולכה של רשת הביוב שלו כ-1,000 ק"מ. הגיחון הוא התאגיד הגדול ביותר במשק. להלן שיעור אספקת המים של תאגיד הגיחון לעומת שאר התאגידים במדינה בשנת 2017.</w:t>
      </w:r>
    </w:p>
    <w:p w:rsidR="00A75367" w:rsidRPr="00A75367" w:rsidRDefault="00A75367" w:rsidP="00A75367">
      <w:pPr>
        <w:pStyle w:val="CommentText"/>
        <w:spacing w:after="120" w:line="312" w:lineRule="auto"/>
        <w:rPr>
          <w:rFonts w:ascii="Tahoma" w:hAnsi="Tahoma" w:cs="Tahoma"/>
          <w:sz w:val="16"/>
          <w:rtl/>
        </w:rPr>
      </w:pPr>
    </w:p>
    <w:p w:rsidR="00A75367" w:rsidRPr="00BC57BC" w:rsidRDefault="00A75367" w:rsidP="00A75367">
      <w:pPr>
        <w:pStyle w:val="a1"/>
        <w:rPr>
          <w:rtl/>
        </w:rPr>
      </w:pPr>
      <w:r w:rsidRPr="00A75367">
        <w:rPr>
          <w:b w:val="0"/>
          <w:bCs w:val="0"/>
          <w:rtl/>
        </w:rPr>
        <w:lastRenderedPageBreak/>
        <w:t>תרשים 1:</w:t>
      </w:r>
      <w:r w:rsidRPr="00BC57BC">
        <w:rPr>
          <w:rtl/>
        </w:rPr>
        <w:t xml:space="preserve"> אספקת המים והיקף האוכלוסייה של תאגיד הגיחון לעומת שאר התאגידים במדינה, 2017</w:t>
      </w:r>
    </w:p>
    <w:p w:rsidR="0055181B" w:rsidRDefault="0055181B" w:rsidP="00A75367">
      <w:pPr>
        <w:spacing w:after="120"/>
        <w:jc w:val="center"/>
        <w:rPr>
          <w:rFonts w:ascii="Tahoma" w:hAnsi="Tahoma" w:cs="Tahoma"/>
          <w:sz w:val="16"/>
          <w:szCs w:val="20"/>
          <w:rtl/>
        </w:rPr>
      </w:pPr>
      <w:r>
        <w:rPr>
          <w:rFonts w:ascii="Tahoma" w:hAnsi="Tahoma" w:cs="Tahoma"/>
          <w:noProof/>
          <w:sz w:val="16"/>
          <w:szCs w:val="20"/>
        </w:rPr>
        <w:drawing>
          <wp:inline distT="0" distB="0" distL="0" distR="0" wp14:anchorId="42C20742">
            <wp:extent cx="2938780" cy="1999615"/>
            <wp:effectExtent l="0" t="0" r="0" b="0"/>
            <wp:docPr id="1" name="Picture 1" descr="בשנת 2017 סיפק הגיחון 76 מיליון מ&quot;ק מים - 14% מכלל המים שסיפקו כל התאגידים - לכ-900,000 תושבים, שהם כ-13% מהאוכלוסייה הרוכשת מים מהתאגידים. שאר התאגידים סיפקו 461 מיליון מ&quot;ק מים - כ-76% מכלל המים שסיפקו כל התאגידים - לכ-6.1 מיליון תושבים - שהם 87% מהאוכלוסייה הרוכשת מים מתאגיד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8780" cy="1999615"/>
                    </a:xfrm>
                    <a:prstGeom prst="rect">
                      <a:avLst/>
                    </a:prstGeom>
                    <a:noFill/>
                  </pic:spPr>
                </pic:pic>
              </a:graphicData>
            </a:graphic>
          </wp:inline>
        </w:drawing>
      </w:r>
    </w:p>
    <w:p w:rsidR="0055181B" w:rsidRPr="00BC57BC" w:rsidRDefault="0055181B" w:rsidP="00A75367">
      <w:pPr>
        <w:spacing w:after="120"/>
        <w:jc w:val="center"/>
        <w:rPr>
          <w:rFonts w:ascii="Tahoma" w:hAnsi="Tahoma" w:cs="Tahoma"/>
          <w:sz w:val="16"/>
          <w:szCs w:val="20"/>
          <w:rtl/>
        </w:rPr>
      </w:pPr>
      <w:r>
        <w:rPr>
          <w:rFonts w:ascii="Tahoma" w:hAnsi="Tahoma" w:cs="Tahoma"/>
          <w:noProof/>
          <w:sz w:val="16"/>
          <w:szCs w:val="20"/>
        </w:rPr>
        <w:drawing>
          <wp:inline distT="0" distB="0" distL="0" distR="0" wp14:anchorId="43C6177B">
            <wp:extent cx="2993390" cy="2164080"/>
            <wp:effectExtent l="0" t="0" r="0" b="0"/>
            <wp:docPr id="6" name="Picture 6" descr="נתוני התרשים מפורטים בתרשים לע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3390" cy="2164080"/>
                    </a:xfrm>
                    <a:prstGeom prst="rect">
                      <a:avLst/>
                    </a:prstGeom>
                    <a:noFill/>
                  </pic:spPr>
                </pic:pic>
              </a:graphicData>
            </a:graphic>
          </wp:inline>
        </w:drawing>
      </w:r>
    </w:p>
    <w:p w:rsidR="00A75367" w:rsidRPr="00BC57BC" w:rsidRDefault="00A75367" w:rsidP="00C51EE6">
      <w:pPr>
        <w:keepNext/>
        <w:spacing w:after="120"/>
        <w:rPr>
          <w:rFonts w:ascii="Tahoma" w:hAnsi="Tahoma" w:cs="Tahoma"/>
          <w:szCs w:val="20"/>
          <w:rtl/>
        </w:rPr>
      </w:pPr>
      <w:r w:rsidRPr="00BC57BC">
        <w:rPr>
          <w:rFonts w:ascii="Tahoma" w:hAnsi="Tahoma" w:cs="Tahoma"/>
          <w:szCs w:val="20"/>
          <w:rtl/>
        </w:rPr>
        <w:lastRenderedPageBreak/>
        <w:t>להלן נתונים כספיים על התאגיד:</w:t>
      </w:r>
    </w:p>
    <w:p w:rsidR="00A75367" w:rsidRPr="00BC57BC" w:rsidRDefault="00A75367" w:rsidP="00A75367">
      <w:pPr>
        <w:pStyle w:val="a1"/>
        <w:rPr>
          <w:rtl/>
        </w:rPr>
      </w:pPr>
      <w:r w:rsidRPr="00A75367">
        <w:rPr>
          <w:b w:val="0"/>
          <w:bCs w:val="0"/>
          <w:rtl/>
        </w:rPr>
        <w:t>תרשים 2:</w:t>
      </w:r>
      <w:r w:rsidRPr="00BC57BC">
        <w:rPr>
          <w:rtl/>
        </w:rPr>
        <w:t xml:space="preserve"> נתונים כספיים על התאגיד 2014 - 2018 (במיליוני ש"ח)</w:t>
      </w:r>
    </w:p>
    <w:p w:rsidR="0055181B" w:rsidRPr="00BC57BC" w:rsidRDefault="0055181B" w:rsidP="00D7140E">
      <w:pPr>
        <w:spacing w:after="120"/>
        <w:jc w:val="center"/>
        <w:rPr>
          <w:rFonts w:ascii="Tahoma" w:hAnsi="Tahoma" w:cs="Tahoma"/>
          <w:szCs w:val="20"/>
          <w:rtl/>
        </w:rPr>
      </w:pPr>
      <w:r>
        <w:rPr>
          <w:rFonts w:ascii="Tahoma" w:hAnsi="Tahoma" w:cs="Tahoma"/>
          <w:noProof/>
          <w:szCs w:val="20"/>
        </w:rPr>
        <w:drawing>
          <wp:inline distT="0" distB="0" distL="0" distR="0" wp14:anchorId="4A852439">
            <wp:extent cx="4572635" cy="2743200"/>
            <wp:effectExtent l="0" t="0" r="0" b="0"/>
            <wp:docPr id="20" name="Picture 20" descr="התרשים מתאר את הכנסות התאגיד, הוצאותיו ורווחיותו בשנים 2014 עד 2018. מהתרשים עולה כי בשנים אלה נרשמה מגמת עלייה ברווחי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A75367" w:rsidRPr="00A75367" w:rsidRDefault="00A75367" w:rsidP="00A75367">
      <w:pPr>
        <w:spacing w:before="120" w:after="120"/>
        <w:jc w:val="center"/>
        <w:rPr>
          <w:rFonts w:ascii="Tahoma" w:hAnsi="Tahoma" w:cs="Tahoma"/>
          <w:sz w:val="16"/>
          <w:szCs w:val="16"/>
          <w:rtl/>
          <w:lang w:eastAsia="he-IL"/>
        </w:rPr>
      </w:pPr>
      <w:r w:rsidRPr="00A75367">
        <w:rPr>
          <w:rFonts w:ascii="Tahoma" w:hAnsi="Tahoma" w:cs="Tahoma"/>
          <w:sz w:val="16"/>
          <w:szCs w:val="16"/>
          <w:rtl/>
          <w:lang w:eastAsia="he-IL"/>
        </w:rPr>
        <w:t>על פי הדוחות הכספיים של הגיחון לשנים 2014 - 2018.</w:t>
      </w:r>
    </w:p>
    <w:p w:rsidR="00A75367" w:rsidRPr="00BC57BC" w:rsidRDefault="00A75367" w:rsidP="00A75367">
      <w:pPr>
        <w:pStyle w:val="a1"/>
        <w:rPr>
          <w:rtl/>
        </w:rPr>
      </w:pPr>
      <w:r w:rsidRPr="00A75367">
        <w:rPr>
          <w:b w:val="0"/>
          <w:bCs w:val="0"/>
          <w:rtl/>
        </w:rPr>
        <w:t>תרשים 3:</w:t>
      </w:r>
      <w:r w:rsidRPr="00BC57BC">
        <w:rPr>
          <w:rtl/>
        </w:rPr>
        <w:t xml:space="preserve"> השקעות תאגיד הגיחון 2014 - 2018 (במיליוני ש"ח)</w:t>
      </w:r>
    </w:p>
    <w:p w:rsidR="0055181B" w:rsidRPr="00BC57BC" w:rsidRDefault="0055181B" w:rsidP="00A75367">
      <w:pPr>
        <w:spacing w:after="120"/>
        <w:jc w:val="center"/>
        <w:rPr>
          <w:rFonts w:ascii="Tahoma" w:hAnsi="Tahoma" w:cs="Tahoma"/>
          <w:sz w:val="18"/>
          <w:szCs w:val="18"/>
          <w:rtl/>
        </w:rPr>
      </w:pPr>
      <w:r>
        <w:rPr>
          <w:rFonts w:ascii="Tahoma" w:hAnsi="Tahoma" w:cs="Tahoma"/>
          <w:noProof/>
          <w:sz w:val="18"/>
          <w:szCs w:val="18"/>
        </w:rPr>
        <w:drawing>
          <wp:inline distT="0" distB="0" distL="0" distR="0" wp14:anchorId="75EA8DDC">
            <wp:extent cx="4572635" cy="2365375"/>
            <wp:effectExtent l="0" t="0" r="0" b="0"/>
            <wp:docPr id="21" name="Picture 21" descr="התרשים מתאר את השקעות התאגיד בשנים 2014 עד 2018. מהתרשים עולה כי בשנים אלה גדלו השקעות התאגיד - מ-92.8 מיליון ש&quot;ח בשנת 2014 ל-140.5 מיליון ש&quot;ח בשנת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2365375"/>
                    </a:xfrm>
                    <a:prstGeom prst="rect">
                      <a:avLst/>
                    </a:prstGeom>
                    <a:noFill/>
                  </pic:spPr>
                </pic:pic>
              </a:graphicData>
            </a:graphic>
          </wp:inline>
        </w:drawing>
      </w:r>
    </w:p>
    <w:p w:rsidR="00A75367" w:rsidRPr="00A75367" w:rsidRDefault="00A75367" w:rsidP="00A75367">
      <w:pPr>
        <w:spacing w:before="120" w:after="120"/>
        <w:jc w:val="center"/>
        <w:rPr>
          <w:rFonts w:ascii="Tahoma" w:hAnsi="Tahoma" w:cs="Tahoma"/>
          <w:sz w:val="16"/>
          <w:szCs w:val="16"/>
          <w:rtl/>
          <w:lang w:eastAsia="he-IL"/>
        </w:rPr>
      </w:pPr>
      <w:r w:rsidRPr="00A75367">
        <w:rPr>
          <w:rFonts w:ascii="Tahoma" w:hAnsi="Tahoma" w:cs="Tahoma"/>
          <w:sz w:val="16"/>
          <w:szCs w:val="16"/>
          <w:rtl/>
          <w:lang w:eastAsia="he-IL"/>
        </w:rPr>
        <w:t>על פי הדוחות הכספיים של הגיחון לשנים 2014 - 2018.</w:t>
      </w:r>
    </w:p>
    <w:p w:rsidR="00A75367" w:rsidRPr="00A75367" w:rsidRDefault="00A75367" w:rsidP="00A75367">
      <w:pPr>
        <w:spacing w:after="120"/>
        <w:jc w:val="center"/>
        <w:rPr>
          <w:rFonts w:ascii="Tahoma" w:hAnsi="Tahoma" w:cs="Tahoma"/>
          <w:sz w:val="16"/>
          <w:szCs w:val="16"/>
          <w:rtl/>
          <w:lang w:eastAsia="he-IL"/>
        </w:rPr>
      </w:pPr>
      <w:r w:rsidRPr="00A75367">
        <w:rPr>
          <w:rFonts w:ascii="Tahoma" w:hAnsi="Tahoma" w:cs="Tahoma"/>
          <w:sz w:val="16"/>
          <w:szCs w:val="16"/>
          <w:rtl/>
          <w:lang w:eastAsia="he-IL"/>
        </w:rPr>
        <w:t>*</w:t>
      </w:r>
      <w:r w:rsidRPr="00A75367">
        <w:rPr>
          <w:rFonts w:ascii="Tahoma" w:hAnsi="Tahoma" w:cs="Tahoma" w:hint="cs"/>
          <w:sz w:val="16"/>
          <w:szCs w:val="16"/>
          <w:rtl/>
          <w:lang w:eastAsia="he-IL"/>
        </w:rPr>
        <w:t xml:space="preserve"> </w:t>
      </w:r>
      <w:r w:rsidRPr="00A75367">
        <w:rPr>
          <w:rFonts w:ascii="Tahoma" w:hAnsi="Tahoma" w:cs="Tahoma"/>
          <w:sz w:val="16"/>
          <w:szCs w:val="16"/>
          <w:rtl/>
          <w:lang w:eastAsia="he-IL"/>
        </w:rPr>
        <w:t>כולל השקעות במים, ביוב ובמכון טיהור שפכים.</w:t>
      </w:r>
    </w:p>
    <w:p w:rsidR="00A75367" w:rsidRPr="00BC57BC" w:rsidRDefault="00A75367" w:rsidP="00A75367">
      <w:pPr>
        <w:spacing w:after="120"/>
        <w:rPr>
          <w:rFonts w:ascii="Tahoma" w:hAnsi="Tahoma" w:cs="Tahoma"/>
          <w:szCs w:val="20"/>
          <w:rtl/>
        </w:rPr>
      </w:pPr>
      <w:r w:rsidRPr="00BC57BC">
        <w:rPr>
          <w:rFonts w:ascii="Tahoma" w:hAnsi="Tahoma" w:cs="Tahoma"/>
          <w:szCs w:val="20"/>
          <w:rtl/>
        </w:rPr>
        <w:t>מתרשימים 2 ו-3 עולה כי בין השנים 2014 - 2018 נרשמה מגמת רווחיות עולה, והתאגיד הגדיל את השקעותיו, כך שבשנת 2018 הם הגיעו לכ-25% מההכנסות. התאגיד לא חילק דיבידנד באותן שנים.</w:t>
      </w:r>
    </w:p>
    <w:p w:rsidR="00A75367" w:rsidRPr="00BC57BC" w:rsidRDefault="00A75367" w:rsidP="00C51EE6">
      <w:pPr>
        <w:spacing w:after="120" w:line="300" w:lineRule="auto"/>
        <w:rPr>
          <w:rFonts w:ascii="Tahoma" w:hAnsi="Tahoma" w:cs="Tahoma"/>
          <w:szCs w:val="20"/>
          <w:rtl/>
        </w:rPr>
      </w:pPr>
      <w:r w:rsidRPr="00BC57BC">
        <w:rPr>
          <w:rFonts w:ascii="Tahoma" w:hAnsi="Tahoma" w:cs="Tahoma"/>
          <w:szCs w:val="20"/>
          <w:rtl/>
        </w:rPr>
        <w:lastRenderedPageBreak/>
        <w:t>רשות המים, מתוקף הסמכות שהוקנתה לה בחוק המים, קובעת לתאגידים נורמות תפעול</w:t>
      </w:r>
      <w:r w:rsidRPr="00BC57BC">
        <w:rPr>
          <w:rFonts w:ascii="Tahoma" w:hAnsi="Tahoma" w:cs="Tahoma"/>
          <w:szCs w:val="20"/>
          <w:vertAlign w:val="superscript"/>
          <w:rtl/>
        </w:rPr>
        <w:footnoteReference w:id="5"/>
      </w:r>
      <w:r w:rsidRPr="00BC57BC">
        <w:rPr>
          <w:rFonts w:ascii="Tahoma" w:hAnsi="Tahoma" w:cs="Tahoma"/>
          <w:szCs w:val="20"/>
          <w:rtl/>
        </w:rPr>
        <w:t xml:space="preserve"> שאמורות לכסות את הוצאותיהם. בשנת 2017 נרשם פער בין נורמות התפעול שקבעה רשות המים לתאגיד לבין הוצאותיו בפועל. </w:t>
      </w:r>
    </w:p>
    <w:p w:rsidR="00A75367" w:rsidRPr="00A75367" w:rsidRDefault="00A75367" w:rsidP="00A75367">
      <w:pPr>
        <w:pStyle w:val="31"/>
        <w:rPr>
          <w:rtl/>
        </w:rPr>
      </w:pPr>
      <w:bookmarkStart w:id="5" w:name="_Toc17268270"/>
      <w:bookmarkStart w:id="6" w:name="_Toc32167106"/>
      <w:r w:rsidRPr="00A75367">
        <w:rPr>
          <w:rtl/>
        </w:rPr>
        <w:t>פעולות הביקורת</w:t>
      </w:r>
      <w:bookmarkEnd w:id="5"/>
      <w:bookmarkEnd w:id="6"/>
    </w:p>
    <w:p w:rsidR="00A75367" w:rsidRPr="00BC57BC" w:rsidRDefault="00A75367" w:rsidP="00C51EE6">
      <w:pPr>
        <w:spacing w:after="120" w:line="300" w:lineRule="auto"/>
        <w:rPr>
          <w:rFonts w:ascii="Tahoma" w:hAnsi="Tahoma" w:cs="Tahoma"/>
          <w:sz w:val="16"/>
          <w:szCs w:val="20"/>
          <w:rtl/>
        </w:rPr>
      </w:pPr>
      <w:r w:rsidRPr="00BC57BC">
        <w:rPr>
          <w:rFonts w:ascii="Tahoma" w:hAnsi="Tahoma" w:cs="Tahoma"/>
          <w:szCs w:val="20"/>
          <w:rtl/>
        </w:rPr>
        <w:t>בחודשים אוגוסט</w:t>
      </w:r>
      <w:r w:rsidRPr="00BC57BC">
        <w:rPr>
          <w:rFonts w:ascii="Tahoma" w:hAnsi="Tahoma" w:cs="Tahoma"/>
          <w:szCs w:val="20"/>
        </w:rPr>
        <w:t xml:space="preserve"> </w:t>
      </w:r>
      <w:r w:rsidRPr="00BC57BC">
        <w:rPr>
          <w:rFonts w:ascii="Tahoma" w:hAnsi="Tahoma" w:cs="Tahoma"/>
          <w:szCs w:val="20"/>
          <w:rtl/>
        </w:rPr>
        <w:t>2018</w:t>
      </w:r>
      <w:r w:rsidRPr="00BC57BC">
        <w:rPr>
          <w:rFonts w:ascii="Tahoma" w:hAnsi="Tahoma" w:cs="Tahoma"/>
          <w:szCs w:val="20"/>
        </w:rPr>
        <w:t xml:space="preserve"> </w:t>
      </w:r>
      <w:r w:rsidRPr="00BC57BC">
        <w:rPr>
          <w:rFonts w:ascii="Tahoma" w:hAnsi="Tahoma" w:cs="Tahoma"/>
          <w:szCs w:val="20"/>
          <w:rtl/>
        </w:rPr>
        <w:t xml:space="preserve">עד פברואר 2019 בדק משרד מבקר המדינה </w:t>
      </w:r>
      <w:r w:rsidRPr="00BC57BC">
        <w:rPr>
          <w:rFonts w:ascii="Tahoma" w:hAnsi="Tahoma" w:cs="Tahoma"/>
          <w:sz w:val="16"/>
          <w:szCs w:val="20"/>
          <w:rtl/>
        </w:rPr>
        <w:t xml:space="preserve">היבטים בפעילות תאגיד הגיחון. בין היתר בדק משרד מבקר המדינה בתאגיד את נושא איכות המים שהוא </w:t>
      </w:r>
      <w:r>
        <w:rPr>
          <w:rFonts w:ascii="Tahoma" w:hAnsi="Tahoma" w:cs="Tahoma"/>
          <w:sz w:val="16"/>
          <w:szCs w:val="20"/>
          <w:rtl/>
        </w:rPr>
        <w:t xml:space="preserve">סיפק </w:t>
      </w:r>
      <w:proofErr w:type="spellStart"/>
      <w:r>
        <w:rPr>
          <w:rFonts w:ascii="Tahoma" w:hAnsi="Tahoma" w:cs="Tahoma"/>
          <w:sz w:val="16"/>
          <w:szCs w:val="20"/>
          <w:rtl/>
        </w:rPr>
        <w:t>לצרכני</w:t>
      </w:r>
      <w:r>
        <w:rPr>
          <w:rFonts w:ascii="Tahoma" w:hAnsi="Tahoma" w:cs="Tahoma" w:hint="cs"/>
          <w:sz w:val="16"/>
          <w:szCs w:val="20"/>
          <w:rtl/>
        </w:rPr>
        <w:t>ו</w:t>
      </w:r>
      <w:proofErr w:type="spellEnd"/>
      <w:r>
        <w:rPr>
          <w:rFonts w:ascii="Tahoma" w:hAnsi="Tahoma" w:cs="Tahoma" w:hint="cs"/>
          <w:sz w:val="16"/>
          <w:szCs w:val="20"/>
          <w:rtl/>
        </w:rPr>
        <w:t>,</w:t>
      </w:r>
      <w:r w:rsidRPr="00BC57BC">
        <w:rPr>
          <w:rFonts w:ascii="Tahoma" w:hAnsi="Tahoma" w:cs="Tahoma"/>
          <w:sz w:val="16"/>
          <w:szCs w:val="20"/>
          <w:rtl/>
        </w:rPr>
        <w:t xml:space="preserve"> אולם בנושא זה לא נמצאו ליקויים. הביקורת נערכה בתאגיד הגיחון ובדיקות השלמה נעשו ברשות המים.</w:t>
      </w:r>
    </w:p>
    <w:p w:rsidR="00A75367" w:rsidRPr="00BC57BC" w:rsidRDefault="00A75367" w:rsidP="00A75367">
      <w:pPr>
        <w:pStyle w:val="21"/>
        <w:rPr>
          <w:rtl/>
        </w:rPr>
      </w:pPr>
      <w:bookmarkStart w:id="7" w:name="_Toc17268271"/>
      <w:bookmarkStart w:id="8" w:name="_Toc32167107"/>
      <w:r w:rsidRPr="00BC57BC">
        <w:rPr>
          <w:rtl/>
        </w:rPr>
        <w:t>תנאים למתן רישיון לפעילות נוספת של תאגיד המים</w:t>
      </w:r>
      <w:bookmarkEnd w:id="7"/>
      <w:bookmarkEnd w:id="8"/>
    </w:p>
    <w:p w:rsidR="00A75367" w:rsidRPr="00BC57BC" w:rsidRDefault="00A75367" w:rsidP="00C51EE6">
      <w:pPr>
        <w:spacing w:after="120" w:line="300" w:lineRule="auto"/>
        <w:rPr>
          <w:rFonts w:ascii="Tahoma" w:hAnsi="Tahoma" w:cs="Tahoma"/>
          <w:sz w:val="16"/>
          <w:szCs w:val="20"/>
          <w:rtl/>
        </w:rPr>
      </w:pPr>
      <w:r w:rsidRPr="00BC57BC">
        <w:rPr>
          <w:rFonts w:ascii="Tahoma" w:hAnsi="Tahoma" w:cs="Tahoma"/>
          <w:sz w:val="16"/>
          <w:szCs w:val="20"/>
          <w:rtl/>
        </w:rPr>
        <w:t xml:space="preserve">לפי סעיף 21א לחוק תאגידי מים וביוב שחוקק ב-2006 במסגרת הצעת חוק ההסדרים במשק המדינה, על מועצת רשות המים לקבוע "כללים לעניין מתן רישיונות, קביעת תנאים בהם ושינוים, ולעניין ביטול רישיונות והגבלתם". בדברי ההסבר לסעיף זה הוצע להסמיך את מועצת רשות המים לקבוע כללים ליישום המדיניות גם בנושאים הנוגעים לתאגידי מים וביוב. הכול במסגרת ריכוז הסמכויות וקביעת הכללים בנושאים השונים בידי גוף מקצועי אחד בעל ראייה כוללת ואחריות כללית לנושא. </w:t>
      </w:r>
    </w:p>
    <w:p w:rsidR="00A75367" w:rsidRPr="00BC57BC" w:rsidRDefault="00A75367" w:rsidP="00C51EE6">
      <w:pPr>
        <w:spacing w:after="120" w:line="300" w:lineRule="auto"/>
        <w:rPr>
          <w:rFonts w:ascii="Tahoma" w:hAnsi="Tahoma" w:cs="Tahoma"/>
          <w:sz w:val="16"/>
          <w:szCs w:val="20"/>
          <w:rtl/>
        </w:rPr>
      </w:pPr>
      <w:r w:rsidRPr="00BC57BC">
        <w:rPr>
          <w:rFonts w:ascii="Tahoma" w:hAnsi="Tahoma" w:cs="Tahoma"/>
          <w:sz w:val="16"/>
          <w:szCs w:val="20"/>
          <w:rtl/>
        </w:rPr>
        <w:t>"פעילות חיונית" של התאגיד הוגדרה בחוק תאגידי מים וביוב</w:t>
      </w:r>
      <w:r>
        <w:rPr>
          <w:rFonts w:ascii="Tahoma" w:hAnsi="Tahoma" w:cs="Tahoma"/>
          <w:sz w:val="16"/>
          <w:szCs w:val="20"/>
          <w:rtl/>
        </w:rPr>
        <w:t xml:space="preserve"> </w:t>
      </w:r>
      <w:r w:rsidRPr="00BC57BC">
        <w:rPr>
          <w:rFonts w:ascii="Tahoma" w:hAnsi="Tahoma" w:cs="Tahoma"/>
          <w:sz w:val="16"/>
          <w:szCs w:val="20"/>
          <w:rtl/>
        </w:rPr>
        <w:t>כמתן שירותי מים ושירותי ביוב לצרכנים. "פעילות נוספת" הוגדרה בחוק תאגידי מים וביוב ס'15(א): הפקת מים;</w:t>
      </w:r>
      <w:r>
        <w:rPr>
          <w:rFonts w:ascii="Tahoma" w:hAnsi="Tahoma" w:cs="Tahoma" w:hint="cs"/>
          <w:sz w:val="16"/>
          <w:szCs w:val="20"/>
          <w:rtl/>
        </w:rPr>
        <w:t xml:space="preserve"> </w:t>
      </w:r>
      <w:r w:rsidRPr="00BC57BC">
        <w:rPr>
          <w:rFonts w:ascii="Tahoma" w:hAnsi="Tahoma" w:cs="Tahoma"/>
          <w:sz w:val="16"/>
          <w:szCs w:val="20"/>
          <w:rtl/>
        </w:rPr>
        <w:t>התפלת מים;</w:t>
      </w:r>
      <w:r>
        <w:rPr>
          <w:rFonts w:ascii="Tahoma" w:hAnsi="Tahoma" w:cs="Tahoma" w:hint="cs"/>
          <w:sz w:val="16"/>
          <w:szCs w:val="20"/>
          <w:rtl/>
        </w:rPr>
        <w:t xml:space="preserve"> </w:t>
      </w:r>
      <w:r w:rsidRPr="00BC57BC">
        <w:rPr>
          <w:rFonts w:ascii="Tahoma" w:hAnsi="Tahoma" w:cs="Tahoma"/>
          <w:sz w:val="16"/>
          <w:szCs w:val="20"/>
          <w:rtl/>
        </w:rPr>
        <w:t>השבה של קולחים, הולכתם ומכירתם לשימושים חקלאיים ואחרים;</w:t>
      </w:r>
      <w:r>
        <w:rPr>
          <w:rFonts w:ascii="Tahoma" w:hAnsi="Tahoma" w:cs="Tahoma" w:hint="cs"/>
          <w:sz w:val="16"/>
          <w:szCs w:val="20"/>
          <w:rtl/>
        </w:rPr>
        <w:t xml:space="preserve"> </w:t>
      </w:r>
      <w:r w:rsidRPr="00BC57BC">
        <w:rPr>
          <w:rFonts w:ascii="Tahoma" w:hAnsi="Tahoma" w:cs="Tahoma"/>
          <w:sz w:val="16"/>
          <w:szCs w:val="20"/>
          <w:rtl/>
        </w:rPr>
        <w:t>ניצול בוצה ומכירתה;</w:t>
      </w:r>
      <w:r>
        <w:rPr>
          <w:rFonts w:ascii="Tahoma" w:hAnsi="Tahoma" w:cs="Tahoma" w:hint="cs"/>
          <w:sz w:val="16"/>
          <w:szCs w:val="20"/>
          <w:rtl/>
        </w:rPr>
        <w:t xml:space="preserve"> </w:t>
      </w:r>
      <w:r w:rsidRPr="00BC57BC">
        <w:rPr>
          <w:rFonts w:ascii="Tahoma" w:hAnsi="Tahoma" w:cs="Tahoma"/>
          <w:sz w:val="16"/>
          <w:szCs w:val="20"/>
          <w:rtl/>
        </w:rPr>
        <w:t>ניקוז מי גשמים ושיטפונות ותיעולם;</w:t>
      </w:r>
      <w:r>
        <w:rPr>
          <w:rFonts w:ascii="Tahoma" w:hAnsi="Tahoma" w:cs="Tahoma" w:hint="cs"/>
          <w:sz w:val="16"/>
          <w:szCs w:val="20"/>
          <w:rtl/>
        </w:rPr>
        <w:t xml:space="preserve"> </w:t>
      </w:r>
      <w:r w:rsidRPr="00BC57BC">
        <w:rPr>
          <w:rFonts w:ascii="Tahoma" w:hAnsi="Tahoma" w:cs="Tahoma"/>
          <w:sz w:val="16"/>
          <w:szCs w:val="20"/>
          <w:rtl/>
        </w:rPr>
        <w:t>פעילות אחרת בתחומים הקשורים למשק המים והביוב או לתחום התברואה שקבעו השרים בצו.</w:t>
      </w:r>
    </w:p>
    <w:p w:rsidR="00A75367" w:rsidRPr="007900AC" w:rsidRDefault="00A75367" w:rsidP="00C51EE6">
      <w:pPr>
        <w:spacing w:after="120" w:line="300" w:lineRule="auto"/>
        <w:rPr>
          <w:rFonts w:ascii="Tahoma" w:hAnsi="Tahoma" w:cs="Tahoma"/>
          <w:sz w:val="16"/>
          <w:szCs w:val="20"/>
          <w:rtl/>
        </w:rPr>
      </w:pPr>
      <w:r w:rsidRPr="007900AC">
        <w:rPr>
          <w:rFonts w:ascii="Tahoma" w:hAnsi="Tahoma" w:cs="Tahoma"/>
          <w:sz w:val="16"/>
          <w:szCs w:val="20"/>
          <w:rtl/>
        </w:rPr>
        <w:t xml:space="preserve">עוד נקבע בחוק כי הממונה על התאגידים רשאי, על פי כללים שקבעה מועצת הרשות, לתת לתאגיד רישיונות ל"פעילות חיונית" </w:t>
      </w:r>
      <w:proofErr w:type="spellStart"/>
      <w:r w:rsidRPr="007900AC">
        <w:rPr>
          <w:rFonts w:ascii="Tahoma" w:hAnsi="Tahoma" w:cs="Tahoma"/>
          <w:sz w:val="16"/>
          <w:szCs w:val="20"/>
          <w:rtl/>
        </w:rPr>
        <w:t>ול"פעילות</w:t>
      </w:r>
      <w:proofErr w:type="spellEnd"/>
      <w:r w:rsidRPr="007900AC">
        <w:rPr>
          <w:rFonts w:ascii="Tahoma" w:hAnsi="Tahoma" w:cs="Tahoma"/>
          <w:sz w:val="16"/>
          <w:szCs w:val="20"/>
          <w:rtl/>
        </w:rPr>
        <w:t xml:space="preserve"> נוספת", ולהציב בהם תנאים להגשמת מטרות החוק.</w:t>
      </w:r>
    </w:p>
    <w:p w:rsidR="00A75367" w:rsidRPr="00BC57BC" w:rsidRDefault="00A75367" w:rsidP="00C51EE6">
      <w:pPr>
        <w:spacing w:after="120" w:line="300" w:lineRule="auto"/>
        <w:rPr>
          <w:rFonts w:ascii="Tahoma" w:hAnsi="Tahoma" w:cs="Tahoma"/>
          <w:sz w:val="16"/>
          <w:szCs w:val="20"/>
          <w:rtl/>
        </w:rPr>
      </w:pPr>
      <w:r w:rsidRPr="00BC57BC">
        <w:rPr>
          <w:rFonts w:ascii="Tahoma" w:hAnsi="Tahoma" w:cs="Tahoma"/>
          <w:sz w:val="16"/>
          <w:szCs w:val="20"/>
          <w:rtl/>
        </w:rPr>
        <w:t>מועצת רשות המים החלה להתקין את הכללים</w:t>
      </w:r>
      <w:r w:rsidRPr="00BC57BC">
        <w:rPr>
          <w:rStyle w:val="FootnoteReference"/>
          <w:rFonts w:ascii="Tahoma" w:hAnsi="Tahoma" w:cs="Tahoma"/>
          <w:sz w:val="16"/>
          <w:szCs w:val="20"/>
          <w:rtl/>
        </w:rPr>
        <w:footnoteReference w:id="6"/>
      </w:r>
      <w:r w:rsidRPr="00BC57BC">
        <w:rPr>
          <w:rFonts w:ascii="Tahoma" w:hAnsi="Tahoma" w:cs="Tahoma"/>
          <w:sz w:val="16"/>
          <w:szCs w:val="20"/>
          <w:rtl/>
        </w:rPr>
        <w:t xml:space="preserve"> בסוף 2014, ואולם עד למועד סיום הביקורת טרם השלימה את הליך התקנתם.</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lastRenderedPageBreak/>
        <w:t xml:space="preserve">רשות המים השיבה למשרד מבקר המדינה באפריל 2019 כי עוד בשנת 2013 קבעה מועצת רשות המים את כללי תאגידי מים וביוב (חברות אזוריות), </w:t>
      </w:r>
      <w:proofErr w:type="spellStart"/>
      <w:r w:rsidRPr="00BC57BC">
        <w:rPr>
          <w:rFonts w:ascii="Tahoma" w:hAnsi="Tahoma" w:cs="Tahoma"/>
          <w:sz w:val="16"/>
          <w:szCs w:val="20"/>
          <w:rtl/>
        </w:rPr>
        <w:t>התשע"ד</w:t>
      </w:r>
      <w:proofErr w:type="spellEnd"/>
      <w:r w:rsidRPr="00BC57BC">
        <w:rPr>
          <w:rFonts w:ascii="Tahoma" w:hAnsi="Tahoma" w:cs="Tahoma"/>
          <w:sz w:val="16"/>
          <w:szCs w:val="20"/>
          <w:rtl/>
        </w:rPr>
        <w:t xml:space="preserve"> - 2013, אשר מסדירים במפורט את התהליכים לקבלת רישיונות אזוריים, ופרסמה במקביל את שיוך הרשויות המקומיות לקבוצות של חברות אזוריות. הכללים ושיוך הקבוצות מסדירים באופן מפורט את זהות החברות האזוריות, בעלות המניות בהן, ועוד. </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 xml:space="preserve">יצוין כי הכללים האמורים מסדירים את תנאי הקמת החברות האזוריות ואת חלוקת הבעלות בהן, אולם אינם קובעים כללים לעניין התנאים שיש לכלול ברישיונות ושינוים ולעניין ביטול רישיונות והגבלתם. כמו כן הכללים אינם כוללים תנאים למתן רישיון לפעילות נוספת כפי שהוגדרה בחוק. </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במהלך השנים העניק הממונה על התאגידים לתאגידי המים והביוב רישיונות לפעילות חיונית ולפעילות נוספת, מבלי שמועצת הרשות קבעה כללים לעניין זה כאמור בחוק.</w:t>
      </w:r>
    </w:p>
    <w:p w:rsidR="00A75367" w:rsidRPr="00BC57BC" w:rsidRDefault="00A75367" w:rsidP="00A7536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C57BC">
        <w:rPr>
          <w:rFonts w:ascii="Tahoma" w:hAnsi="Tahoma" w:cs="Tahoma"/>
          <w:b w:val="0"/>
          <w:bCs w:val="0"/>
          <w:sz w:val="16"/>
          <w:szCs w:val="20"/>
          <w:rtl/>
        </w:rPr>
        <w:t>משרד מבקר המדינה מצא כי עד מועד סיום הביקורת, ועל אף לשון חוק תאגידי המים ואף שחלפו למעלה מ-12 שנים ממועד חקיקתו, לא אישרה מועצת רשות המים כללים לעניין קביעת תנאים ברישיונות ושינוים ולעניין ביטול רישיונות והגבלתם ותנאים למתן רישיון לעסוק בפעילות נוספת. המועצה הותירה את הסמכות ואת האחריות לכך בידי הממונה על התאגידים. משרד מבקר המדינה מעיר למועצת רשות המים כי כגוף המקצועי בעל ראייה כוללת הנושא באחריות כוללת למשק המים, שבידיו רוכזו הסמכויות השונות ובכללן הסמכות לקבוע כללים בנושאים השונים, עליה להשלים תהליך גיבוש הכללים והתנאים כנדרש בחוק.</w:t>
      </w:r>
    </w:p>
    <w:p w:rsidR="00A75367" w:rsidRPr="00BC57BC" w:rsidRDefault="00A75367" w:rsidP="00A75367">
      <w:pPr>
        <w:pStyle w:val="31"/>
        <w:rPr>
          <w:rtl/>
        </w:rPr>
      </w:pPr>
      <w:bookmarkStart w:id="9" w:name="_Toc32167108"/>
      <w:r w:rsidRPr="00BC57BC">
        <w:rPr>
          <w:rtl/>
        </w:rPr>
        <w:t>ניצול מי קולחים</w:t>
      </w:r>
      <w:bookmarkEnd w:id="9"/>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טיפול יעיל בשפכים והפיכתם למי השקיה (להלן: "קולחים") מגדיל מאוד את היצע מקורות המים הזמינים והזולים, מאפשר לקיים את ענף החקלאות ולהפנות</w:t>
      </w:r>
      <w:r>
        <w:rPr>
          <w:rFonts w:ascii="Tahoma" w:hAnsi="Tahoma" w:cs="Tahoma"/>
          <w:sz w:val="16"/>
          <w:szCs w:val="20"/>
          <w:rtl/>
        </w:rPr>
        <w:t xml:space="preserve"> </w:t>
      </w:r>
      <w:r w:rsidRPr="00BC57BC">
        <w:rPr>
          <w:rFonts w:ascii="Tahoma" w:hAnsi="Tahoma" w:cs="Tahoma"/>
          <w:sz w:val="16"/>
          <w:szCs w:val="20"/>
          <w:rtl/>
        </w:rPr>
        <w:t>כמות גדולה יותר של מים שפירים לשימוש המגזר הביתי. נוסף על כך, שימוש בקולחים מפחית עלויות חלופיות הנובעות מהצורך לטפל בנזקים סביבתיים ותברואתיים הנובעים מזליגת מי שפכים, כגון זיהום נחלים ומי תהום, ובמטרדים והמחלות הנלווים אליהם</w:t>
      </w:r>
      <w:r w:rsidRPr="00BC57BC">
        <w:rPr>
          <w:rStyle w:val="FootnoteReference"/>
          <w:rFonts w:ascii="Tahoma" w:hAnsi="Tahoma" w:cs="Tahoma"/>
          <w:szCs w:val="20"/>
          <w:rtl/>
        </w:rPr>
        <w:footnoteReference w:id="7"/>
      </w:r>
      <w:r w:rsidRPr="00BC57BC">
        <w:rPr>
          <w:rFonts w:ascii="Tahoma" w:hAnsi="Tahoma" w:cs="Tahoma"/>
          <w:sz w:val="16"/>
          <w:szCs w:val="20"/>
          <w:rtl/>
        </w:rPr>
        <w:t xml:space="preserve">. </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בחוק המים נאסרה הזרמת מים לנחלים - לרבות מי קולחים - אלא אם כן נתן מנהל רשות המים צו הרשאה להזרמה כזו, לתקופה קצובה ובתנאים שהוא יקבע בצו, ואף זאת לאחר קבלת המלצה מהוועדה המייעצת</w:t>
      </w:r>
      <w:r w:rsidRPr="00BC57BC">
        <w:rPr>
          <w:rStyle w:val="FootnoteReference"/>
          <w:rFonts w:ascii="Tahoma" w:hAnsi="Tahoma" w:cs="Tahoma"/>
          <w:szCs w:val="20"/>
          <w:rtl/>
        </w:rPr>
        <w:footnoteReference w:id="8"/>
      </w:r>
      <w:r w:rsidRPr="00BC57BC">
        <w:rPr>
          <w:rFonts w:ascii="Tahoma" w:hAnsi="Tahoma" w:cs="Tahoma"/>
          <w:sz w:val="16"/>
          <w:szCs w:val="20"/>
          <w:rtl/>
        </w:rPr>
        <w:t xml:space="preserve"> לעניין צווי הרשאה להזרמה לנחלים. </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lastRenderedPageBreak/>
        <w:t>סעיף 14 לחוק תאגידי מים וביוב קובע כי לא תעסוק חברה בפעילות חיונית אלא על פי רישיון שניתן לה לפי חוק זה ובהתאם לתנאיו, ולא תעסוק בפעילות נוספת אלא אם כן ניתן לה גם רישיון לאותה פעילות נוספת, ובהתאם לתנאיו.</w:t>
      </w:r>
    </w:p>
    <w:p w:rsidR="00A75367" w:rsidRPr="00BC57BC" w:rsidRDefault="00A75367" w:rsidP="00A75367">
      <w:pPr>
        <w:autoSpaceDE w:val="0"/>
        <w:autoSpaceDN w:val="0"/>
        <w:adjustRightInd w:val="0"/>
        <w:spacing w:after="120"/>
        <w:rPr>
          <w:rFonts w:ascii="Tahoma" w:hAnsi="Tahoma" w:cs="Tahoma"/>
          <w:sz w:val="16"/>
          <w:szCs w:val="20"/>
          <w:rtl/>
        </w:rPr>
      </w:pPr>
      <w:r w:rsidRPr="00BC57BC">
        <w:rPr>
          <w:rFonts w:ascii="Tahoma" w:hAnsi="Tahoma" w:cs="Tahoma"/>
          <w:sz w:val="16"/>
          <w:szCs w:val="20"/>
          <w:rtl/>
        </w:rPr>
        <w:t>עד שנת 2010 פעל התאגיד לפי רישיון</w:t>
      </w:r>
      <w:r w:rsidRPr="00BC57BC">
        <w:rPr>
          <w:rFonts w:ascii="Tahoma" w:hAnsi="Tahoma" w:cs="Tahoma"/>
          <w:sz w:val="16"/>
          <w:szCs w:val="20"/>
        </w:rPr>
        <w:t xml:space="preserve"> </w:t>
      </w:r>
      <w:r w:rsidRPr="00BC57BC">
        <w:rPr>
          <w:rFonts w:ascii="Tahoma" w:hAnsi="Tahoma" w:cs="Tahoma"/>
          <w:sz w:val="16"/>
          <w:szCs w:val="20"/>
          <w:rtl/>
        </w:rPr>
        <w:t>הפעלה</w:t>
      </w:r>
      <w:r w:rsidRPr="00BC57BC">
        <w:rPr>
          <w:rFonts w:ascii="Tahoma" w:hAnsi="Tahoma" w:cs="Tahoma"/>
          <w:sz w:val="16"/>
          <w:szCs w:val="20"/>
        </w:rPr>
        <w:t xml:space="preserve"> </w:t>
      </w:r>
      <w:r w:rsidRPr="00BC57BC">
        <w:rPr>
          <w:rFonts w:ascii="Tahoma" w:hAnsi="Tahoma" w:cs="Tahoma"/>
          <w:sz w:val="16"/>
          <w:szCs w:val="20"/>
          <w:rtl/>
        </w:rPr>
        <w:t>שנתן</w:t>
      </w:r>
      <w:r w:rsidRPr="00BC57BC">
        <w:rPr>
          <w:rFonts w:ascii="Tahoma" w:hAnsi="Tahoma" w:cs="Tahoma"/>
          <w:sz w:val="16"/>
          <w:szCs w:val="20"/>
        </w:rPr>
        <w:t xml:space="preserve"> </w:t>
      </w:r>
      <w:r w:rsidRPr="00BC57BC">
        <w:rPr>
          <w:rFonts w:ascii="Tahoma" w:hAnsi="Tahoma" w:cs="Tahoma"/>
          <w:sz w:val="16"/>
          <w:szCs w:val="20"/>
          <w:rtl/>
        </w:rPr>
        <w:t>לו</w:t>
      </w:r>
      <w:r w:rsidRPr="00BC57BC">
        <w:rPr>
          <w:rFonts w:ascii="Tahoma" w:hAnsi="Tahoma" w:cs="Tahoma"/>
          <w:sz w:val="16"/>
          <w:szCs w:val="20"/>
        </w:rPr>
        <w:t xml:space="preserve"> </w:t>
      </w:r>
      <w:r w:rsidRPr="00BC57BC">
        <w:rPr>
          <w:rFonts w:ascii="Tahoma" w:hAnsi="Tahoma" w:cs="Tahoma"/>
          <w:sz w:val="16"/>
          <w:szCs w:val="20"/>
          <w:rtl/>
        </w:rPr>
        <w:t>הממונה על התאגידים ביוני</w:t>
      </w:r>
      <w:r w:rsidRPr="00BC57BC">
        <w:rPr>
          <w:rFonts w:ascii="Tahoma" w:hAnsi="Tahoma" w:cs="Tahoma"/>
          <w:sz w:val="16"/>
          <w:szCs w:val="20"/>
        </w:rPr>
        <w:t xml:space="preserve"> </w:t>
      </w:r>
      <w:r w:rsidRPr="00BC57BC">
        <w:rPr>
          <w:rFonts w:ascii="Tahoma" w:hAnsi="Tahoma" w:cs="Tahoma"/>
          <w:sz w:val="16"/>
          <w:szCs w:val="20"/>
          <w:rtl/>
        </w:rPr>
        <w:t>2003 (להלן - הרישיון הישן). ברישיון נקבע כי התאגיד רשאי לעסוק בפעילות חיונית, וכן בפעילויות נוספות כגון השבת קולחים, הולכתם ומכירתם.</w:t>
      </w:r>
    </w:p>
    <w:p w:rsidR="00A75367" w:rsidRPr="00BC57BC" w:rsidRDefault="00A75367" w:rsidP="00A75367">
      <w:pPr>
        <w:autoSpaceDE w:val="0"/>
        <w:autoSpaceDN w:val="0"/>
        <w:adjustRightInd w:val="0"/>
        <w:spacing w:after="120"/>
        <w:rPr>
          <w:rFonts w:ascii="Tahoma" w:hAnsi="Tahoma" w:cs="Tahoma"/>
          <w:sz w:val="16"/>
          <w:szCs w:val="20"/>
          <w:rtl/>
        </w:rPr>
      </w:pPr>
      <w:r w:rsidRPr="00BC57BC">
        <w:rPr>
          <w:rFonts w:ascii="Tahoma" w:hAnsi="Tahoma" w:cs="Tahoma"/>
          <w:sz w:val="16"/>
          <w:szCs w:val="20"/>
          <w:rtl/>
        </w:rPr>
        <w:t>באוקטובר 2010, לאחר צירופן של המועצות</w:t>
      </w:r>
      <w:r w:rsidRPr="00BC57BC">
        <w:rPr>
          <w:rFonts w:ascii="Tahoma" w:hAnsi="Tahoma" w:cs="Tahoma"/>
          <w:sz w:val="16"/>
          <w:szCs w:val="20"/>
        </w:rPr>
        <w:t xml:space="preserve"> </w:t>
      </w:r>
      <w:r w:rsidRPr="00BC57BC">
        <w:rPr>
          <w:rFonts w:ascii="Tahoma" w:hAnsi="Tahoma" w:cs="Tahoma"/>
          <w:sz w:val="16"/>
          <w:szCs w:val="20"/>
          <w:rtl/>
        </w:rPr>
        <w:t>המקומיות</w:t>
      </w:r>
      <w:r w:rsidRPr="00BC57BC">
        <w:rPr>
          <w:rFonts w:ascii="Tahoma" w:hAnsi="Tahoma" w:cs="Tahoma"/>
          <w:sz w:val="16"/>
          <w:szCs w:val="20"/>
        </w:rPr>
        <w:t xml:space="preserve"> </w:t>
      </w:r>
      <w:r w:rsidRPr="00BC57BC">
        <w:rPr>
          <w:rFonts w:ascii="Tahoma" w:hAnsi="Tahoma" w:cs="Tahoma"/>
          <w:sz w:val="16"/>
          <w:szCs w:val="20"/>
          <w:rtl/>
        </w:rPr>
        <w:t>אבו</w:t>
      </w:r>
      <w:r w:rsidRPr="00BC57BC">
        <w:rPr>
          <w:rFonts w:ascii="Tahoma" w:hAnsi="Tahoma" w:cs="Tahoma"/>
          <w:sz w:val="16"/>
          <w:szCs w:val="20"/>
        </w:rPr>
        <w:t xml:space="preserve"> </w:t>
      </w:r>
      <w:r w:rsidRPr="00BC57BC">
        <w:rPr>
          <w:rFonts w:ascii="Tahoma" w:hAnsi="Tahoma" w:cs="Tahoma"/>
          <w:sz w:val="16"/>
          <w:szCs w:val="20"/>
          <w:rtl/>
        </w:rPr>
        <w:t>גוש ומבשרת</w:t>
      </w:r>
      <w:r w:rsidRPr="00BC57BC">
        <w:rPr>
          <w:rFonts w:ascii="Tahoma" w:hAnsi="Tahoma" w:cs="Tahoma"/>
          <w:sz w:val="16"/>
          <w:szCs w:val="20"/>
        </w:rPr>
        <w:t xml:space="preserve"> </w:t>
      </w:r>
      <w:r w:rsidRPr="00BC57BC">
        <w:rPr>
          <w:rFonts w:ascii="Tahoma" w:hAnsi="Tahoma" w:cs="Tahoma"/>
          <w:sz w:val="16"/>
          <w:szCs w:val="20"/>
          <w:rtl/>
        </w:rPr>
        <w:t>ציון לתאגיד, העניק הממונה על התאגידים רישיון חדש להפעלת התאגיד. ברישיון ההפעלה של התאגיד מאותו מועד הותר לו לעסוק בפעילויות החיוניות של אספקת מים, איסוף שפכים, טיהורם ואספקתם</w:t>
      </w:r>
      <w:r w:rsidRPr="00BC57BC">
        <w:rPr>
          <w:rStyle w:val="FootnoteReference"/>
          <w:rFonts w:ascii="Tahoma" w:hAnsi="Tahoma" w:cs="Tahoma"/>
          <w:sz w:val="16"/>
          <w:szCs w:val="20"/>
          <w:rtl/>
        </w:rPr>
        <w:footnoteReference w:id="9"/>
      </w:r>
      <w:r w:rsidRPr="00BC57BC">
        <w:rPr>
          <w:rFonts w:ascii="Tahoma" w:hAnsi="Tahoma" w:cs="Tahoma"/>
          <w:sz w:val="16"/>
          <w:szCs w:val="20"/>
          <w:rtl/>
        </w:rPr>
        <w:t>, אך לא צוינו בו פעילויות נוספות שהתאגיד רשאי לעסוק בהן.</w:t>
      </w:r>
    </w:p>
    <w:p w:rsidR="00A75367" w:rsidRPr="00BC57BC" w:rsidRDefault="00A75367" w:rsidP="00A75367">
      <w:pPr>
        <w:autoSpaceDE w:val="0"/>
        <w:autoSpaceDN w:val="0"/>
        <w:adjustRightInd w:val="0"/>
        <w:spacing w:after="120"/>
        <w:rPr>
          <w:rFonts w:ascii="Tahoma" w:hAnsi="Tahoma" w:cs="Tahoma"/>
          <w:sz w:val="16"/>
          <w:szCs w:val="20"/>
          <w:rtl/>
        </w:rPr>
      </w:pPr>
      <w:r w:rsidRPr="00BC57BC">
        <w:rPr>
          <w:rFonts w:ascii="Tahoma" w:hAnsi="Tahoma" w:cs="Tahoma"/>
          <w:sz w:val="16"/>
          <w:szCs w:val="20"/>
          <w:rtl/>
        </w:rPr>
        <w:t xml:space="preserve">בביקורת שערך הממונה על התאגידים בגיחון באוגוסט 2017 עלה כי נוסף על הפעילות החיונית של אספקת מים ושירותי ביוב </w:t>
      </w:r>
      <w:r w:rsidRPr="00BC57BC">
        <w:rPr>
          <w:rFonts w:ascii="Tahoma" w:hAnsi="Tahoma" w:cs="Tahoma"/>
          <w:szCs w:val="20"/>
          <w:rtl/>
        </w:rPr>
        <w:t xml:space="preserve">התאגיד עוסק בהקמת תשתית קולחים </w:t>
      </w:r>
      <w:r w:rsidRPr="00BC57BC">
        <w:rPr>
          <w:rFonts w:ascii="Tahoma" w:hAnsi="Tahoma" w:cs="Tahoma"/>
          <w:sz w:val="16"/>
          <w:szCs w:val="20"/>
          <w:rtl/>
        </w:rPr>
        <w:t>לאורך כ-27 ק"מ בעלות מצטברת של כ-31 מיליון ש"ח, וכי החלק הארי של ההשקעות בוצע בשנים 2011 עד 2015</w:t>
      </w:r>
      <w:r w:rsidRPr="00BC57BC">
        <w:rPr>
          <w:rFonts w:ascii="Tahoma" w:hAnsi="Tahoma" w:cs="Tahoma"/>
          <w:szCs w:val="20"/>
          <w:rtl/>
        </w:rPr>
        <w:t xml:space="preserve"> (ראו להלן בפרק על התקשרות עם עיריית ירושלים לאספקת קולחים). עוד עלה מאותה ביקורת שהתאגיד עסק בהזרמת הקולחים להשקיית גינות ציבוריות בירושלים. </w:t>
      </w:r>
      <w:r w:rsidRPr="00BC57BC">
        <w:rPr>
          <w:rFonts w:ascii="Tahoma" w:hAnsi="Tahoma" w:cs="Tahoma"/>
          <w:sz w:val="16"/>
          <w:szCs w:val="20"/>
          <w:rtl/>
        </w:rPr>
        <w:t>במסמך לא מתוארך של התאגיד, שבו הוא התייחס לדוח הביקורת של הממונה, צוין כי באוגוסט 2015 פנה התאגיד לקבלת אישור הממונה על התאגידים לעסוק בקולחים. בביקורת של הממונה על התאגידים מאוגוסט 2017 נמצא כי הממונה על התאגידים לא נתן לתאגיד אישור כאמור.</w:t>
      </w:r>
    </w:p>
    <w:p w:rsidR="00A75367" w:rsidRPr="00BC57BC" w:rsidRDefault="00A75367" w:rsidP="00A75367">
      <w:pPr>
        <w:autoSpaceDE w:val="0"/>
        <w:autoSpaceDN w:val="0"/>
        <w:adjustRightInd w:val="0"/>
        <w:spacing w:after="120"/>
        <w:rPr>
          <w:rFonts w:ascii="Tahoma" w:hAnsi="Tahoma" w:cs="Tahoma"/>
          <w:sz w:val="16"/>
          <w:szCs w:val="20"/>
          <w:rtl/>
        </w:rPr>
      </w:pPr>
      <w:r w:rsidRPr="00BC57BC">
        <w:rPr>
          <w:rFonts w:ascii="Tahoma" w:hAnsi="Tahoma" w:cs="Tahoma"/>
          <w:sz w:val="16"/>
          <w:szCs w:val="20"/>
          <w:rtl/>
        </w:rPr>
        <w:t>בינואר 2018 העביר התאגיד לאישור הממונה על התאגידים בקשה להארכת הסכם הקולחים עם עיריית ירושלים. במאי 2018 קבע הממונה כי על התאגיד להעביר לאישורו טיוטת הסכם מתוקן של פעילות הקולחים. באותו חודש העביר התאגיד בקשה חדשה להארכת הסכם הקולחים, וביוני 2018 אישר דירקטוריון התאגיד את הארכת ההסכם עם עיריית ירושלים. ואולם בדצמבר 2018 מסר הממונה על התאגידים למשרד מבקר המדינה כי "טרם ניתן אישור להסכם זה, שכן הוא נמצא בבדיקה של הצוות המקצועי מול התאגיד". עד למועד סיום הביקורת טרם אישר הממונה את הארכת הסכם הקולחים. רשות המים השיבה למשרד מבקר המדינה באפריל 2019 כי הנושא נמצא בדין ודברים בין הגיחון לממונה על התאגידים.</w:t>
      </w:r>
    </w:p>
    <w:p w:rsidR="00A75367" w:rsidRPr="00BC57BC" w:rsidRDefault="00A75367" w:rsidP="00A75367">
      <w:pPr>
        <w:autoSpaceDE w:val="0"/>
        <w:autoSpaceDN w:val="0"/>
        <w:adjustRightInd w:val="0"/>
        <w:spacing w:after="120"/>
        <w:rPr>
          <w:rFonts w:ascii="Tahoma" w:hAnsi="Tahoma" w:cs="Tahoma"/>
          <w:sz w:val="16"/>
          <w:szCs w:val="20"/>
          <w:rtl/>
        </w:rPr>
      </w:pPr>
      <w:r w:rsidRPr="00BC57BC">
        <w:rPr>
          <w:rFonts w:ascii="Tahoma" w:hAnsi="Tahoma" w:cs="Tahoma"/>
          <w:sz w:val="16"/>
          <w:szCs w:val="20"/>
          <w:rtl/>
        </w:rPr>
        <w:t xml:space="preserve">עוד השיבה רשות המים למשרד מבקר המדינה באפריל 2019 כי בעת המעבר "מרישיון 2003 לרישיון 2010", אספקת המים לגינון ציבורי בתחום הגיחון הורכבה מתמהיל של מים שפירים וקולחים, מלבד זאת לא סופקו קולחים לשימושים אחרים. ברישיון הפעילות משנת 2010 לא חודדה ההבחנה בין סוגי המים לצורך גינון ציבורי, ורשות המים הוסיפה כי "לאור הערת הביקורת ייבחן הצורך בחידוד האבחנה ברישיון הפעילות מעבר לסעיפים העוסקים בכך שם". </w:t>
      </w:r>
    </w:p>
    <w:p w:rsidR="00A75367" w:rsidRPr="00BC57BC" w:rsidRDefault="00A75367" w:rsidP="00C51EE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C57BC">
        <w:rPr>
          <w:rFonts w:ascii="Tahoma" w:hAnsi="Tahoma" w:cs="Tahoma"/>
          <w:b w:val="0"/>
          <w:bCs w:val="0"/>
          <w:sz w:val="16"/>
          <w:szCs w:val="20"/>
          <w:rtl/>
        </w:rPr>
        <w:lastRenderedPageBreak/>
        <w:t>משרד מבקר המדינה מעיר כי נוכח החשיבות של ניצול מי הקולחים המטוהרים להשקיה על מנת שלא יהוו מפגע תברואתי</w:t>
      </w:r>
      <w:r w:rsidRPr="00BC57BC">
        <w:rPr>
          <w:rStyle w:val="FootnoteReference"/>
          <w:rFonts w:ascii="Tahoma" w:hAnsi="Tahoma" w:cs="Tahoma"/>
          <w:b w:val="0"/>
          <w:bCs w:val="0"/>
          <w:sz w:val="16"/>
          <w:szCs w:val="20"/>
          <w:rtl/>
        </w:rPr>
        <w:footnoteReference w:id="10"/>
      </w:r>
      <w:r w:rsidRPr="00BC57BC">
        <w:rPr>
          <w:rFonts w:ascii="Tahoma" w:hAnsi="Tahoma" w:cs="Tahoma"/>
          <w:b w:val="0"/>
          <w:bCs w:val="0"/>
          <w:sz w:val="16"/>
          <w:szCs w:val="20"/>
          <w:rtl/>
        </w:rPr>
        <w:t xml:space="preserve">, ונוכח הצפי של התאגיד להשקעה ניכרת בהקמת תשתית לאספקת קולחים, היה על התאגיד להפנות את תשומת ליבו של הממונה על תאגידי המים והביוב </w:t>
      </w:r>
      <w:proofErr w:type="spellStart"/>
      <w:r w:rsidRPr="00BC57BC">
        <w:rPr>
          <w:rFonts w:ascii="Tahoma" w:hAnsi="Tahoma" w:cs="Tahoma"/>
          <w:b w:val="0"/>
          <w:bCs w:val="0"/>
          <w:sz w:val="16"/>
          <w:szCs w:val="20"/>
          <w:rtl/>
        </w:rPr>
        <w:t>מייד</w:t>
      </w:r>
      <w:proofErr w:type="spellEnd"/>
      <w:r w:rsidRPr="00BC57BC">
        <w:rPr>
          <w:rFonts w:ascii="Tahoma" w:hAnsi="Tahoma" w:cs="Tahoma"/>
          <w:b w:val="0"/>
          <w:bCs w:val="0"/>
          <w:sz w:val="16"/>
          <w:szCs w:val="20"/>
          <w:rtl/>
        </w:rPr>
        <w:t xml:space="preserve"> עם קבלת רישיון הפעילות ב-2010 לכך שברישיון החדש לא ניתן לו היתר לעסוק בקולחים ובכל פעילות נוספת כפי שהותרה ברישיון משנת 2003, ולא להשתהות עד אוגוסט 2015 בהגשת בקשה לכלול פעילויות נוספות, ואולם גם במועד סיום הביקורת המשיך התאגיד לפעול בתחום ללא רישיון. גם הממונה על תאגידי המים והביוב צריך היה להחליט בעניין התרת הפעילויות הנוספות לתאגיד ולעדכן את הרישיון בהתאם, או לחלופין לפעול למציאת פתרון לסילוק קולחים אלה, ולא להשתהות במשך כל התקופה הזאת. </w:t>
      </w:r>
    </w:p>
    <w:p w:rsidR="00A75367" w:rsidRPr="00BC57BC" w:rsidRDefault="00A75367" w:rsidP="00C51EE6">
      <w:pPr>
        <w:pStyle w:val="21"/>
        <w:rPr>
          <w:rtl/>
        </w:rPr>
      </w:pPr>
      <w:bookmarkStart w:id="10" w:name="_Toc17268272"/>
      <w:bookmarkStart w:id="11" w:name="_Toc32167109"/>
      <w:r w:rsidRPr="00BC57BC">
        <w:rPr>
          <w:rtl/>
        </w:rPr>
        <w:t>הוצאות תפעול</w:t>
      </w:r>
      <w:bookmarkEnd w:id="10"/>
      <w:bookmarkEnd w:id="11"/>
    </w:p>
    <w:p w:rsidR="00A75367" w:rsidRPr="00BC57BC" w:rsidRDefault="00A75367" w:rsidP="00A75367">
      <w:pPr>
        <w:spacing w:after="120"/>
        <w:rPr>
          <w:rFonts w:ascii="Tahoma" w:hAnsi="Tahoma" w:cs="Tahoma"/>
          <w:sz w:val="16"/>
          <w:szCs w:val="20"/>
          <w:rtl/>
        </w:rPr>
      </w:pPr>
      <w:r w:rsidRPr="00BC57BC">
        <w:rPr>
          <w:rFonts w:ascii="Tahoma" w:hAnsi="Tahoma" w:cs="Tahoma"/>
          <w:szCs w:val="20"/>
          <w:rtl/>
        </w:rPr>
        <w:t xml:space="preserve">הממונה על התאגידים קבע לתאגידי המים נורמות תפעול הנוגעות לעלויות המושתות על הצרכנים בתעריפי המים. נורמות אלה משתנות מתאגיד לתאגיד ונקבעות, בין היתר, על פי גודל התאגיד ועל פי מאפיינים חברתיים-כלכליים של הצרכנים. </w:t>
      </w:r>
      <w:r w:rsidRPr="00BC57BC">
        <w:rPr>
          <w:rFonts w:ascii="Tahoma" w:hAnsi="Tahoma" w:cs="Tahoma"/>
          <w:sz w:val="16"/>
          <w:szCs w:val="20"/>
          <w:rtl/>
        </w:rPr>
        <w:t>להלן בתרשים 4 המרכיבים העיקריים של תעריף המים הממוצע לצרכן, החל מינואר 2019.</w:t>
      </w:r>
    </w:p>
    <w:p w:rsidR="00A75367" w:rsidRPr="00BC57BC" w:rsidRDefault="00A75367" w:rsidP="00C51EE6">
      <w:pPr>
        <w:pStyle w:val="a1"/>
        <w:rPr>
          <w:rtl/>
        </w:rPr>
      </w:pPr>
      <w:r w:rsidRPr="00C51EE6">
        <w:rPr>
          <w:b w:val="0"/>
          <w:bCs w:val="0"/>
          <w:rtl/>
        </w:rPr>
        <w:t>תרשים 4:</w:t>
      </w:r>
      <w:r w:rsidRPr="00BC57BC">
        <w:rPr>
          <w:rtl/>
        </w:rPr>
        <w:t xml:space="preserve"> המרכיבים העיקריים של תעריף המים והביוב לצרכן</w:t>
      </w:r>
    </w:p>
    <w:p w:rsidR="0055181B" w:rsidRPr="00BC57BC" w:rsidRDefault="0055181B" w:rsidP="00A75367">
      <w:pPr>
        <w:spacing w:after="120"/>
        <w:rPr>
          <w:rFonts w:ascii="Tahoma" w:hAnsi="Tahoma" w:cs="Tahoma"/>
          <w:sz w:val="16"/>
          <w:szCs w:val="20"/>
          <w:rtl/>
        </w:rPr>
      </w:pPr>
      <w:r>
        <w:rPr>
          <w:rFonts w:ascii="Tahoma" w:hAnsi="Tahoma" w:cs="Tahoma"/>
          <w:noProof/>
          <w:sz w:val="16"/>
          <w:szCs w:val="20"/>
        </w:rPr>
        <w:drawing>
          <wp:inline distT="0" distB="0" distL="0" distR="0" wp14:anchorId="6956A50D">
            <wp:extent cx="5231130" cy="2621280"/>
            <wp:effectExtent l="0" t="0" r="7620" b="7620"/>
            <wp:docPr id="22" name="Picture 22" descr="בינואר 2019 היה תעריף המים והביוב לצרכן 9.059 ש&quot;ח למ&quot;ק, ורכיביו היו 45% בגין עלויות לתאגידים, 21% בגין טיפול בשפכים, 16% עבור רכישת מים מותפלים, 20% עלות לחברת מקורות, (0.7%-) סבסודים ו- (1.3%-) הפרשים משנים קודמות. העלות לתאגידים באותו מועד היתה 4.06 ש&quot;ח למ&quot;ק, ורכיביה היו 43% עבור תפעול מים וביוב, 29% פחת מים, פחת גבייה ותוספות ו-28% הון מים וביו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1130" cy="2621280"/>
                    </a:xfrm>
                    <a:prstGeom prst="rect">
                      <a:avLst/>
                    </a:prstGeom>
                    <a:noFill/>
                  </pic:spPr>
                </pic:pic>
              </a:graphicData>
            </a:graphic>
          </wp:inline>
        </w:drawing>
      </w:r>
    </w:p>
    <w:p w:rsidR="00A75367" w:rsidRPr="00C51EE6" w:rsidRDefault="00A75367" w:rsidP="00C51EE6">
      <w:pPr>
        <w:spacing w:before="120" w:after="120"/>
        <w:jc w:val="center"/>
        <w:rPr>
          <w:rFonts w:ascii="Tahoma" w:hAnsi="Tahoma" w:cs="Tahoma"/>
          <w:sz w:val="16"/>
          <w:szCs w:val="16"/>
          <w:rtl/>
          <w:lang w:eastAsia="he-IL"/>
        </w:rPr>
      </w:pPr>
      <w:r w:rsidRPr="00C51EE6">
        <w:rPr>
          <w:rFonts w:ascii="Tahoma" w:hAnsi="Tahoma" w:cs="Tahoma"/>
          <w:sz w:val="16"/>
          <w:szCs w:val="16"/>
          <w:rtl/>
          <w:lang w:eastAsia="he-IL"/>
        </w:rPr>
        <w:t>על פי נתוני רשות המים, בעיבוד משרד מבקר המדינה, מעודכן לינואר 2019.</w:t>
      </w:r>
    </w:p>
    <w:p w:rsidR="00A75367" w:rsidRPr="00BC57BC" w:rsidRDefault="00A75367" w:rsidP="00A75367">
      <w:pPr>
        <w:spacing w:after="120"/>
        <w:rPr>
          <w:rFonts w:ascii="Tahoma" w:hAnsi="Tahoma" w:cs="Tahoma"/>
          <w:szCs w:val="20"/>
          <w:rtl/>
        </w:rPr>
      </w:pPr>
      <w:r w:rsidRPr="00BC57BC">
        <w:rPr>
          <w:rFonts w:ascii="Tahoma" w:hAnsi="Tahoma" w:cs="Tahoma"/>
          <w:sz w:val="16"/>
          <w:szCs w:val="20"/>
          <w:rtl/>
        </w:rPr>
        <w:lastRenderedPageBreak/>
        <w:t>עלויות המים של התאגידים כוללות שלושה מרכיבים: הון מים וביוב</w:t>
      </w:r>
      <w:r w:rsidRPr="00BC57BC">
        <w:rPr>
          <w:rFonts w:ascii="Tahoma" w:hAnsi="Tahoma" w:cs="Tahoma"/>
          <w:sz w:val="16"/>
          <w:szCs w:val="20"/>
        </w:rPr>
        <w:t>;</w:t>
      </w:r>
      <w:r w:rsidRPr="00BC57BC">
        <w:rPr>
          <w:rFonts w:ascii="Tahoma" w:hAnsi="Tahoma" w:cs="Tahoma"/>
          <w:sz w:val="16"/>
          <w:szCs w:val="20"/>
          <w:rtl/>
        </w:rPr>
        <w:t xml:space="preserve"> תפעול מים וביוב</w:t>
      </w:r>
      <w:r w:rsidRPr="00BC57BC">
        <w:rPr>
          <w:rFonts w:ascii="Tahoma" w:hAnsi="Tahoma" w:cs="Tahoma"/>
          <w:sz w:val="16"/>
          <w:szCs w:val="20"/>
        </w:rPr>
        <w:t>;</w:t>
      </w:r>
      <w:r w:rsidRPr="00BC57BC">
        <w:rPr>
          <w:rFonts w:ascii="Tahoma" w:hAnsi="Tahoma" w:cs="Tahoma"/>
          <w:sz w:val="16"/>
          <w:szCs w:val="20"/>
          <w:rtl/>
        </w:rPr>
        <w:t xml:space="preserve"> פחת מים ופחת גבייה.</w:t>
      </w:r>
      <w:r w:rsidRPr="00BC57BC">
        <w:rPr>
          <w:rFonts w:ascii="Tahoma" w:hAnsi="Tahoma" w:cs="Tahoma"/>
          <w:szCs w:val="20"/>
          <w:rtl/>
        </w:rPr>
        <w:t xml:space="preserve"> מרכיב התפעול בתעריף</w:t>
      </w:r>
      <w:r w:rsidRPr="00BC57BC">
        <w:rPr>
          <w:rStyle w:val="FootnoteReference"/>
          <w:rFonts w:ascii="Tahoma" w:hAnsi="Tahoma" w:cs="Tahoma"/>
          <w:szCs w:val="20"/>
          <w:rtl/>
        </w:rPr>
        <w:footnoteReference w:id="11"/>
      </w:r>
      <w:r w:rsidRPr="00BC57BC">
        <w:rPr>
          <w:rFonts w:ascii="Tahoma" w:hAnsi="Tahoma" w:cs="Tahoma"/>
          <w:szCs w:val="20"/>
          <w:rtl/>
        </w:rPr>
        <w:t xml:space="preserve"> נועד לממן את עלויות התפעול והניהול, הכוללות את עלויות שכר העובדים; עלויות פעילות ההנהלה והיועצים; עלויות תחזוקת המערכות, לרבות הפעולות למניעת פחת מים; עלויות הטיפול במוני מים ובדיקת איכות המים; וכן עלויות הגבייה והאכיפה. בחישוב עלות התפעול של התאגיד מובאים בחשבון ארבעה משתנים מרכזיים: עלות פעילות ההנהלה, עלות תפעול מערך הגבייה ושירות הלקוחות, עלות תפעול רשת המים ועלות תפעול רשת הביוב. משתנים אלה מסוכמים על ידי רשות המים ומושווים לעלות הנורמטיבית שלהם, שנקבעת כאמור על ידי מועצת רשות המים (להלן - נורמות התפעול). נורמות התפעול משתנות מתאגיד לתאגיד, והן נקבעות לפי גודלו של התאגיד, סוג התאגיד (מרחבי</w:t>
      </w:r>
      <w:r w:rsidRPr="00BC57BC">
        <w:rPr>
          <w:rStyle w:val="FootnoteReference"/>
          <w:rFonts w:ascii="Tahoma" w:hAnsi="Tahoma" w:cs="Tahoma"/>
          <w:szCs w:val="20"/>
          <w:rtl/>
        </w:rPr>
        <w:footnoteReference w:id="12"/>
      </w:r>
      <w:r w:rsidRPr="00BC57BC">
        <w:rPr>
          <w:rFonts w:ascii="Tahoma" w:hAnsi="Tahoma" w:cs="Tahoma"/>
          <w:szCs w:val="20"/>
          <w:rtl/>
        </w:rPr>
        <w:t xml:space="preserve"> או חד-רשותי</w:t>
      </w:r>
      <w:r w:rsidRPr="00BC57BC">
        <w:rPr>
          <w:rStyle w:val="FootnoteReference"/>
          <w:rFonts w:ascii="Tahoma" w:hAnsi="Tahoma" w:cs="Tahoma"/>
          <w:szCs w:val="20"/>
          <w:rtl/>
        </w:rPr>
        <w:footnoteReference w:id="13"/>
      </w:r>
      <w:r w:rsidRPr="00BC57BC">
        <w:rPr>
          <w:rFonts w:ascii="Tahoma" w:hAnsi="Tahoma" w:cs="Tahoma"/>
          <w:szCs w:val="20"/>
          <w:rtl/>
        </w:rPr>
        <w:t>) ומאפיינים חברתיים-כלכליים (סוציואקונומיים). כעולה מהתרשים רכיב התפעול הוא מהותי ומהווה 43% ממרכיב עלויות התאגידים, שהם כ-19% מהתעריף הממוצע לצרכן.</w:t>
      </w:r>
    </w:p>
    <w:p w:rsidR="00A75367" w:rsidRPr="00BC57BC" w:rsidRDefault="00A75367" w:rsidP="00A75367">
      <w:pPr>
        <w:spacing w:after="120"/>
        <w:rPr>
          <w:rFonts w:ascii="Tahoma" w:hAnsi="Tahoma" w:cs="Tahoma"/>
          <w:szCs w:val="20"/>
          <w:rtl/>
        </w:rPr>
      </w:pPr>
      <w:r w:rsidRPr="00BC57BC">
        <w:rPr>
          <w:rFonts w:ascii="Tahoma" w:hAnsi="Tahoma" w:cs="Tahoma"/>
          <w:szCs w:val="20"/>
          <w:rtl/>
        </w:rPr>
        <w:t>נמצא כי בשנת 2017 לא עמד התאגיד בנורמות התפעול שקבעה לו רשות המים, כמפורט בלוח להלן:</w:t>
      </w:r>
    </w:p>
    <w:p w:rsidR="00A75367" w:rsidRPr="00BC57BC" w:rsidRDefault="00A75367" w:rsidP="00C51EE6">
      <w:pPr>
        <w:pStyle w:val="a1"/>
        <w:rPr>
          <w:rtl/>
        </w:rPr>
      </w:pPr>
      <w:r w:rsidRPr="00C51EE6">
        <w:rPr>
          <w:b w:val="0"/>
          <w:bCs w:val="0"/>
          <w:rtl/>
        </w:rPr>
        <w:t>לוח 1:</w:t>
      </w:r>
      <w:r w:rsidRPr="00BC57BC">
        <w:rPr>
          <w:rtl/>
        </w:rPr>
        <w:t xml:space="preserve"> נורמות עלויות התפעול של תאגיד הגיחון לשנת 2017 (במיליוני ש"ח)</w:t>
      </w:r>
    </w:p>
    <w:tbl>
      <w:tblPr>
        <w:tblStyle w:val="TableGrid"/>
        <w:bidiVisual/>
        <w:tblW w:w="0" w:type="auto"/>
        <w:tblCellMar>
          <w:left w:w="57" w:type="dxa"/>
          <w:right w:w="57" w:type="dxa"/>
        </w:tblCellMar>
        <w:tblLook w:val="04A0" w:firstRow="1" w:lastRow="0" w:firstColumn="1" w:lastColumn="0" w:noHBand="0" w:noVBand="1"/>
      </w:tblPr>
      <w:tblGrid>
        <w:gridCol w:w="708"/>
        <w:gridCol w:w="649"/>
        <w:gridCol w:w="728"/>
        <w:gridCol w:w="707"/>
        <w:gridCol w:w="648"/>
        <w:gridCol w:w="728"/>
        <w:gridCol w:w="707"/>
        <w:gridCol w:w="648"/>
        <w:gridCol w:w="728"/>
        <w:gridCol w:w="707"/>
        <w:gridCol w:w="648"/>
        <w:gridCol w:w="728"/>
      </w:tblGrid>
      <w:tr w:rsidR="00A75367" w:rsidRPr="00F03571" w:rsidTr="00C51EE6">
        <w:trPr>
          <w:trHeight w:val="20"/>
          <w:tblHeader/>
        </w:trPr>
        <w:tc>
          <w:tcPr>
            <w:tcW w:w="0" w:type="auto"/>
            <w:gridSpan w:val="3"/>
            <w:shd w:val="clear" w:color="auto" w:fill="C6D9F1"/>
            <w:noWrap/>
            <w:vAlign w:val="bottom"/>
            <w:hideMark/>
          </w:tcPr>
          <w:p w:rsidR="00A75367" w:rsidRPr="00C51EE6" w:rsidRDefault="00A75367" w:rsidP="00C51EE6">
            <w:pPr>
              <w:tabs>
                <w:tab w:val="left" w:pos="1148"/>
              </w:tabs>
              <w:spacing w:before="40" w:after="40"/>
              <w:jc w:val="left"/>
              <w:rPr>
                <w:rFonts w:ascii="Tahoma" w:eastAsiaTheme="minorEastAsia" w:hAnsi="Tahoma" w:cs="Tahoma"/>
                <w:b/>
                <w:bCs/>
                <w:sz w:val="18"/>
                <w:szCs w:val="18"/>
              </w:rPr>
            </w:pPr>
            <w:r w:rsidRPr="00C51EE6">
              <w:rPr>
                <w:rFonts w:ascii="Tahoma" w:eastAsiaTheme="minorEastAsia" w:hAnsi="Tahoma" w:cs="Tahoma"/>
                <w:b/>
                <w:bCs/>
                <w:sz w:val="18"/>
                <w:szCs w:val="18"/>
                <w:rtl/>
              </w:rPr>
              <w:t xml:space="preserve">רשת המים </w:t>
            </w:r>
          </w:p>
        </w:tc>
        <w:tc>
          <w:tcPr>
            <w:tcW w:w="0" w:type="auto"/>
            <w:gridSpan w:val="3"/>
            <w:shd w:val="clear" w:color="auto" w:fill="C6D9F1"/>
            <w:noWrap/>
            <w:vAlign w:val="bottom"/>
            <w:hideMark/>
          </w:tcPr>
          <w:p w:rsidR="00A75367" w:rsidRPr="00C51EE6" w:rsidRDefault="00A75367" w:rsidP="00C51EE6">
            <w:pPr>
              <w:tabs>
                <w:tab w:val="left" w:pos="1148"/>
              </w:tabs>
              <w:spacing w:before="40" w:after="40"/>
              <w:jc w:val="left"/>
              <w:rPr>
                <w:rFonts w:ascii="Tahoma" w:eastAsiaTheme="minorEastAsia" w:hAnsi="Tahoma" w:cs="Tahoma"/>
                <w:b/>
                <w:bCs/>
                <w:sz w:val="18"/>
                <w:szCs w:val="18"/>
              </w:rPr>
            </w:pPr>
            <w:r w:rsidRPr="00C51EE6">
              <w:rPr>
                <w:rFonts w:ascii="Tahoma" w:eastAsiaTheme="minorEastAsia" w:hAnsi="Tahoma" w:cs="Tahoma"/>
                <w:b/>
                <w:bCs/>
                <w:sz w:val="18"/>
                <w:szCs w:val="18"/>
                <w:rtl/>
              </w:rPr>
              <w:t>רשת הביוב</w:t>
            </w:r>
          </w:p>
        </w:tc>
        <w:tc>
          <w:tcPr>
            <w:tcW w:w="0" w:type="auto"/>
            <w:gridSpan w:val="3"/>
            <w:shd w:val="clear" w:color="auto" w:fill="C6D9F1"/>
            <w:noWrap/>
            <w:vAlign w:val="bottom"/>
            <w:hideMark/>
          </w:tcPr>
          <w:p w:rsidR="00A75367" w:rsidRPr="00C51EE6" w:rsidRDefault="00A75367" w:rsidP="00C51EE6">
            <w:pPr>
              <w:tabs>
                <w:tab w:val="left" w:pos="1148"/>
              </w:tabs>
              <w:spacing w:before="40" w:after="40"/>
              <w:jc w:val="left"/>
              <w:rPr>
                <w:rFonts w:ascii="Tahoma" w:eastAsiaTheme="minorEastAsia" w:hAnsi="Tahoma" w:cs="Tahoma"/>
                <w:b/>
                <w:bCs/>
                <w:sz w:val="18"/>
                <w:szCs w:val="18"/>
              </w:rPr>
            </w:pPr>
            <w:r w:rsidRPr="00C51EE6">
              <w:rPr>
                <w:rFonts w:ascii="Tahoma" w:eastAsiaTheme="minorEastAsia" w:hAnsi="Tahoma" w:cs="Tahoma"/>
                <w:b/>
                <w:bCs/>
                <w:sz w:val="18"/>
                <w:szCs w:val="18"/>
                <w:rtl/>
              </w:rPr>
              <w:t xml:space="preserve">גבייה </w:t>
            </w:r>
          </w:p>
        </w:tc>
        <w:tc>
          <w:tcPr>
            <w:tcW w:w="0" w:type="auto"/>
            <w:gridSpan w:val="3"/>
            <w:shd w:val="clear" w:color="auto" w:fill="C6D9F1"/>
            <w:vAlign w:val="bottom"/>
            <w:hideMark/>
          </w:tcPr>
          <w:p w:rsidR="00A75367" w:rsidRPr="00C51EE6" w:rsidRDefault="00A75367" w:rsidP="00C51EE6">
            <w:pPr>
              <w:tabs>
                <w:tab w:val="left" w:pos="1148"/>
              </w:tabs>
              <w:spacing w:before="40" w:after="40"/>
              <w:jc w:val="left"/>
              <w:rPr>
                <w:rFonts w:ascii="Tahoma" w:eastAsiaTheme="minorEastAsia" w:hAnsi="Tahoma" w:cs="Tahoma"/>
                <w:b/>
                <w:bCs/>
                <w:sz w:val="18"/>
                <w:szCs w:val="18"/>
              </w:rPr>
            </w:pPr>
            <w:r w:rsidRPr="00C51EE6">
              <w:rPr>
                <w:rFonts w:ascii="Tahoma" w:eastAsiaTheme="minorEastAsia" w:hAnsi="Tahoma" w:cs="Tahoma"/>
                <w:b/>
                <w:bCs/>
                <w:sz w:val="18"/>
                <w:szCs w:val="18"/>
                <w:rtl/>
              </w:rPr>
              <w:t>הנהלה*</w:t>
            </w:r>
          </w:p>
        </w:tc>
      </w:tr>
      <w:tr w:rsidR="00C51EE6" w:rsidRPr="00F03571" w:rsidTr="00C51EE6">
        <w:trPr>
          <w:trHeight w:val="20"/>
          <w:tblHeader/>
        </w:trPr>
        <w:tc>
          <w:tcPr>
            <w:tcW w:w="0" w:type="auto"/>
            <w:shd w:val="clear" w:color="auto" w:fill="C6D9F1"/>
            <w:vAlign w:val="bottom"/>
            <w:hideMark/>
          </w:tcPr>
          <w:p w:rsidR="00A75367" w:rsidRPr="00C51EE6" w:rsidRDefault="00A75367" w:rsidP="00C51EE6">
            <w:pPr>
              <w:tabs>
                <w:tab w:val="left" w:pos="1148"/>
              </w:tabs>
              <w:spacing w:before="40" w:after="40"/>
              <w:jc w:val="left"/>
              <w:rPr>
                <w:rFonts w:ascii="Tahoma" w:eastAsiaTheme="minorEastAsia" w:hAnsi="Tahoma" w:cs="Tahoma"/>
                <w:b/>
                <w:bCs/>
                <w:spacing w:val="-2"/>
                <w:sz w:val="16"/>
                <w:szCs w:val="16"/>
              </w:rPr>
            </w:pPr>
            <w:r w:rsidRPr="00C51EE6">
              <w:rPr>
                <w:rFonts w:ascii="Tahoma" w:eastAsiaTheme="minorEastAsia" w:hAnsi="Tahoma" w:cs="Tahoma"/>
                <w:b/>
                <w:bCs/>
                <w:spacing w:val="-2"/>
                <w:sz w:val="16"/>
                <w:szCs w:val="16"/>
                <w:rtl/>
              </w:rPr>
              <w:t>הנורמה</w:t>
            </w:r>
          </w:p>
        </w:tc>
        <w:tc>
          <w:tcPr>
            <w:tcW w:w="0" w:type="auto"/>
            <w:shd w:val="clear" w:color="auto" w:fill="C6D9F1"/>
            <w:vAlign w:val="bottom"/>
            <w:hideMark/>
          </w:tcPr>
          <w:p w:rsidR="00A75367" w:rsidRPr="00C51EE6" w:rsidRDefault="00A75367" w:rsidP="00C51EE6">
            <w:pPr>
              <w:tabs>
                <w:tab w:val="left" w:pos="1148"/>
              </w:tabs>
              <w:spacing w:before="40" w:after="40"/>
              <w:jc w:val="left"/>
              <w:rPr>
                <w:rFonts w:ascii="Tahoma" w:eastAsiaTheme="minorEastAsia" w:hAnsi="Tahoma" w:cs="Tahoma"/>
                <w:b/>
                <w:bCs/>
                <w:spacing w:val="-2"/>
                <w:sz w:val="16"/>
                <w:szCs w:val="16"/>
              </w:rPr>
            </w:pPr>
            <w:r w:rsidRPr="00C51EE6">
              <w:rPr>
                <w:rFonts w:ascii="Tahoma" w:eastAsiaTheme="minorEastAsia" w:hAnsi="Tahoma" w:cs="Tahoma"/>
                <w:b/>
                <w:bCs/>
                <w:spacing w:val="-2"/>
                <w:sz w:val="16"/>
                <w:szCs w:val="16"/>
                <w:rtl/>
              </w:rPr>
              <w:t xml:space="preserve">העלות בפועל </w:t>
            </w:r>
          </w:p>
        </w:tc>
        <w:tc>
          <w:tcPr>
            <w:tcW w:w="0" w:type="auto"/>
            <w:shd w:val="clear" w:color="auto" w:fill="C6D9F1"/>
            <w:vAlign w:val="bottom"/>
            <w:hideMark/>
          </w:tcPr>
          <w:p w:rsidR="00A75367" w:rsidRPr="00C51EE6" w:rsidRDefault="00A75367" w:rsidP="00C51EE6">
            <w:pPr>
              <w:tabs>
                <w:tab w:val="left" w:pos="1148"/>
              </w:tabs>
              <w:spacing w:before="40" w:after="40"/>
              <w:jc w:val="left"/>
              <w:rPr>
                <w:rFonts w:ascii="Tahoma" w:eastAsiaTheme="minorEastAsia" w:hAnsi="Tahoma" w:cs="Tahoma"/>
                <w:b/>
                <w:bCs/>
                <w:spacing w:val="-2"/>
                <w:sz w:val="16"/>
                <w:szCs w:val="16"/>
              </w:rPr>
            </w:pPr>
            <w:r w:rsidRPr="00C51EE6">
              <w:rPr>
                <w:rFonts w:ascii="Tahoma" w:eastAsiaTheme="minorEastAsia" w:hAnsi="Tahoma" w:cs="Tahoma"/>
                <w:b/>
                <w:bCs/>
                <w:spacing w:val="-2"/>
                <w:sz w:val="16"/>
                <w:szCs w:val="16"/>
                <w:rtl/>
              </w:rPr>
              <w:t>שיעור החריגה</w:t>
            </w:r>
          </w:p>
        </w:tc>
        <w:tc>
          <w:tcPr>
            <w:tcW w:w="0" w:type="auto"/>
            <w:shd w:val="clear" w:color="auto" w:fill="C6D9F1"/>
            <w:vAlign w:val="bottom"/>
            <w:hideMark/>
          </w:tcPr>
          <w:p w:rsidR="00A75367" w:rsidRPr="00C51EE6" w:rsidRDefault="00A75367" w:rsidP="00C51EE6">
            <w:pPr>
              <w:tabs>
                <w:tab w:val="left" w:pos="1148"/>
              </w:tabs>
              <w:spacing w:before="40" w:after="40"/>
              <w:jc w:val="left"/>
              <w:rPr>
                <w:rFonts w:ascii="Tahoma" w:eastAsiaTheme="minorEastAsia" w:hAnsi="Tahoma" w:cs="Tahoma"/>
                <w:b/>
                <w:bCs/>
                <w:spacing w:val="-2"/>
                <w:sz w:val="16"/>
                <w:szCs w:val="16"/>
              </w:rPr>
            </w:pPr>
            <w:r w:rsidRPr="00C51EE6">
              <w:rPr>
                <w:rFonts w:ascii="Tahoma" w:eastAsiaTheme="minorEastAsia" w:hAnsi="Tahoma" w:cs="Tahoma"/>
                <w:b/>
                <w:bCs/>
                <w:spacing w:val="-2"/>
                <w:sz w:val="16"/>
                <w:szCs w:val="16"/>
                <w:rtl/>
              </w:rPr>
              <w:t>הנורמה</w:t>
            </w:r>
          </w:p>
        </w:tc>
        <w:tc>
          <w:tcPr>
            <w:tcW w:w="0" w:type="auto"/>
            <w:shd w:val="clear" w:color="auto" w:fill="C6D9F1"/>
            <w:vAlign w:val="bottom"/>
            <w:hideMark/>
          </w:tcPr>
          <w:p w:rsidR="00A75367" w:rsidRPr="00C51EE6" w:rsidRDefault="00A75367" w:rsidP="00C51EE6">
            <w:pPr>
              <w:tabs>
                <w:tab w:val="left" w:pos="1148"/>
              </w:tabs>
              <w:spacing w:before="40" w:after="40"/>
              <w:jc w:val="left"/>
              <w:rPr>
                <w:rFonts w:ascii="Tahoma" w:eastAsiaTheme="minorEastAsia" w:hAnsi="Tahoma" w:cs="Tahoma"/>
                <w:b/>
                <w:bCs/>
                <w:spacing w:val="-2"/>
                <w:sz w:val="16"/>
                <w:szCs w:val="16"/>
              </w:rPr>
            </w:pPr>
            <w:r w:rsidRPr="00C51EE6">
              <w:rPr>
                <w:rFonts w:ascii="Tahoma" w:eastAsiaTheme="minorEastAsia" w:hAnsi="Tahoma" w:cs="Tahoma"/>
                <w:b/>
                <w:bCs/>
                <w:spacing w:val="-2"/>
                <w:sz w:val="16"/>
                <w:szCs w:val="16"/>
                <w:rtl/>
              </w:rPr>
              <w:t xml:space="preserve">העלות בפועל </w:t>
            </w:r>
          </w:p>
        </w:tc>
        <w:tc>
          <w:tcPr>
            <w:tcW w:w="0" w:type="auto"/>
            <w:shd w:val="clear" w:color="auto" w:fill="C6D9F1"/>
            <w:vAlign w:val="bottom"/>
            <w:hideMark/>
          </w:tcPr>
          <w:p w:rsidR="00A75367" w:rsidRPr="00C51EE6" w:rsidRDefault="00A75367" w:rsidP="00C51EE6">
            <w:pPr>
              <w:tabs>
                <w:tab w:val="left" w:pos="1148"/>
              </w:tabs>
              <w:spacing w:before="40" w:after="40"/>
              <w:jc w:val="left"/>
              <w:rPr>
                <w:rFonts w:ascii="Tahoma" w:eastAsiaTheme="minorEastAsia" w:hAnsi="Tahoma" w:cs="Tahoma"/>
                <w:b/>
                <w:bCs/>
                <w:spacing w:val="-2"/>
                <w:sz w:val="16"/>
                <w:szCs w:val="16"/>
              </w:rPr>
            </w:pPr>
            <w:r w:rsidRPr="00C51EE6">
              <w:rPr>
                <w:rFonts w:ascii="Tahoma" w:eastAsiaTheme="minorEastAsia" w:hAnsi="Tahoma" w:cs="Tahoma"/>
                <w:b/>
                <w:bCs/>
                <w:spacing w:val="-2"/>
                <w:sz w:val="16"/>
                <w:szCs w:val="16"/>
                <w:rtl/>
              </w:rPr>
              <w:t>שיעור החריגה</w:t>
            </w:r>
          </w:p>
        </w:tc>
        <w:tc>
          <w:tcPr>
            <w:tcW w:w="0" w:type="auto"/>
            <w:shd w:val="clear" w:color="auto" w:fill="C6D9F1"/>
            <w:vAlign w:val="bottom"/>
            <w:hideMark/>
          </w:tcPr>
          <w:p w:rsidR="00A75367" w:rsidRPr="00C51EE6" w:rsidRDefault="00A75367" w:rsidP="00C51EE6">
            <w:pPr>
              <w:tabs>
                <w:tab w:val="left" w:pos="1148"/>
              </w:tabs>
              <w:spacing w:before="40" w:after="40"/>
              <w:jc w:val="left"/>
              <w:rPr>
                <w:rFonts w:ascii="Tahoma" w:eastAsiaTheme="minorEastAsia" w:hAnsi="Tahoma" w:cs="Tahoma"/>
                <w:b/>
                <w:bCs/>
                <w:spacing w:val="-2"/>
                <w:sz w:val="16"/>
                <w:szCs w:val="16"/>
              </w:rPr>
            </w:pPr>
            <w:r w:rsidRPr="00C51EE6">
              <w:rPr>
                <w:rFonts w:ascii="Tahoma" w:eastAsiaTheme="minorEastAsia" w:hAnsi="Tahoma" w:cs="Tahoma"/>
                <w:b/>
                <w:bCs/>
                <w:spacing w:val="-2"/>
                <w:sz w:val="16"/>
                <w:szCs w:val="16"/>
                <w:rtl/>
              </w:rPr>
              <w:t>הנורמה</w:t>
            </w:r>
          </w:p>
        </w:tc>
        <w:tc>
          <w:tcPr>
            <w:tcW w:w="0" w:type="auto"/>
            <w:shd w:val="clear" w:color="auto" w:fill="C6D9F1"/>
            <w:vAlign w:val="bottom"/>
            <w:hideMark/>
          </w:tcPr>
          <w:p w:rsidR="00A75367" w:rsidRPr="00C51EE6" w:rsidRDefault="00A75367" w:rsidP="00C51EE6">
            <w:pPr>
              <w:tabs>
                <w:tab w:val="left" w:pos="1148"/>
              </w:tabs>
              <w:spacing w:before="40" w:after="40"/>
              <w:jc w:val="left"/>
              <w:rPr>
                <w:rFonts w:ascii="Tahoma" w:eastAsiaTheme="minorEastAsia" w:hAnsi="Tahoma" w:cs="Tahoma"/>
                <w:b/>
                <w:bCs/>
                <w:spacing w:val="-2"/>
                <w:sz w:val="16"/>
                <w:szCs w:val="16"/>
              </w:rPr>
            </w:pPr>
            <w:r w:rsidRPr="00C51EE6">
              <w:rPr>
                <w:rFonts w:ascii="Tahoma" w:eastAsiaTheme="minorEastAsia" w:hAnsi="Tahoma" w:cs="Tahoma"/>
                <w:b/>
                <w:bCs/>
                <w:spacing w:val="-2"/>
                <w:sz w:val="16"/>
                <w:szCs w:val="16"/>
                <w:rtl/>
              </w:rPr>
              <w:t xml:space="preserve">העלות בפועל </w:t>
            </w:r>
          </w:p>
        </w:tc>
        <w:tc>
          <w:tcPr>
            <w:tcW w:w="0" w:type="auto"/>
            <w:shd w:val="clear" w:color="auto" w:fill="C6D9F1"/>
            <w:vAlign w:val="bottom"/>
            <w:hideMark/>
          </w:tcPr>
          <w:p w:rsidR="00A75367" w:rsidRPr="00C51EE6" w:rsidRDefault="00A75367" w:rsidP="00C51EE6">
            <w:pPr>
              <w:tabs>
                <w:tab w:val="left" w:pos="1148"/>
              </w:tabs>
              <w:spacing w:before="40" w:after="40"/>
              <w:jc w:val="left"/>
              <w:rPr>
                <w:rFonts w:ascii="Tahoma" w:eastAsiaTheme="minorEastAsia" w:hAnsi="Tahoma" w:cs="Tahoma"/>
                <w:b/>
                <w:bCs/>
                <w:spacing w:val="-2"/>
                <w:sz w:val="16"/>
                <w:szCs w:val="16"/>
              </w:rPr>
            </w:pPr>
            <w:r w:rsidRPr="00C51EE6">
              <w:rPr>
                <w:rFonts w:ascii="Tahoma" w:eastAsiaTheme="minorEastAsia" w:hAnsi="Tahoma" w:cs="Tahoma"/>
                <w:b/>
                <w:bCs/>
                <w:spacing w:val="-2"/>
                <w:sz w:val="16"/>
                <w:szCs w:val="16"/>
                <w:rtl/>
              </w:rPr>
              <w:t>שיעור החריגה</w:t>
            </w:r>
          </w:p>
        </w:tc>
        <w:tc>
          <w:tcPr>
            <w:tcW w:w="0" w:type="auto"/>
            <w:shd w:val="clear" w:color="auto" w:fill="C6D9F1"/>
            <w:vAlign w:val="bottom"/>
            <w:hideMark/>
          </w:tcPr>
          <w:p w:rsidR="00A75367" w:rsidRPr="00C51EE6" w:rsidRDefault="00A75367" w:rsidP="00C51EE6">
            <w:pPr>
              <w:tabs>
                <w:tab w:val="left" w:pos="1148"/>
              </w:tabs>
              <w:spacing w:before="40" w:after="40"/>
              <w:jc w:val="left"/>
              <w:rPr>
                <w:rFonts w:ascii="Tahoma" w:eastAsiaTheme="minorEastAsia" w:hAnsi="Tahoma" w:cs="Tahoma"/>
                <w:b/>
                <w:bCs/>
                <w:spacing w:val="-2"/>
                <w:sz w:val="16"/>
                <w:szCs w:val="16"/>
              </w:rPr>
            </w:pPr>
            <w:r w:rsidRPr="00C51EE6">
              <w:rPr>
                <w:rFonts w:ascii="Tahoma" w:eastAsiaTheme="minorEastAsia" w:hAnsi="Tahoma" w:cs="Tahoma"/>
                <w:b/>
                <w:bCs/>
                <w:spacing w:val="-2"/>
                <w:sz w:val="16"/>
                <w:szCs w:val="16"/>
                <w:rtl/>
              </w:rPr>
              <w:t>הנורמה</w:t>
            </w:r>
          </w:p>
        </w:tc>
        <w:tc>
          <w:tcPr>
            <w:tcW w:w="0" w:type="auto"/>
            <w:shd w:val="clear" w:color="auto" w:fill="C6D9F1"/>
            <w:vAlign w:val="bottom"/>
            <w:hideMark/>
          </w:tcPr>
          <w:p w:rsidR="00A75367" w:rsidRPr="00C51EE6" w:rsidRDefault="00A75367" w:rsidP="00C51EE6">
            <w:pPr>
              <w:tabs>
                <w:tab w:val="left" w:pos="1148"/>
              </w:tabs>
              <w:spacing w:before="40" w:after="40"/>
              <w:jc w:val="left"/>
              <w:rPr>
                <w:rFonts w:ascii="Tahoma" w:eastAsiaTheme="minorEastAsia" w:hAnsi="Tahoma" w:cs="Tahoma"/>
                <w:b/>
                <w:bCs/>
                <w:spacing w:val="-2"/>
                <w:sz w:val="16"/>
                <w:szCs w:val="16"/>
              </w:rPr>
            </w:pPr>
            <w:r w:rsidRPr="00C51EE6">
              <w:rPr>
                <w:rFonts w:ascii="Tahoma" w:eastAsiaTheme="minorEastAsia" w:hAnsi="Tahoma" w:cs="Tahoma"/>
                <w:b/>
                <w:bCs/>
                <w:spacing w:val="-2"/>
                <w:sz w:val="16"/>
                <w:szCs w:val="16"/>
                <w:rtl/>
              </w:rPr>
              <w:t xml:space="preserve">העלות בפועל </w:t>
            </w:r>
          </w:p>
        </w:tc>
        <w:tc>
          <w:tcPr>
            <w:tcW w:w="0" w:type="auto"/>
            <w:shd w:val="clear" w:color="auto" w:fill="C6D9F1"/>
            <w:vAlign w:val="bottom"/>
            <w:hideMark/>
          </w:tcPr>
          <w:p w:rsidR="00A75367" w:rsidRPr="00C51EE6" w:rsidRDefault="00A75367" w:rsidP="00C51EE6">
            <w:pPr>
              <w:tabs>
                <w:tab w:val="left" w:pos="1148"/>
              </w:tabs>
              <w:spacing w:before="40" w:after="40"/>
              <w:jc w:val="left"/>
              <w:rPr>
                <w:rFonts w:ascii="Tahoma" w:eastAsiaTheme="minorEastAsia" w:hAnsi="Tahoma" w:cs="Tahoma"/>
                <w:b/>
                <w:bCs/>
                <w:spacing w:val="-2"/>
                <w:sz w:val="16"/>
                <w:szCs w:val="16"/>
              </w:rPr>
            </w:pPr>
            <w:r w:rsidRPr="00C51EE6">
              <w:rPr>
                <w:rFonts w:ascii="Tahoma" w:eastAsiaTheme="minorEastAsia" w:hAnsi="Tahoma" w:cs="Tahoma"/>
                <w:b/>
                <w:bCs/>
                <w:spacing w:val="-2"/>
                <w:sz w:val="16"/>
                <w:szCs w:val="16"/>
                <w:rtl/>
              </w:rPr>
              <w:t>שיעור החריגה</w:t>
            </w:r>
          </w:p>
        </w:tc>
      </w:tr>
      <w:tr w:rsidR="00C51EE6" w:rsidRPr="00F03571" w:rsidTr="00C150CA">
        <w:trPr>
          <w:trHeight w:val="20"/>
        </w:trPr>
        <w:tc>
          <w:tcPr>
            <w:tcW w:w="0" w:type="auto"/>
            <w:vAlign w:val="bottom"/>
            <w:hideMark/>
          </w:tcPr>
          <w:p w:rsidR="00A75367" w:rsidRPr="00C51EE6" w:rsidRDefault="00A75367" w:rsidP="00C51EE6">
            <w:pPr>
              <w:tabs>
                <w:tab w:val="left" w:pos="1148"/>
              </w:tabs>
              <w:spacing w:before="40" w:after="40"/>
              <w:jc w:val="left"/>
              <w:rPr>
                <w:rFonts w:ascii="Tahoma" w:eastAsiaTheme="minorEastAsia" w:hAnsi="Tahoma" w:cs="Tahoma"/>
                <w:sz w:val="18"/>
                <w:szCs w:val="18"/>
              </w:rPr>
            </w:pPr>
            <w:r w:rsidRPr="00C51EE6">
              <w:rPr>
                <w:rFonts w:ascii="Tahoma" w:eastAsiaTheme="minorEastAsia" w:hAnsi="Tahoma" w:cs="Tahoma"/>
                <w:sz w:val="18"/>
                <w:szCs w:val="18"/>
                <w:rtl/>
              </w:rPr>
              <w:t>38.3</w:t>
            </w:r>
          </w:p>
        </w:tc>
        <w:tc>
          <w:tcPr>
            <w:tcW w:w="0" w:type="auto"/>
            <w:vAlign w:val="bottom"/>
            <w:hideMark/>
          </w:tcPr>
          <w:p w:rsidR="00A75367" w:rsidRPr="00C51EE6" w:rsidRDefault="00A75367" w:rsidP="00C51EE6">
            <w:pPr>
              <w:tabs>
                <w:tab w:val="left" w:pos="1148"/>
              </w:tabs>
              <w:spacing w:before="40" w:after="40"/>
              <w:jc w:val="left"/>
              <w:rPr>
                <w:rFonts w:ascii="Tahoma" w:eastAsiaTheme="minorEastAsia" w:hAnsi="Tahoma" w:cs="Tahoma"/>
                <w:sz w:val="18"/>
                <w:szCs w:val="18"/>
              </w:rPr>
            </w:pPr>
            <w:r w:rsidRPr="00C51EE6">
              <w:rPr>
                <w:rFonts w:ascii="Tahoma" w:eastAsiaTheme="minorEastAsia" w:hAnsi="Tahoma" w:cs="Tahoma"/>
                <w:sz w:val="18"/>
                <w:szCs w:val="18"/>
                <w:rtl/>
              </w:rPr>
              <w:t>54.5</w:t>
            </w:r>
          </w:p>
        </w:tc>
        <w:tc>
          <w:tcPr>
            <w:tcW w:w="0" w:type="auto"/>
            <w:vAlign w:val="bottom"/>
          </w:tcPr>
          <w:p w:rsidR="00A75367" w:rsidRPr="00C51EE6" w:rsidRDefault="00A75367" w:rsidP="00C51EE6">
            <w:pPr>
              <w:tabs>
                <w:tab w:val="left" w:pos="1148"/>
              </w:tabs>
              <w:spacing w:before="40" w:after="40"/>
              <w:jc w:val="left"/>
              <w:rPr>
                <w:rFonts w:ascii="Tahoma" w:eastAsiaTheme="minorEastAsia" w:hAnsi="Tahoma" w:cs="Tahoma"/>
                <w:sz w:val="18"/>
                <w:szCs w:val="18"/>
              </w:rPr>
            </w:pPr>
            <w:r w:rsidRPr="00C51EE6">
              <w:rPr>
                <w:rFonts w:ascii="Tahoma" w:eastAsiaTheme="minorEastAsia" w:hAnsi="Tahoma" w:cs="Tahoma"/>
                <w:sz w:val="18"/>
                <w:szCs w:val="18"/>
                <w:rtl/>
              </w:rPr>
              <w:t>42%</w:t>
            </w:r>
          </w:p>
        </w:tc>
        <w:tc>
          <w:tcPr>
            <w:tcW w:w="0" w:type="auto"/>
            <w:vAlign w:val="bottom"/>
            <w:hideMark/>
          </w:tcPr>
          <w:p w:rsidR="00A75367" w:rsidRPr="00C51EE6" w:rsidRDefault="00A75367" w:rsidP="00C51EE6">
            <w:pPr>
              <w:tabs>
                <w:tab w:val="left" w:pos="1148"/>
              </w:tabs>
              <w:spacing w:before="40" w:after="40"/>
              <w:jc w:val="left"/>
              <w:rPr>
                <w:rFonts w:ascii="Tahoma" w:eastAsiaTheme="minorEastAsia" w:hAnsi="Tahoma" w:cs="Tahoma"/>
                <w:sz w:val="18"/>
                <w:szCs w:val="18"/>
              </w:rPr>
            </w:pPr>
            <w:r w:rsidRPr="00C51EE6">
              <w:rPr>
                <w:rFonts w:ascii="Tahoma" w:eastAsiaTheme="minorEastAsia" w:hAnsi="Tahoma" w:cs="Tahoma"/>
                <w:sz w:val="18"/>
                <w:szCs w:val="18"/>
                <w:rtl/>
              </w:rPr>
              <w:t>18.6</w:t>
            </w:r>
          </w:p>
        </w:tc>
        <w:tc>
          <w:tcPr>
            <w:tcW w:w="0" w:type="auto"/>
            <w:vAlign w:val="bottom"/>
            <w:hideMark/>
          </w:tcPr>
          <w:p w:rsidR="00A75367" w:rsidRPr="00C51EE6" w:rsidRDefault="00A75367" w:rsidP="00C51EE6">
            <w:pPr>
              <w:tabs>
                <w:tab w:val="left" w:pos="1148"/>
              </w:tabs>
              <w:spacing w:before="40" w:after="40"/>
              <w:jc w:val="left"/>
              <w:rPr>
                <w:rFonts w:ascii="Tahoma" w:eastAsiaTheme="minorEastAsia" w:hAnsi="Tahoma" w:cs="Tahoma"/>
                <w:sz w:val="18"/>
                <w:szCs w:val="18"/>
              </w:rPr>
            </w:pPr>
            <w:r w:rsidRPr="00C51EE6">
              <w:rPr>
                <w:rFonts w:ascii="Tahoma" w:eastAsiaTheme="minorEastAsia" w:hAnsi="Tahoma" w:cs="Tahoma"/>
                <w:sz w:val="18"/>
                <w:szCs w:val="18"/>
                <w:rtl/>
              </w:rPr>
              <w:t>30.7</w:t>
            </w:r>
          </w:p>
        </w:tc>
        <w:tc>
          <w:tcPr>
            <w:tcW w:w="0" w:type="auto"/>
            <w:vAlign w:val="bottom"/>
          </w:tcPr>
          <w:p w:rsidR="00A75367" w:rsidRPr="00C51EE6" w:rsidRDefault="00A75367" w:rsidP="00C51EE6">
            <w:pPr>
              <w:tabs>
                <w:tab w:val="left" w:pos="1148"/>
              </w:tabs>
              <w:spacing w:before="40" w:after="40"/>
              <w:jc w:val="left"/>
              <w:rPr>
                <w:rFonts w:ascii="Tahoma" w:eastAsiaTheme="minorEastAsia" w:hAnsi="Tahoma" w:cs="Tahoma"/>
                <w:sz w:val="18"/>
                <w:szCs w:val="18"/>
                <w:rtl/>
              </w:rPr>
            </w:pPr>
            <w:r w:rsidRPr="00C51EE6">
              <w:rPr>
                <w:rFonts w:ascii="Tahoma" w:eastAsiaTheme="minorEastAsia" w:hAnsi="Tahoma" w:cs="Tahoma"/>
                <w:sz w:val="18"/>
                <w:szCs w:val="18"/>
                <w:rtl/>
              </w:rPr>
              <w:t>63%</w:t>
            </w:r>
          </w:p>
        </w:tc>
        <w:tc>
          <w:tcPr>
            <w:tcW w:w="0" w:type="auto"/>
            <w:vAlign w:val="bottom"/>
            <w:hideMark/>
          </w:tcPr>
          <w:p w:rsidR="00A75367" w:rsidRPr="00C51EE6" w:rsidRDefault="00A75367" w:rsidP="00C51EE6">
            <w:pPr>
              <w:tabs>
                <w:tab w:val="left" w:pos="1148"/>
              </w:tabs>
              <w:spacing w:before="40" w:after="40"/>
              <w:jc w:val="left"/>
              <w:rPr>
                <w:rFonts w:ascii="Tahoma" w:eastAsiaTheme="minorEastAsia" w:hAnsi="Tahoma" w:cs="Tahoma"/>
                <w:sz w:val="18"/>
                <w:szCs w:val="18"/>
              </w:rPr>
            </w:pPr>
            <w:r w:rsidRPr="00C51EE6">
              <w:rPr>
                <w:rFonts w:ascii="Tahoma" w:eastAsiaTheme="minorEastAsia" w:hAnsi="Tahoma" w:cs="Tahoma"/>
                <w:sz w:val="18"/>
                <w:szCs w:val="18"/>
                <w:rtl/>
              </w:rPr>
              <w:t>20.6</w:t>
            </w:r>
          </w:p>
        </w:tc>
        <w:tc>
          <w:tcPr>
            <w:tcW w:w="0" w:type="auto"/>
            <w:vAlign w:val="bottom"/>
            <w:hideMark/>
          </w:tcPr>
          <w:p w:rsidR="00A75367" w:rsidRPr="00C51EE6" w:rsidRDefault="00A75367" w:rsidP="00C51EE6">
            <w:pPr>
              <w:tabs>
                <w:tab w:val="left" w:pos="1148"/>
              </w:tabs>
              <w:spacing w:before="40" w:after="40"/>
              <w:jc w:val="left"/>
              <w:rPr>
                <w:rFonts w:ascii="Tahoma" w:eastAsiaTheme="minorEastAsia" w:hAnsi="Tahoma" w:cs="Tahoma"/>
                <w:sz w:val="18"/>
                <w:szCs w:val="18"/>
              </w:rPr>
            </w:pPr>
            <w:r w:rsidRPr="00C51EE6">
              <w:rPr>
                <w:rFonts w:ascii="Tahoma" w:eastAsiaTheme="minorEastAsia" w:hAnsi="Tahoma" w:cs="Tahoma"/>
                <w:sz w:val="18"/>
                <w:szCs w:val="18"/>
                <w:rtl/>
              </w:rPr>
              <w:t>26.8</w:t>
            </w:r>
          </w:p>
        </w:tc>
        <w:tc>
          <w:tcPr>
            <w:tcW w:w="0" w:type="auto"/>
            <w:vAlign w:val="bottom"/>
            <w:hideMark/>
          </w:tcPr>
          <w:p w:rsidR="00A75367" w:rsidRPr="00C51EE6" w:rsidRDefault="00A75367" w:rsidP="00C51EE6">
            <w:pPr>
              <w:tabs>
                <w:tab w:val="left" w:pos="1148"/>
              </w:tabs>
              <w:spacing w:before="40" w:after="40"/>
              <w:jc w:val="left"/>
              <w:rPr>
                <w:rFonts w:ascii="Tahoma" w:eastAsiaTheme="minorEastAsia" w:hAnsi="Tahoma" w:cs="Tahoma"/>
                <w:sz w:val="18"/>
                <w:szCs w:val="18"/>
                <w:rtl/>
              </w:rPr>
            </w:pPr>
            <w:r w:rsidRPr="00C51EE6">
              <w:rPr>
                <w:rFonts w:ascii="Tahoma" w:eastAsiaTheme="minorEastAsia" w:hAnsi="Tahoma" w:cs="Tahoma"/>
                <w:sz w:val="18"/>
                <w:szCs w:val="18"/>
                <w:rtl/>
              </w:rPr>
              <w:t>30%</w:t>
            </w:r>
          </w:p>
        </w:tc>
        <w:tc>
          <w:tcPr>
            <w:tcW w:w="0" w:type="auto"/>
            <w:vAlign w:val="bottom"/>
            <w:hideMark/>
          </w:tcPr>
          <w:p w:rsidR="00A75367" w:rsidRPr="00C51EE6" w:rsidRDefault="00A75367" w:rsidP="00C51EE6">
            <w:pPr>
              <w:tabs>
                <w:tab w:val="left" w:pos="1148"/>
              </w:tabs>
              <w:spacing w:before="40" w:after="40"/>
              <w:jc w:val="left"/>
              <w:rPr>
                <w:rFonts w:ascii="Tahoma" w:eastAsiaTheme="minorEastAsia" w:hAnsi="Tahoma" w:cs="Tahoma"/>
                <w:sz w:val="18"/>
                <w:szCs w:val="18"/>
              </w:rPr>
            </w:pPr>
            <w:r w:rsidRPr="00C51EE6">
              <w:rPr>
                <w:rFonts w:ascii="Tahoma" w:eastAsiaTheme="minorEastAsia" w:hAnsi="Tahoma" w:cs="Tahoma"/>
                <w:sz w:val="18"/>
                <w:szCs w:val="18"/>
                <w:rtl/>
              </w:rPr>
              <w:t>9.2</w:t>
            </w:r>
          </w:p>
        </w:tc>
        <w:tc>
          <w:tcPr>
            <w:tcW w:w="0" w:type="auto"/>
            <w:vAlign w:val="bottom"/>
            <w:hideMark/>
          </w:tcPr>
          <w:p w:rsidR="00A75367" w:rsidRPr="00C51EE6" w:rsidRDefault="00A75367" w:rsidP="00C51EE6">
            <w:pPr>
              <w:tabs>
                <w:tab w:val="left" w:pos="1148"/>
              </w:tabs>
              <w:spacing w:before="40" w:after="40"/>
              <w:jc w:val="left"/>
              <w:rPr>
                <w:rFonts w:ascii="Tahoma" w:eastAsiaTheme="minorEastAsia" w:hAnsi="Tahoma" w:cs="Tahoma"/>
                <w:sz w:val="18"/>
                <w:szCs w:val="18"/>
              </w:rPr>
            </w:pPr>
            <w:r w:rsidRPr="00C51EE6">
              <w:rPr>
                <w:rFonts w:ascii="Tahoma" w:eastAsiaTheme="minorEastAsia" w:hAnsi="Tahoma" w:cs="Tahoma"/>
                <w:sz w:val="18"/>
                <w:szCs w:val="18"/>
                <w:rtl/>
              </w:rPr>
              <w:t>22.6</w:t>
            </w:r>
          </w:p>
        </w:tc>
        <w:tc>
          <w:tcPr>
            <w:tcW w:w="0" w:type="auto"/>
            <w:vAlign w:val="bottom"/>
            <w:hideMark/>
          </w:tcPr>
          <w:p w:rsidR="00A75367" w:rsidRPr="00C51EE6" w:rsidRDefault="00A75367" w:rsidP="00C51EE6">
            <w:pPr>
              <w:tabs>
                <w:tab w:val="left" w:pos="1148"/>
              </w:tabs>
              <w:spacing w:before="40" w:after="40"/>
              <w:jc w:val="left"/>
              <w:rPr>
                <w:rFonts w:ascii="Tahoma" w:eastAsiaTheme="minorEastAsia" w:hAnsi="Tahoma" w:cs="Tahoma"/>
                <w:sz w:val="18"/>
                <w:szCs w:val="18"/>
                <w:rtl/>
              </w:rPr>
            </w:pPr>
            <w:r w:rsidRPr="00C51EE6">
              <w:rPr>
                <w:rFonts w:ascii="Tahoma" w:eastAsiaTheme="minorEastAsia" w:hAnsi="Tahoma" w:cs="Tahoma"/>
                <w:sz w:val="18"/>
                <w:szCs w:val="18"/>
                <w:rtl/>
              </w:rPr>
              <w:t>146%</w:t>
            </w:r>
          </w:p>
        </w:tc>
      </w:tr>
    </w:tbl>
    <w:p w:rsidR="00A75367" w:rsidRPr="00C51EE6" w:rsidRDefault="00A75367" w:rsidP="00C51EE6">
      <w:pPr>
        <w:spacing w:before="120" w:after="120"/>
        <w:jc w:val="center"/>
        <w:rPr>
          <w:rFonts w:ascii="Tahoma" w:hAnsi="Tahoma" w:cs="Tahoma"/>
          <w:sz w:val="16"/>
          <w:szCs w:val="16"/>
          <w:rtl/>
          <w:lang w:eastAsia="he-IL"/>
        </w:rPr>
      </w:pPr>
      <w:r w:rsidRPr="00C51EE6">
        <w:rPr>
          <w:rFonts w:ascii="Tahoma" w:hAnsi="Tahoma" w:cs="Tahoma"/>
          <w:sz w:val="16"/>
          <w:szCs w:val="16"/>
          <w:rtl/>
          <w:lang w:eastAsia="he-IL"/>
        </w:rPr>
        <w:t>על פי נתוני רשות המים.</w:t>
      </w:r>
    </w:p>
    <w:p w:rsidR="00A75367" w:rsidRPr="00C51EE6" w:rsidRDefault="00A75367" w:rsidP="00C51EE6">
      <w:pPr>
        <w:spacing w:before="120" w:after="120"/>
        <w:jc w:val="center"/>
        <w:rPr>
          <w:rFonts w:ascii="Tahoma" w:hAnsi="Tahoma" w:cs="Tahoma"/>
          <w:sz w:val="16"/>
          <w:szCs w:val="16"/>
          <w:rtl/>
          <w:lang w:eastAsia="he-IL"/>
        </w:rPr>
      </w:pPr>
      <w:r w:rsidRPr="00C51EE6">
        <w:rPr>
          <w:rFonts w:ascii="Tahoma" w:hAnsi="Tahoma" w:cs="Tahoma"/>
          <w:sz w:val="16"/>
          <w:szCs w:val="16"/>
          <w:rtl/>
          <w:lang w:eastAsia="he-IL"/>
        </w:rPr>
        <w:t>* עיקר החריגה היא בסעיף "משכורות ונלוות" המשויך לעלויות הנהלה וכלליות. עוד כוללות עלויות ההנהלה את המרכיבים הבאים: משכורות ונלוות; יעוץ מקצועי - הנהלה; הוצאות משרדיות; דמי שכירות - הנהלה; ביטוח - הנהלה; מסים עירוניים; הוצאות אחרות הנהלה; פחת - הנהלה; מיכון - הנהלה; אחזקת כלי רכב; דואר ותקשורת; חשמל ומים; דוברות; פיצויים ותביעות.</w:t>
      </w:r>
    </w:p>
    <w:p w:rsidR="00A75367" w:rsidRPr="00BC57BC" w:rsidRDefault="00A75367" w:rsidP="00C51EE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Cs w:val="20"/>
        </w:rPr>
      </w:pPr>
      <w:r w:rsidRPr="00BC57BC">
        <w:rPr>
          <w:rFonts w:ascii="Tahoma" w:hAnsi="Tahoma" w:cs="Tahoma"/>
          <w:b w:val="0"/>
          <w:bCs w:val="0"/>
          <w:szCs w:val="20"/>
          <w:rtl/>
        </w:rPr>
        <w:lastRenderedPageBreak/>
        <w:t>בשנת 2017 נרשמה אפוא חריגה מנורמות התפעול בכל המדדים שקבעה רשות המים לתאגיד. באותה שנה רשות המים הכירה לתאגיד בנורמות תפעול בגובה כ-87 מיליון ש"ח, ואילו עלויות התפעול היו 134.5 מיליון ש"ח. מכאן שהפער בין הוצאות התפעול בפועל לבין הנורמות היה 47.5 מיליון ש"ח - כ-9.4% מהוצאות התאגיד באותה שנה, שעמדו על כ-505.4 מיליון ש"ח</w:t>
      </w:r>
      <w:r w:rsidRPr="00BC57BC">
        <w:rPr>
          <w:rStyle w:val="FootnoteReference"/>
          <w:rFonts w:ascii="Tahoma" w:hAnsi="Tahoma" w:cs="Tahoma"/>
          <w:b w:val="0"/>
          <w:bCs w:val="0"/>
          <w:szCs w:val="20"/>
          <w:rtl/>
        </w:rPr>
        <w:footnoteReference w:id="14"/>
      </w:r>
      <w:r w:rsidRPr="00BC57BC">
        <w:rPr>
          <w:rFonts w:ascii="Tahoma" w:hAnsi="Tahoma" w:cs="Tahoma"/>
          <w:b w:val="0"/>
          <w:bCs w:val="0"/>
          <w:szCs w:val="20"/>
          <w:rtl/>
        </w:rPr>
        <w:t xml:space="preserve">. מאחר שמשק המים הוא משק כספים סגור, עלויות גבוהות מהעלות הנורמטיבית שהוכרה לתאגיד יבואו על חשבון מרכיב הון המים והביוב בתעריף המים, אשר אמור לממן את פיתוח תשתיות המים והביוב בירושלים רבתי. </w:t>
      </w:r>
    </w:p>
    <w:p w:rsidR="00A75367" w:rsidRPr="00BC57BC" w:rsidRDefault="00A75367" w:rsidP="00A75367">
      <w:pPr>
        <w:spacing w:after="120"/>
        <w:rPr>
          <w:rFonts w:ascii="Tahoma" w:hAnsi="Tahoma" w:cs="Tahoma"/>
          <w:sz w:val="16"/>
          <w:szCs w:val="16"/>
          <w:rtl/>
        </w:rPr>
      </w:pPr>
      <w:r w:rsidRPr="00BC57BC">
        <w:rPr>
          <w:rFonts w:ascii="Tahoma" w:hAnsi="Tahoma" w:cs="Tahoma"/>
          <w:szCs w:val="20"/>
          <w:rtl/>
        </w:rPr>
        <w:t xml:space="preserve">רשות המים השיבה למשרד מבקר המדינה באפריל 2019 כי לפי הדוחות הכספיים של הגיחון לשנת 2017, חל שיפור כלשהו בהוצאותיו, ראו תרשים 2 לעיל. </w:t>
      </w:r>
    </w:p>
    <w:p w:rsidR="00A75367" w:rsidRPr="00BC57BC" w:rsidRDefault="00A75367" w:rsidP="00A75367">
      <w:pPr>
        <w:spacing w:after="120"/>
        <w:rPr>
          <w:rFonts w:ascii="Tahoma" w:hAnsi="Tahoma" w:cs="Tahoma"/>
          <w:szCs w:val="20"/>
          <w:rtl/>
        </w:rPr>
      </w:pPr>
      <w:r w:rsidRPr="00BC57BC">
        <w:rPr>
          <w:rFonts w:ascii="Tahoma" w:hAnsi="Tahoma" w:cs="Tahoma"/>
          <w:szCs w:val="20"/>
          <w:rtl/>
        </w:rPr>
        <w:t xml:space="preserve">במסמך "עמדת חברת הגיחון בדבר </w:t>
      </w:r>
      <w:proofErr w:type="spellStart"/>
      <w:r w:rsidRPr="00BC57BC">
        <w:rPr>
          <w:rFonts w:ascii="Tahoma" w:hAnsi="Tahoma" w:cs="Tahoma"/>
          <w:szCs w:val="20"/>
          <w:rtl/>
        </w:rPr>
        <w:t>אסדרת</w:t>
      </w:r>
      <w:proofErr w:type="spellEnd"/>
      <w:r w:rsidRPr="00BC57BC">
        <w:rPr>
          <w:rFonts w:ascii="Tahoma" w:hAnsi="Tahoma" w:cs="Tahoma"/>
          <w:szCs w:val="20"/>
          <w:rtl/>
        </w:rPr>
        <w:t xml:space="preserve"> רגולציה כלכלית ארוכת טווח למשק המים" ממרץ 2018 עולה כי לשיטת התאגיד, "עלויות התפעול הנורמטיביות אינן משקפות את המציאות בה פועלים התאגידים בערים גדולות ומורכבות". במסמך צוין כי צורכי התאגיד ייחודיים בין היתר עקב גודלה הגיאוגרפי של ירושלים וריבוי האוכלוסין בה ועקב המבנה ההררי שלה, שמחייב הפעלת רשת מים בלחצים שונים ואחזקת תחנות של עשרות משאבות ומתקנים להקטנת לחץ. בינואר 2019 מסר התאגיד למשרד מבקר המדינה כי בהיותו תאגיד מרחבי, נדרשים לו משאבים נוספים להתנהלות מול כל רשות ומועצה מקומית. </w:t>
      </w:r>
    </w:p>
    <w:p w:rsidR="00A75367" w:rsidRPr="00BC57BC" w:rsidRDefault="00A75367" w:rsidP="00A75367">
      <w:pPr>
        <w:spacing w:after="120"/>
        <w:rPr>
          <w:rFonts w:ascii="Tahoma" w:hAnsi="Tahoma" w:cs="Tahoma"/>
          <w:szCs w:val="20"/>
          <w:rtl/>
        </w:rPr>
      </w:pPr>
      <w:r w:rsidRPr="00BC57BC">
        <w:rPr>
          <w:rFonts w:ascii="Tahoma" w:hAnsi="Tahoma" w:cs="Tahoma"/>
          <w:szCs w:val="20"/>
          <w:rtl/>
        </w:rPr>
        <w:t>רשות המים התייחסה לטענות אלה עוד ב-2014</w:t>
      </w:r>
      <w:r w:rsidRPr="00BC57BC">
        <w:rPr>
          <w:rStyle w:val="FootnoteReference"/>
          <w:rFonts w:ascii="Tahoma" w:hAnsi="Tahoma" w:cs="Tahoma"/>
          <w:szCs w:val="20"/>
          <w:rtl/>
        </w:rPr>
        <w:footnoteReference w:id="15"/>
      </w:r>
      <w:r w:rsidRPr="00BC57BC">
        <w:rPr>
          <w:rFonts w:ascii="Tahoma" w:hAnsi="Tahoma" w:cs="Tahoma"/>
          <w:szCs w:val="20"/>
          <w:rtl/>
        </w:rPr>
        <w:t>, וטענה כי רכיבים אלה גולמו בתעריף ובנורמות התפעול שהסתמכו על מצבת הנכסים של התאגיד, ולפיהם גם נקבעו עלויות התפעול, וכן ברכיב ההכרה בעלויות אנרגיה אשר נקבע על בסיס עלות בפועל. עוד הוסיפה הרשות כי מעבודה שהיא עשתה עולה כי לתאגיד הגיחון יש פוטנציאל רב להתייעלות.</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 xml:space="preserve">בתשובת התאגיד למשרד מבקר המדינה באפריל 2019 צוין כי קיימות סיבות נוספות לפערים בין נורמות התפעול לעלויות התפעול, כגון עלויות בגין שכר ופנסיה תקציבית של עובדים שהועברו מעיריית ירושלים לתאגיד, עלויות בגין מחשוב, ביטוח ועוד. עוד השיב התאגיד כי בהתאם לנתוני הלשכה המרכזית לסטטיסטיקה, ירושלים מדורגת באשכול חברתי 2, מדרג נמוך, ואילו לצורך חישוב נורמות התפעול בכללי המים הוא נחשב לתאגיד בעל מדרג חברתי גבוה, ולפיכך הנורמות שקבעה לו רשות המים מחמירות יותר ואינן תואמות את הצרכים בפועל. </w:t>
      </w:r>
    </w:p>
    <w:p w:rsidR="00A75367" w:rsidRPr="00BC57BC" w:rsidRDefault="00A75367" w:rsidP="00A75367">
      <w:pPr>
        <w:spacing w:after="120"/>
        <w:rPr>
          <w:rFonts w:ascii="Tahoma" w:hAnsi="Tahoma" w:cs="Tahoma"/>
          <w:szCs w:val="20"/>
          <w:rtl/>
        </w:rPr>
      </w:pPr>
      <w:r w:rsidRPr="00BC57BC">
        <w:rPr>
          <w:rFonts w:ascii="Tahoma" w:hAnsi="Tahoma" w:cs="Tahoma"/>
          <w:szCs w:val="20"/>
          <w:rtl/>
        </w:rPr>
        <w:t xml:space="preserve">רשות המים השיבה למשרד מבקר המדינה בדצמבר 2019 כי לאורך השנים, היא בוחנת מעת לעת את נורמות התפעול ומשנה אותם בהתאם לעלויות עדכניות ובנות השגה. יצוין כי בינואר 2018 פרסמה רשות המים קול קורא ולפיו "על רקע שורת רפורמות שהובילה רשות המים להתייעלות הכלכלית במשק המים... הוחלט על בחינת המתודולוגיה לקביעת העלויות המוכרות... לצורך אספקת שירותי המים והביוב". בהודעת הרשות נדרש הציבור להשמיע את עמדתו בין היתר בנושאים הבאים: "דרך ההכרה בעלויות תפעול ואחזקה, נדרשות תוך בחינת </w:t>
      </w:r>
      <w:r w:rsidRPr="00BC57BC">
        <w:rPr>
          <w:rFonts w:ascii="Tahoma" w:hAnsi="Tahoma" w:cs="Tahoma"/>
          <w:szCs w:val="20"/>
          <w:rtl/>
        </w:rPr>
        <w:lastRenderedPageBreak/>
        <w:t xml:space="preserve">האפשרות לקביעת עלויות נורמטיביות לרכיבים שונים... עקרונות רגולטוריים </w:t>
      </w:r>
      <w:proofErr w:type="spellStart"/>
      <w:r w:rsidRPr="00BC57BC">
        <w:rPr>
          <w:rFonts w:ascii="Tahoma" w:hAnsi="Tahoma" w:cs="Tahoma"/>
          <w:szCs w:val="20"/>
          <w:rtl/>
        </w:rPr>
        <w:t>לתמרוץ</w:t>
      </w:r>
      <w:proofErr w:type="spellEnd"/>
      <w:r w:rsidRPr="00BC57BC">
        <w:rPr>
          <w:rFonts w:ascii="Tahoma" w:hAnsi="Tahoma" w:cs="Tahoma"/>
          <w:szCs w:val="20"/>
          <w:rtl/>
        </w:rPr>
        <w:t xml:space="preserve"> הגופים להתייעלות, יעילות ומזעור עלויות... מבנה מומלץ לתעריפים בהם יחויבו הצרכנים". לאחר שתי דחיות נדרש הציבור להגיש את עמדותיו בכתב עד ליום 22.3.18, ואולם עד מועד סיום הביקורת טרם קבעה רשות המים מתודולוגיה חדשה לקביעת העלויות המוכרות לצורך אספקת שירותי המים והביוב. רשות המים השיבה למשרד מבקר המדינה באפריל 2019 כי בפברואר 2019 הוצגה המתודולוגיה האמורה לפני מועצת רשות המים ונדונה בה. לאחר מועד סיום הביקורת, במאי 2019 פרסמה רשות המים הזמנה לציבור להשמיע את עמדתו בדבר עדכון כללי תעריפי מים וביוב. רשות המים ציינה כי העדכון כולל הטמעה של המתודולוגיה לקביעת העלויות המוכרות לתאגידים. מועצת רשות המים אישרה את הכללים בחודש יוני, והם נכנסו לתוקף בתחילת יולי 2019. עוד השיבה רשות המים למשרד מבקר המדינה בדצמבר 2019 כי בהחלטה על עדכון התעריפים לינואר 2020, נקבעו נורמות תפעול לתאגידים שמספקים כמות מים מעל </w:t>
      </w:r>
      <w:r>
        <w:rPr>
          <w:rFonts w:ascii="Tahoma" w:hAnsi="Tahoma" w:cs="Tahoma"/>
          <w:szCs w:val="20"/>
          <w:rtl/>
        </w:rPr>
        <w:t>ל-</w:t>
      </w:r>
      <w:r w:rsidRPr="00BC57BC">
        <w:rPr>
          <w:rFonts w:ascii="Tahoma" w:hAnsi="Tahoma" w:cs="Tahoma"/>
          <w:szCs w:val="20"/>
          <w:rtl/>
        </w:rPr>
        <w:t xml:space="preserve">40 </w:t>
      </w:r>
      <w:proofErr w:type="spellStart"/>
      <w:r w:rsidRPr="00BC57BC">
        <w:rPr>
          <w:rFonts w:ascii="Tahoma" w:hAnsi="Tahoma" w:cs="Tahoma"/>
          <w:szCs w:val="20"/>
          <w:rtl/>
        </w:rPr>
        <w:t>מלמ"ק</w:t>
      </w:r>
      <w:proofErr w:type="spellEnd"/>
      <w:r w:rsidRPr="00BC57BC">
        <w:rPr>
          <w:rFonts w:ascii="Tahoma" w:hAnsi="Tahoma" w:cs="Tahoma"/>
          <w:szCs w:val="20"/>
          <w:rtl/>
        </w:rPr>
        <w:t>, דוגמת הגיחון.</w:t>
      </w:r>
    </w:p>
    <w:p w:rsidR="00A75367" w:rsidRPr="00BC57BC" w:rsidRDefault="00A75367" w:rsidP="00C51EE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BC57BC">
        <w:rPr>
          <w:rFonts w:ascii="Tahoma" w:hAnsi="Tahoma" w:cs="Tahoma"/>
          <w:b w:val="0"/>
          <w:bCs w:val="0"/>
          <w:szCs w:val="20"/>
          <w:rtl/>
        </w:rPr>
        <w:t>משרד מבקר המדינה רואה בחיוב את רווחיות התאגיד ואת מגמת העלייה ברווחיות בין השנים</w:t>
      </w:r>
      <w:r>
        <w:rPr>
          <w:rFonts w:ascii="Tahoma" w:hAnsi="Tahoma" w:cs="Tahoma"/>
          <w:b w:val="0"/>
          <w:bCs w:val="0"/>
          <w:szCs w:val="20"/>
          <w:rtl/>
        </w:rPr>
        <w:t xml:space="preserve"> </w:t>
      </w:r>
      <w:r w:rsidRPr="00BC57BC">
        <w:rPr>
          <w:rFonts w:ascii="Tahoma" w:hAnsi="Tahoma" w:cs="Tahoma"/>
          <w:b w:val="0"/>
          <w:bCs w:val="0"/>
          <w:szCs w:val="20"/>
          <w:rtl/>
        </w:rPr>
        <w:t>2014 - 2018, ואת הגדלת שיעור השקעותיו שהגיעו בשנת 2018 לכ-25% מההכנסות. עם זאת</w:t>
      </w:r>
      <w:r w:rsidRPr="00BC57BC" w:rsidDel="00734ECA">
        <w:rPr>
          <w:rFonts w:ascii="Tahoma" w:hAnsi="Tahoma" w:cs="Tahoma"/>
          <w:b w:val="0"/>
          <w:bCs w:val="0"/>
          <w:szCs w:val="20"/>
          <w:rtl/>
        </w:rPr>
        <w:t xml:space="preserve"> </w:t>
      </w:r>
      <w:r w:rsidRPr="00BC57BC">
        <w:rPr>
          <w:rFonts w:ascii="Tahoma" w:hAnsi="Tahoma" w:cs="Tahoma"/>
          <w:b w:val="0"/>
          <w:bCs w:val="0"/>
          <w:szCs w:val="20"/>
          <w:rtl/>
        </w:rPr>
        <w:t xml:space="preserve">פער של כ-9.5% מעלויות התאגיד בין נורמות התפעול לעלויות בפועל, מתוכו פער של 146% בעלויות ההנהלה, מחייב את התאגיד לבחון את המקור לסטיות ולפעול לצמצמן. פער כה גדול מחייב גם את רשות המים לבחון באופן תקופתי את אופן קביעת הנורמות, זאת גם </w:t>
      </w:r>
      <w:r w:rsidRPr="00BC57BC">
        <w:rPr>
          <w:rFonts w:ascii="Tahoma" w:hAnsi="Tahoma" w:cs="Tahoma"/>
          <w:b w:val="0"/>
          <w:bCs w:val="0"/>
          <w:sz w:val="16"/>
          <w:szCs w:val="20"/>
          <w:rtl/>
        </w:rPr>
        <w:t>נוכח השונות המאפיינת את פעילותם של תאגידי המים השונים והאתגרים איתם הם מתמודדים</w:t>
      </w:r>
      <w:r w:rsidRPr="00BC57BC">
        <w:rPr>
          <w:rFonts w:ascii="Tahoma" w:hAnsi="Tahoma" w:cs="Tahoma"/>
          <w:b w:val="0"/>
          <w:bCs w:val="0"/>
          <w:szCs w:val="20"/>
          <w:rtl/>
        </w:rPr>
        <w:t xml:space="preserve">. צמצום הפער בין הנורמות לעלויות התפעול בפועל ישפר את מצבו הכלכלי של התאגיד ואת רווחיותו, ויאפשר לתעל את הכנסותיו להגדלת ההשקעות במשק המים בירושלים רבתי. </w:t>
      </w:r>
    </w:p>
    <w:p w:rsidR="00A75367" w:rsidRPr="00BC57BC" w:rsidRDefault="00A75367" w:rsidP="00C51EE6">
      <w:pPr>
        <w:pStyle w:val="21"/>
        <w:rPr>
          <w:rtl/>
        </w:rPr>
      </w:pPr>
      <w:bookmarkStart w:id="12" w:name="_Toc17268273"/>
      <w:bookmarkStart w:id="13" w:name="_Toc32167110"/>
      <w:r w:rsidRPr="00BC57BC">
        <w:rPr>
          <w:rtl/>
        </w:rPr>
        <w:t>פחת הגבייה</w:t>
      </w:r>
      <w:bookmarkEnd w:id="12"/>
      <w:bookmarkEnd w:id="13"/>
      <w:r w:rsidRPr="00BC57BC">
        <w:rPr>
          <w:rtl/>
        </w:rPr>
        <w:t xml:space="preserve"> </w:t>
      </w:r>
    </w:p>
    <w:p w:rsidR="00A75367" w:rsidRPr="00BC57BC" w:rsidRDefault="00A75367" w:rsidP="00A75367">
      <w:pPr>
        <w:autoSpaceDE w:val="0"/>
        <w:autoSpaceDN w:val="0"/>
        <w:adjustRightInd w:val="0"/>
        <w:spacing w:after="120"/>
        <w:rPr>
          <w:rFonts w:ascii="Tahoma" w:hAnsi="Tahoma" w:cs="Tahoma"/>
          <w:szCs w:val="20"/>
        </w:rPr>
      </w:pPr>
      <w:r w:rsidRPr="00BC57BC">
        <w:rPr>
          <w:rFonts w:ascii="Tahoma" w:hAnsi="Tahoma" w:cs="Tahoma"/>
          <w:szCs w:val="20"/>
          <w:rtl/>
        </w:rPr>
        <w:t>על פי כללי תאגידי מים וביוב (חישוב</w:t>
      </w:r>
      <w:r w:rsidRPr="00BC57BC">
        <w:rPr>
          <w:rFonts w:ascii="Tahoma" w:hAnsi="Tahoma" w:cs="Tahoma"/>
          <w:szCs w:val="20"/>
        </w:rPr>
        <w:t xml:space="preserve"> </w:t>
      </w:r>
      <w:r w:rsidRPr="00BC57BC">
        <w:rPr>
          <w:rFonts w:ascii="Tahoma" w:hAnsi="Tahoma" w:cs="Tahoma"/>
          <w:szCs w:val="20"/>
          <w:rtl/>
        </w:rPr>
        <w:t>עלות</w:t>
      </w:r>
      <w:r w:rsidRPr="00BC57BC">
        <w:rPr>
          <w:rFonts w:ascii="Tahoma" w:hAnsi="Tahoma" w:cs="Tahoma"/>
          <w:szCs w:val="20"/>
        </w:rPr>
        <w:t xml:space="preserve"> </w:t>
      </w:r>
      <w:r w:rsidRPr="00BC57BC">
        <w:rPr>
          <w:rFonts w:ascii="Tahoma" w:hAnsi="Tahoma" w:cs="Tahoma"/>
          <w:szCs w:val="20"/>
          <w:rtl/>
        </w:rPr>
        <w:t>שירותי</w:t>
      </w:r>
      <w:r w:rsidRPr="00BC57BC">
        <w:rPr>
          <w:rFonts w:ascii="Tahoma" w:hAnsi="Tahoma" w:cs="Tahoma"/>
          <w:szCs w:val="20"/>
        </w:rPr>
        <w:t xml:space="preserve"> </w:t>
      </w:r>
      <w:r w:rsidRPr="00BC57BC">
        <w:rPr>
          <w:rFonts w:ascii="Tahoma" w:hAnsi="Tahoma" w:cs="Tahoma"/>
          <w:szCs w:val="20"/>
          <w:rtl/>
        </w:rPr>
        <w:t>מים</w:t>
      </w:r>
      <w:r w:rsidRPr="00BC57BC">
        <w:rPr>
          <w:rFonts w:ascii="Tahoma" w:hAnsi="Tahoma" w:cs="Tahoma"/>
          <w:szCs w:val="20"/>
        </w:rPr>
        <w:t xml:space="preserve"> </w:t>
      </w:r>
      <w:r w:rsidRPr="00BC57BC">
        <w:rPr>
          <w:rFonts w:ascii="Tahoma" w:hAnsi="Tahoma" w:cs="Tahoma"/>
          <w:szCs w:val="20"/>
          <w:rtl/>
        </w:rPr>
        <w:t>וביוב</w:t>
      </w:r>
      <w:r w:rsidRPr="00BC57BC">
        <w:rPr>
          <w:rFonts w:ascii="Tahoma" w:hAnsi="Tahoma" w:cs="Tahoma"/>
          <w:szCs w:val="20"/>
        </w:rPr>
        <w:t xml:space="preserve"> </w:t>
      </w:r>
      <w:r w:rsidRPr="00BC57BC">
        <w:rPr>
          <w:rFonts w:ascii="Tahoma" w:hAnsi="Tahoma" w:cs="Tahoma"/>
          <w:szCs w:val="20"/>
          <w:rtl/>
        </w:rPr>
        <w:t>והקמת</w:t>
      </w:r>
      <w:r w:rsidRPr="00BC57BC">
        <w:rPr>
          <w:rFonts w:ascii="Tahoma" w:hAnsi="Tahoma" w:cs="Tahoma"/>
          <w:szCs w:val="20"/>
        </w:rPr>
        <w:t xml:space="preserve"> </w:t>
      </w:r>
      <w:r w:rsidRPr="00BC57BC">
        <w:rPr>
          <w:rFonts w:ascii="Tahoma" w:hAnsi="Tahoma" w:cs="Tahoma"/>
          <w:szCs w:val="20"/>
          <w:rtl/>
        </w:rPr>
        <w:t>מערכת</w:t>
      </w:r>
      <w:r w:rsidRPr="00BC57BC">
        <w:rPr>
          <w:rFonts w:ascii="Tahoma" w:hAnsi="Tahoma" w:cs="Tahoma"/>
          <w:szCs w:val="20"/>
        </w:rPr>
        <w:t xml:space="preserve"> </w:t>
      </w:r>
      <w:r w:rsidRPr="00BC57BC">
        <w:rPr>
          <w:rFonts w:ascii="Tahoma" w:hAnsi="Tahoma" w:cs="Tahoma"/>
          <w:szCs w:val="20"/>
          <w:rtl/>
        </w:rPr>
        <w:t>מים</w:t>
      </w:r>
      <w:r w:rsidRPr="00BC57BC">
        <w:rPr>
          <w:rFonts w:ascii="Tahoma" w:hAnsi="Tahoma" w:cs="Tahoma"/>
          <w:szCs w:val="20"/>
        </w:rPr>
        <w:t xml:space="preserve"> </w:t>
      </w:r>
      <w:r w:rsidRPr="00BC57BC">
        <w:rPr>
          <w:rFonts w:ascii="Tahoma" w:hAnsi="Tahoma" w:cs="Tahoma"/>
          <w:szCs w:val="20"/>
          <w:rtl/>
        </w:rPr>
        <w:t>או</w:t>
      </w:r>
      <w:r w:rsidRPr="00BC57BC">
        <w:rPr>
          <w:rFonts w:ascii="Tahoma" w:hAnsi="Tahoma" w:cs="Tahoma"/>
          <w:szCs w:val="20"/>
        </w:rPr>
        <w:t xml:space="preserve"> </w:t>
      </w:r>
      <w:r w:rsidRPr="00BC57BC">
        <w:rPr>
          <w:rFonts w:ascii="Tahoma" w:hAnsi="Tahoma" w:cs="Tahoma"/>
          <w:szCs w:val="20"/>
          <w:rtl/>
        </w:rPr>
        <w:t xml:space="preserve">ביוב), </w:t>
      </w:r>
      <w:proofErr w:type="spellStart"/>
      <w:r w:rsidRPr="00BC57BC">
        <w:rPr>
          <w:rFonts w:ascii="Tahoma" w:hAnsi="Tahoma" w:cs="Tahoma"/>
          <w:szCs w:val="20"/>
          <w:rtl/>
        </w:rPr>
        <w:t>התש"ע</w:t>
      </w:r>
      <w:proofErr w:type="spellEnd"/>
      <w:r w:rsidRPr="00BC57BC">
        <w:rPr>
          <w:rFonts w:ascii="Tahoma" w:hAnsi="Tahoma" w:cs="Tahoma"/>
          <w:szCs w:val="20"/>
        </w:rPr>
        <w:t>-</w:t>
      </w:r>
      <w:r w:rsidRPr="00BC57BC">
        <w:rPr>
          <w:rFonts w:ascii="Tahoma" w:hAnsi="Tahoma" w:cs="Tahoma"/>
          <w:szCs w:val="20"/>
          <w:rtl/>
        </w:rPr>
        <w:t>2009 (להלן - כללי תאגידי מים וביוב), פחת גבייה מוגדר כהפרש</w:t>
      </w:r>
      <w:r w:rsidRPr="00BC57BC">
        <w:rPr>
          <w:rFonts w:ascii="Tahoma" w:hAnsi="Tahoma" w:cs="Tahoma"/>
          <w:szCs w:val="20"/>
        </w:rPr>
        <w:t xml:space="preserve"> </w:t>
      </w:r>
      <w:r w:rsidRPr="00BC57BC">
        <w:rPr>
          <w:rFonts w:ascii="Tahoma" w:hAnsi="Tahoma" w:cs="Tahoma"/>
          <w:szCs w:val="20"/>
          <w:rtl/>
        </w:rPr>
        <w:t>בין</w:t>
      </w:r>
      <w:r w:rsidRPr="00BC57BC">
        <w:rPr>
          <w:rFonts w:ascii="Tahoma" w:hAnsi="Tahoma" w:cs="Tahoma"/>
          <w:szCs w:val="20"/>
        </w:rPr>
        <w:t xml:space="preserve"> </w:t>
      </w:r>
      <w:r w:rsidRPr="00BC57BC">
        <w:rPr>
          <w:rFonts w:ascii="Tahoma" w:hAnsi="Tahoma" w:cs="Tahoma"/>
          <w:szCs w:val="20"/>
          <w:rtl/>
        </w:rPr>
        <w:t>סך</w:t>
      </w:r>
      <w:r w:rsidRPr="00BC57BC">
        <w:rPr>
          <w:rFonts w:ascii="Tahoma" w:hAnsi="Tahoma" w:cs="Tahoma"/>
          <w:szCs w:val="20"/>
        </w:rPr>
        <w:t xml:space="preserve"> </w:t>
      </w:r>
      <w:r w:rsidRPr="00BC57BC">
        <w:rPr>
          <w:rFonts w:ascii="Tahoma" w:hAnsi="Tahoma" w:cs="Tahoma"/>
          <w:szCs w:val="20"/>
          <w:rtl/>
        </w:rPr>
        <w:t>כל</w:t>
      </w:r>
      <w:r w:rsidRPr="00BC57BC">
        <w:rPr>
          <w:rFonts w:ascii="Tahoma" w:hAnsi="Tahoma" w:cs="Tahoma"/>
          <w:szCs w:val="20"/>
        </w:rPr>
        <w:t xml:space="preserve"> </w:t>
      </w:r>
      <w:r w:rsidRPr="00BC57BC">
        <w:rPr>
          <w:rFonts w:ascii="Tahoma" w:hAnsi="Tahoma" w:cs="Tahoma"/>
          <w:szCs w:val="20"/>
          <w:rtl/>
        </w:rPr>
        <w:t>החיובים שהוציאה</w:t>
      </w:r>
      <w:r w:rsidRPr="00BC57BC">
        <w:rPr>
          <w:rFonts w:ascii="Tahoma" w:hAnsi="Tahoma" w:cs="Tahoma"/>
          <w:szCs w:val="20"/>
        </w:rPr>
        <w:t xml:space="preserve"> </w:t>
      </w:r>
      <w:r w:rsidRPr="00BC57BC">
        <w:rPr>
          <w:rFonts w:ascii="Tahoma" w:hAnsi="Tahoma" w:cs="Tahoma"/>
          <w:szCs w:val="20"/>
          <w:rtl/>
        </w:rPr>
        <w:t>החברה</w:t>
      </w:r>
      <w:r w:rsidRPr="00BC57BC">
        <w:rPr>
          <w:rFonts w:ascii="Tahoma" w:hAnsi="Tahoma" w:cs="Tahoma"/>
          <w:szCs w:val="20"/>
        </w:rPr>
        <w:t xml:space="preserve"> </w:t>
      </w:r>
      <w:r w:rsidRPr="00BC57BC">
        <w:rPr>
          <w:rFonts w:ascii="Tahoma" w:hAnsi="Tahoma" w:cs="Tahoma"/>
          <w:szCs w:val="20"/>
          <w:rtl/>
        </w:rPr>
        <w:t>בעד</w:t>
      </w:r>
      <w:r w:rsidRPr="00BC57BC">
        <w:rPr>
          <w:rFonts w:ascii="Tahoma" w:hAnsi="Tahoma" w:cs="Tahoma"/>
          <w:szCs w:val="20"/>
        </w:rPr>
        <w:t xml:space="preserve"> </w:t>
      </w:r>
      <w:r w:rsidRPr="00BC57BC">
        <w:rPr>
          <w:rFonts w:ascii="Tahoma" w:hAnsi="Tahoma" w:cs="Tahoma"/>
          <w:szCs w:val="20"/>
          <w:rtl/>
        </w:rPr>
        <w:t>שירותי המים</w:t>
      </w:r>
      <w:r w:rsidRPr="00BC57BC">
        <w:rPr>
          <w:rFonts w:ascii="Tahoma" w:hAnsi="Tahoma" w:cs="Tahoma"/>
          <w:szCs w:val="20"/>
        </w:rPr>
        <w:t xml:space="preserve"> </w:t>
      </w:r>
      <w:r w:rsidRPr="00BC57BC">
        <w:rPr>
          <w:rFonts w:ascii="Tahoma" w:hAnsi="Tahoma" w:cs="Tahoma"/>
          <w:szCs w:val="20"/>
          <w:rtl/>
        </w:rPr>
        <w:t xml:space="preserve">והביוב </w:t>
      </w:r>
      <w:proofErr w:type="spellStart"/>
      <w:r w:rsidRPr="00BC57BC">
        <w:rPr>
          <w:rFonts w:ascii="Tahoma" w:hAnsi="Tahoma" w:cs="Tahoma"/>
          <w:szCs w:val="20"/>
          <w:rtl/>
        </w:rPr>
        <w:t>לצרכניה</w:t>
      </w:r>
      <w:proofErr w:type="spellEnd"/>
      <w:r w:rsidRPr="00BC57BC">
        <w:rPr>
          <w:rFonts w:ascii="Tahoma" w:hAnsi="Tahoma" w:cs="Tahoma"/>
          <w:szCs w:val="20"/>
          <w:rtl/>
        </w:rPr>
        <w:t>,</w:t>
      </w:r>
      <w:r w:rsidRPr="00BC57BC">
        <w:rPr>
          <w:rFonts w:ascii="Tahoma" w:hAnsi="Tahoma" w:cs="Tahoma"/>
          <w:szCs w:val="20"/>
        </w:rPr>
        <w:t xml:space="preserve"> </w:t>
      </w:r>
      <w:r w:rsidRPr="00BC57BC">
        <w:rPr>
          <w:rFonts w:ascii="Tahoma" w:hAnsi="Tahoma" w:cs="Tahoma"/>
          <w:szCs w:val="20"/>
          <w:rtl/>
        </w:rPr>
        <w:t>לבין</w:t>
      </w:r>
      <w:r w:rsidRPr="00BC57BC">
        <w:rPr>
          <w:rFonts w:ascii="Tahoma" w:hAnsi="Tahoma" w:cs="Tahoma"/>
          <w:szCs w:val="20"/>
        </w:rPr>
        <w:t xml:space="preserve"> </w:t>
      </w:r>
      <w:r w:rsidRPr="00BC57BC">
        <w:rPr>
          <w:rFonts w:ascii="Tahoma" w:hAnsi="Tahoma" w:cs="Tahoma"/>
          <w:szCs w:val="20"/>
          <w:rtl/>
        </w:rPr>
        <w:t>סך</w:t>
      </w:r>
      <w:r w:rsidRPr="00BC57BC">
        <w:rPr>
          <w:rFonts w:ascii="Tahoma" w:hAnsi="Tahoma" w:cs="Tahoma"/>
          <w:szCs w:val="20"/>
        </w:rPr>
        <w:t xml:space="preserve"> </w:t>
      </w:r>
      <w:r w:rsidRPr="00BC57BC">
        <w:rPr>
          <w:rFonts w:ascii="Tahoma" w:hAnsi="Tahoma" w:cs="Tahoma"/>
          <w:szCs w:val="20"/>
          <w:rtl/>
        </w:rPr>
        <w:t>הגבייה</w:t>
      </w:r>
      <w:r w:rsidRPr="00BC57BC">
        <w:rPr>
          <w:rFonts w:ascii="Tahoma" w:hAnsi="Tahoma" w:cs="Tahoma"/>
          <w:szCs w:val="20"/>
        </w:rPr>
        <w:t xml:space="preserve"> </w:t>
      </w:r>
      <w:r w:rsidRPr="00BC57BC">
        <w:rPr>
          <w:rFonts w:ascii="Tahoma" w:hAnsi="Tahoma" w:cs="Tahoma"/>
          <w:szCs w:val="20"/>
          <w:rtl/>
        </w:rPr>
        <w:t>בפועל</w:t>
      </w:r>
      <w:r w:rsidRPr="00BC57BC">
        <w:rPr>
          <w:rFonts w:ascii="Tahoma" w:hAnsi="Tahoma" w:cs="Tahoma"/>
          <w:szCs w:val="20"/>
        </w:rPr>
        <w:t xml:space="preserve"> </w:t>
      </w:r>
      <w:r w:rsidRPr="00BC57BC">
        <w:rPr>
          <w:rFonts w:ascii="Tahoma" w:hAnsi="Tahoma" w:cs="Tahoma"/>
          <w:szCs w:val="20"/>
          <w:rtl/>
        </w:rPr>
        <w:t>בגין</w:t>
      </w:r>
      <w:r w:rsidRPr="00BC57BC">
        <w:rPr>
          <w:rFonts w:ascii="Tahoma" w:hAnsi="Tahoma" w:cs="Tahoma"/>
          <w:szCs w:val="20"/>
        </w:rPr>
        <w:t xml:space="preserve"> </w:t>
      </w:r>
      <w:r w:rsidRPr="00BC57BC">
        <w:rPr>
          <w:rFonts w:ascii="Tahoma" w:hAnsi="Tahoma" w:cs="Tahoma"/>
          <w:szCs w:val="20"/>
          <w:rtl/>
        </w:rPr>
        <w:t>אותם</w:t>
      </w:r>
      <w:r w:rsidRPr="00BC57BC">
        <w:rPr>
          <w:rFonts w:ascii="Tahoma" w:hAnsi="Tahoma" w:cs="Tahoma"/>
          <w:szCs w:val="20"/>
        </w:rPr>
        <w:t xml:space="preserve"> </w:t>
      </w:r>
      <w:r w:rsidRPr="00BC57BC">
        <w:rPr>
          <w:rFonts w:ascii="Tahoma" w:hAnsi="Tahoma" w:cs="Tahoma"/>
          <w:szCs w:val="20"/>
          <w:rtl/>
        </w:rPr>
        <w:t>חיובים, בשקלים</w:t>
      </w:r>
      <w:r w:rsidRPr="00BC57BC">
        <w:rPr>
          <w:rFonts w:ascii="Tahoma" w:hAnsi="Tahoma" w:cs="Tahoma"/>
          <w:szCs w:val="20"/>
        </w:rPr>
        <w:t xml:space="preserve"> </w:t>
      </w:r>
      <w:r w:rsidRPr="00BC57BC">
        <w:rPr>
          <w:rFonts w:ascii="Tahoma" w:hAnsi="Tahoma" w:cs="Tahoma"/>
          <w:szCs w:val="20"/>
          <w:rtl/>
        </w:rPr>
        <w:t>חדשים.</w:t>
      </w:r>
      <w:r w:rsidRPr="00BC57BC">
        <w:rPr>
          <w:rFonts w:ascii="Tahoma" w:hAnsi="Tahoma" w:cs="Tahoma"/>
          <w:sz w:val="16"/>
          <w:szCs w:val="20"/>
          <w:rtl/>
        </w:rPr>
        <w:t xml:space="preserve"> בכללים אלה הוגדר כי שיעור פחת</w:t>
      </w:r>
      <w:r w:rsidRPr="00BC57BC">
        <w:rPr>
          <w:rFonts w:ascii="Tahoma" w:hAnsi="Tahoma" w:cs="Tahoma"/>
          <w:szCs w:val="20"/>
          <w:rtl/>
        </w:rPr>
        <w:t xml:space="preserve"> הגבייה המוכר לתאגיד לכל מטרת צריכה יהיה 1.5%. </w:t>
      </w:r>
    </w:p>
    <w:p w:rsidR="00A75367" w:rsidRPr="00BC57BC" w:rsidRDefault="00A75367" w:rsidP="00A75367">
      <w:pPr>
        <w:autoSpaceDE w:val="0"/>
        <w:autoSpaceDN w:val="0"/>
        <w:adjustRightInd w:val="0"/>
        <w:spacing w:after="120"/>
        <w:rPr>
          <w:rFonts w:ascii="Tahoma" w:hAnsi="Tahoma" w:cs="Tahoma"/>
          <w:sz w:val="16"/>
          <w:szCs w:val="20"/>
          <w:rtl/>
        </w:rPr>
      </w:pPr>
      <w:r w:rsidRPr="00BC57BC">
        <w:rPr>
          <w:rFonts w:ascii="Tahoma" w:hAnsi="Tahoma" w:cs="Tahoma"/>
          <w:sz w:val="16"/>
          <w:szCs w:val="20"/>
          <w:rtl/>
        </w:rPr>
        <w:t>להלן נתונים על פחת הגבייה בתאגיד בשנים 2014 עד 2018:</w:t>
      </w:r>
    </w:p>
    <w:p w:rsidR="00A75367" w:rsidRPr="00BC57BC" w:rsidRDefault="00A75367" w:rsidP="00C51EE6">
      <w:pPr>
        <w:pStyle w:val="a1"/>
        <w:rPr>
          <w:rtl/>
        </w:rPr>
      </w:pPr>
      <w:r w:rsidRPr="00C51EE6">
        <w:rPr>
          <w:b w:val="0"/>
          <w:bCs w:val="0"/>
          <w:rtl/>
        </w:rPr>
        <w:t>לוח 2:</w:t>
      </w:r>
      <w:r w:rsidRPr="00BC57BC">
        <w:rPr>
          <w:rtl/>
        </w:rPr>
        <w:t xml:space="preserve"> פחת הגבייה המצטבר בתאגיד הגיחון, 2014 - 2018</w:t>
      </w:r>
    </w:p>
    <w:tbl>
      <w:tblPr>
        <w:tblStyle w:val="TableGrid"/>
        <w:bidiVisual/>
        <w:tblW w:w="0" w:type="auto"/>
        <w:jc w:val="center"/>
        <w:tblLook w:val="04A0" w:firstRow="1" w:lastRow="0" w:firstColumn="1" w:lastColumn="0" w:noHBand="0" w:noVBand="1"/>
      </w:tblPr>
      <w:tblGrid>
        <w:gridCol w:w="2112"/>
        <w:gridCol w:w="726"/>
        <w:gridCol w:w="726"/>
        <w:gridCol w:w="726"/>
        <w:gridCol w:w="726"/>
        <w:gridCol w:w="726"/>
      </w:tblGrid>
      <w:tr w:rsidR="00A75367" w:rsidRPr="00BC57BC" w:rsidTr="00C150CA">
        <w:trPr>
          <w:tblHeader/>
          <w:jc w:val="center"/>
        </w:trPr>
        <w:tc>
          <w:tcPr>
            <w:tcW w:w="0" w:type="auto"/>
            <w:shd w:val="clear" w:color="auto" w:fill="C6D9F1"/>
            <w:vAlign w:val="bottom"/>
          </w:tcPr>
          <w:p w:rsidR="00A75367" w:rsidRPr="00C150CA" w:rsidRDefault="00A75367" w:rsidP="00C150CA">
            <w:pPr>
              <w:tabs>
                <w:tab w:val="left" w:pos="1148"/>
              </w:tabs>
              <w:spacing w:before="40" w:after="40"/>
              <w:jc w:val="left"/>
              <w:rPr>
                <w:rFonts w:ascii="Tahoma" w:eastAsiaTheme="minorEastAsia" w:hAnsi="Tahoma" w:cs="Tahoma"/>
                <w:b/>
                <w:bCs/>
                <w:szCs w:val="20"/>
                <w:rtl/>
              </w:rPr>
            </w:pPr>
            <w:r w:rsidRPr="00C150CA">
              <w:rPr>
                <w:rFonts w:ascii="Tahoma" w:eastAsiaTheme="minorEastAsia" w:hAnsi="Tahoma" w:cs="Tahoma"/>
                <w:b/>
                <w:bCs/>
                <w:szCs w:val="20"/>
                <w:rtl/>
              </w:rPr>
              <w:t>השנה</w:t>
            </w:r>
          </w:p>
        </w:tc>
        <w:tc>
          <w:tcPr>
            <w:tcW w:w="0" w:type="auto"/>
            <w:shd w:val="clear" w:color="auto" w:fill="C6D9F1"/>
            <w:vAlign w:val="bottom"/>
          </w:tcPr>
          <w:p w:rsidR="00A75367" w:rsidRPr="00C150CA" w:rsidRDefault="00A75367" w:rsidP="00C150CA">
            <w:pPr>
              <w:tabs>
                <w:tab w:val="left" w:pos="1148"/>
              </w:tabs>
              <w:spacing w:before="40" w:after="40"/>
              <w:jc w:val="left"/>
              <w:rPr>
                <w:rFonts w:ascii="Tahoma" w:eastAsiaTheme="minorEastAsia" w:hAnsi="Tahoma" w:cs="Tahoma"/>
                <w:b/>
                <w:bCs/>
                <w:szCs w:val="20"/>
                <w:rtl/>
              </w:rPr>
            </w:pPr>
            <w:r w:rsidRPr="00C150CA">
              <w:rPr>
                <w:rFonts w:ascii="Tahoma" w:eastAsiaTheme="minorEastAsia" w:hAnsi="Tahoma" w:cs="Tahoma"/>
                <w:b/>
                <w:bCs/>
                <w:szCs w:val="20"/>
                <w:rtl/>
              </w:rPr>
              <w:t>2014</w:t>
            </w:r>
          </w:p>
        </w:tc>
        <w:tc>
          <w:tcPr>
            <w:tcW w:w="0" w:type="auto"/>
            <w:shd w:val="clear" w:color="auto" w:fill="C6D9F1"/>
            <w:vAlign w:val="bottom"/>
          </w:tcPr>
          <w:p w:rsidR="00A75367" w:rsidRPr="00C150CA" w:rsidRDefault="00A75367" w:rsidP="00C150CA">
            <w:pPr>
              <w:tabs>
                <w:tab w:val="left" w:pos="1148"/>
              </w:tabs>
              <w:spacing w:before="40" w:after="40"/>
              <w:jc w:val="left"/>
              <w:rPr>
                <w:rFonts w:ascii="Tahoma" w:eastAsiaTheme="minorEastAsia" w:hAnsi="Tahoma" w:cs="Tahoma"/>
                <w:b/>
                <w:bCs/>
                <w:szCs w:val="20"/>
                <w:rtl/>
              </w:rPr>
            </w:pPr>
            <w:r w:rsidRPr="00C150CA">
              <w:rPr>
                <w:rFonts w:ascii="Tahoma" w:eastAsiaTheme="minorEastAsia" w:hAnsi="Tahoma" w:cs="Tahoma"/>
                <w:b/>
                <w:bCs/>
                <w:szCs w:val="20"/>
                <w:rtl/>
              </w:rPr>
              <w:t>2015</w:t>
            </w:r>
          </w:p>
        </w:tc>
        <w:tc>
          <w:tcPr>
            <w:tcW w:w="0" w:type="auto"/>
            <w:shd w:val="clear" w:color="auto" w:fill="C6D9F1"/>
            <w:vAlign w:val="bottom"/>
          </w:tcPr>
          <w:p w:rsidR="00A75367" w:rsidRPr="00C150CA" w:rsidRDefault="00A75367" w:rsidP="00C150CA">
            <w:pPr>
              <w:tabs>
                <w:tab w:val="left" w:pos="1148"/>
              </w:tabs>
              <w:spacing w:before="40" w:after="40"/>
              <w:jc w:val="left"/>
              <w:rPr>
                <w:rFonts w:ascii="Tahoma" w:eastAsiaTheme="minorEastAsia" w:hAnsi="Tahoma" w:cs="Tahoma"/>
                <w:b/>
                <w:bCs/>
                <w:szCs w:val="20"/>
                <w:rtl/>
              </w:rPr>
            </w:pPr>
            <w:r w:rsidRPr="00C150CA">
              <w:rPr>
                <w:rFonts w:ascii="Tahoma" w:eastAsiaTheme="minorEastAsia" w:hAnsi="Tahoma" w:cs="Tahoma"/>
                <w:b/>
                <w:bCs/>
                <w:szCs w:val="20"/>
                <w:rtl/>
              </w:rPr>
              <w:t>2016</w:t>
            </w:r>
          </w:p>
        </w:tc>
        <w:tc>
          <w:tcPr>
            <w:tcW w:w="0" w:type="auto"/>
            <w:shd w:val="clear" w:color="auto" w:fill="C6D9F1"/>
            <w:vAlign w:val="bottom"/>
          </w:tcPr>
          <w:p w:rsidR="00A75367" w:rsidRPr="00C150CA" w:rsidRDefault="00A75367" w:rsidP="00C150CA">
            <w:pPr>
              <w:tabs>
                <w:tab w:val="left" w:pos="1148"/>
              </w:tabs>
              <w:spacing w:before="40" w:after="40"/>
              <w:jc w:val="left"/>
              <w:rPr>
                <w:rFonts w:ascii="Tahoma" w:eastAsiaTheme="minorEastAsia" w:hAnsi="Tahoma" w:cs="Tahoma"/>
                <w:b/>
                <w:bCs/>
                <w:szCs w:val="20"/>
                <w:rtl/>
              </w:rPr>
            </w:pPr>
            <w:r w:rsidRPr="00C150CA">
              <w:rPr>
                <w:rFonts w:ascii="Tahoma" w:eastAsiaTheme="minorEastAsia" w:hAnsi="Tahoma" w:cs="Tahoma"/>
                <w:b/>
                <w:bCs/>
                <w:szCs w:val="20"/>
                <w:rtl/>
              </w:rPr>
              <w:t>2017</w:t>
            </w:r>
          </w:p>
        </w:tc>
        <w:tc>
          <w:tcPr>
            <w:tcW w:w="0" w:type="auto"/>
            <w:shd w:val="clear" w:color="auto" w:fill="C6D9F1"/>
            <w:vAlign w:val="bottom"/>
          </w:tcPr>
          <w:p w:rsidR="00A75367" w:rsidRPr="00C150CA" w:rsidRDefault="00A75367" w:rsidP="00C150CA">
            <w:pPr>
              <w:tabs>
                <w:tab w:val="left" w:pos="1148"/>
              </w:tabs>
              <w:spacing w:before="40" w:after="40"/>
              <w:jc w:val="left"/>
              <w:rPr>
                <w:rFonts w:ascii="Tahoma" w:eastAsiaTheme="minorEastAsia" w:hAnsi="Tahoma" w:cs="Tahoma"/>
                <w:b/>
                <w:bCs/>
                <w:szCs w:val="20"/>
                <w:rtl/>
              </w:rPr>
            </w:pPr>
            <w:r w:rsidRPr="00C150CA">
              <w:rPr>
                <w:rFonts w:ascii="Tahoma" w:eastAsiaTheme="minorEastAsia" w:hAnsi="Tahoma" w:cs="Tahoma"/>
                <w:b/>
                <w:bCs/>
                <w:szCs w:val="20"/>
                <w:rtl/>
              </w:rPr>
              <w:t>2018</w:t>
            </w:r>
          </w:p>
        </w:tc>
      </w:tr>
      <w:tr w:rsidR="00A75367" w:rsidRPr="00BC57BC" w:rsidTr="00C150CA">
        <w:trPr>
          <w:jc w:val="center"/>
        </w:trPr>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Cs w:val="20"/>
                <w:rtl/>
              </w:rPr>
            </w:pPr>
            <w:r w:rsidRPr="00C150CA">
              <w:rPr>
                <w:rFonts w:ascii="Tahoma" w:eastAsiaTheme="minorEastAsia" w:hAnsi="Tahoma" w:cs="Tahoma"/>
                <w:szCs w:val="20"/>
                <w:rtl/>
              </w:rPr>
              <w:t>שיעור הפחת באחוזים</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Cs w:val="20"/>
                <w:rtl/>
              </w:rPr>
            </w:pPr>
            <w:r w:rsidRPr="00C150CA">
              <w:rPr>
                <w:rFonts w:ascii="Tahoma" w:eastAsiaTheme="minorEastAsia" w:hAnsi="Tahoma" w:cs="Tahoma"/>
                <w:szCs w:val="20"/>
                <w:rtl/>
              </w:rPr>
              <w:t>2.34</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Cs w:val="20"/>
                <w:rtl/>
              </w:rPr>
            </w:pPr>
            <w:r w:rsidRPr="00C150CA">
              <w:rPr>
                <w:rFonts w:ascii="Tahoma" w:eastAsiaTheme="minorEastAsia" w:hAnsi="Tahoma" w:cs="Tahoma"/>
                <w:szCs w:val="20"/>
                <w:rtl/>
              </w:rPr>
              <w:t>3.27</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Cs w:val="20"/>
                <w:rtl/>
              </w:rPr>
            </w:pPr>
            <w:r w:rsidRPr="00C150CA">
              <w:rPr>
                <w:rFonts w:ascii="Tahoma" w:eastAsiaTheme="minorEastAsia" w:hAnsi="Tahoma" w:cs="Tahoma"/>
                <w:szCs w:val="20"/>
                <w:rtl/>
              </w:rPr>
              <w:t>3.3</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Cs w:val="20"/>
                <w:rtl/>
              </w:rPr>
            </w:pPr>
            <w:r w:rsidRPr="00C150CA">
              <w:rPr>
                <w:rFonts w:ascii="Tahoma" w:eastAsiaTheme="minorEastAsia" w:hAnsi="Tahoma" w:cs="Tahoma"/>
                <w:szCs w:val="20"/>
                <w:rtl/>
              </w:rPr>
              <w:t>2.73</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Cs w:val="20"/>
                <w:rtl/>
              </w:rPr>
            </w:pPr>
            <w:r w:rsidRPr="00C150CA">
              <w:rPr>
                <w:rFonts w:ascii="Tahoma" w:eastAsiaTheme="minorEastAsia" w:hAnsi="Tahoma" w:cs="Tahoma"/>
                <w:szCs w:val="20"/>
                <w:rtl/>
              </w:rPr>
              <w:t>3.2</w:t>
            </w:r>
          </w:p>
        </w:tc>
      </w:tr>
    </w:tbl>
    <w:p w:rsidR="00A75367" w:rsidRPr="00C150CA" w:rsidRDefault="00A75367" w:rsidP="00C150CA">
      <w:pPr>
        <w:spacing w:before="120" w:after="120"/>
        <w:jc w:val="center"/>
        <w:rPr>
          <w:rFonts w:ascii="Tahoma" w:hAnsi="Tahoma" w:cs="Tahoma"/>
          <w:sz w:val="16"/>
          <w:szCs w:val="16"/>
          <w:rtl/>
          <w:lang w:eastAsia="he-IL"/>
        </w:rPr>
      </w:pPr>
      <w:r w:rsidRPr="00C150CA">
        <w:rPr>
          <w:rFonts w:ascii="Tahoma" w:hAnsi="Tahoma" w:cs="Tahoma"/>
          <w:sz w:val="16"/>
          <w:szCs w:val="16"/>
          <w:rtl/>
          <w:lang w:eastAsia="he-IL"/>
        </w:rPr>
        <w:t>על פי דוחות סיכום שנתיים של התאגיד לשנים 2015 - 2018.</w:t>
      </w:r>
    </w:p>
    <w:p w:rsidR="00A75367" w:rsidRPr="00BC57BC" w:rsidRDefault="00A75367" w:rsidP="00C150C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C150CA">
        <w:rPr>
          <w:rFonts w:ascii="Tahoma" w:hAnsi="Tahoma" w:cs="Tahoma"/>
          <w:b w:val="0"/>
          <w:bCs w:val="0"/>
          <w:sz w:val="16"/>
          <w:szCs w:val="20"/>
          <w:rtl/>
        </w:rPr>
        <w:lastRenderedPageBreak/>
        <w:t>מהלוח עולה כי התאגיד לא הצליח לעמוד בנורמת פחת הגבייה שקבע הממונה על התאגידים, והוא אף כמעט כפול ממנו.</w:t>
      </w:r>
    </w:p>
    <w:p w:rsidR="00A75367" w:rsidRPr="00BC57BC" w:rsidRDefault="00A75367" w:rsidP="00A75367">
      <w:pPr>
        <w:autoSpaceDE w:val="0"/>
        <w:autoSpaceDN w:val="0"/>
        <w:adjustRightInd w:val="0"/>
        <w:spacing w:after="120"/>
        <w:rPr>
          <w:rFonts w:ascii="Tahoma" w:hAnsi="Tahoma" w:cs="Tahoma"/>
          <w:sz w:val="16"/>
          <w:szCs w:val="20"/>
          <w:rtl/>
        </w:rPr>
      </w:pPr>
      <w:r w:rsidRPr="00BC57BC">
        <w:rPr>
          <w:rFonts w:ascii="Tahoma" w:hAnsi="Tahoma" w:cs="Tahoma"/>
          <w:sz w:val="16"/>
          <w:szCs w:val="20"/>
          <w:rtl/>
        </w:rPr>
        <w:t>לפי נתוני תאגיד הגיחון חישב משרד מבקר המדינה את הפסד ההכנסות שנגרם לתאגיד כתוצאה מפחת הגבייה, לשנים 2015 - 2018.</w:t>
      </w:r>
    </w:p>
    <w:p w:rsidR="00A75367" w:rsidRPr="00BC57BC" w:rsidRDefault="00A75367" w:rsidP="00C150CA">
      <w:pPr>
        <w:pStyle w:val="a1"/>
        <w:rPr>
          <w:rtl/>
        </w:rPr>
      </w:pPr>
      <w:r w:rsidRPr="00C150CA">
        <w:rPr>
          <w:b w:val="0"/>
          <w:bCs w:val="0"/>
          <w:rtl/>
        </w:rPr>
        <w:t>לוח 3:</w:t>
      </w:r>
      <w:r w:rsidRPr="00BC57BC">
        <w:rPr>
          <w:rtl/>
        </w:rPr>
        <w:t xml:space="preserve"> הפסד הכנסות בגין פחת הגבייה בתאגיד הגיחון, 2015 - 2018 (מיליוני ש"ח)</w:t>
      </w:r>
    </w:p>
    <w:tbl>
      <w:tblPr>
        <w:tblStyle w:val="TableGrid"/>
        <w:bidiVisual/>
        <w:tblW w:w="0" w:type="auto"/>
        <w:tblInd w:w="983" w:type="dxa"/>
        <w:tblLook w:val="04A0" w:firstRow="1" w:lastRow="0" w:firstColumn="1" w:lastColumn="0" w:noHBand="0" w:noVBand="1"/>
      </w:tblPr>
      <w:tblGrid>
        <w:gridCol w:w="1069"/>
        <w:gridCol w:w="2052"/>
        <w:gridCol w:w="2053"/>
        <w:gridCol w:w="1213"/>
      </w:tblGrid>
      <w:tr w:rsidR="00A75367" w:rsidRPr="00BC57BC" w:rsidTr="00C150CA">
        <w:trPr>
          <w:tblHeader/>
        </w:trPr>
        <w:tc>
          <w:tcPr>
            <w:tcW w:w="1069" w:type="dxa"/>
            <w:shd w:val="clear" w:color="auto" w:fill="C6D9F1"/>
            <w:vAlign w:val="bottom"/>
          </w:tcPr>
          <w:p w:rsidR="00A75367" w:rsidRPr="00C150CA" w:rsidRDefault="00A75367" w:rsidP="00C150CA">
            <w:pPr>
              <w:tabs>
                <w:tab w:val="left" w:pos="1148"/>
              </w:tabs>
              <w:spacing w:before="40" w:after="40"/>
              <w:jc w:val="left"/>
              <w:rPr>
                <w:rFonts w:ascii="Tahoma" w:eastAsiaTheme="minorEastAsia" w:hAnsi="Tahoma" w:cs="Tahoma"/>
                <w:b/>
                <w:bCs/>
                <w:sz w:val="18"/>
                <w:szCs w:val="18"/>
                <w:rtl/>
              </w:rPr>
            </w:pPr>
          </w:p>
        </w:tc>
        <w:tc>
          <w:tcPr>
            <w:tcW w:w="2052" w:type="dxa"/>
            <w:shd w:val="clear" w:color="auto" w:fill="C6D9F1"/>
            <w:vAlign w:val="bottom"/>
          </w:tcPr>
          <w:p w:rsidR="00A75367" w:rsidRPr="00C150CA" w:rsidRDefault="00A75367" w:rsidP="00C150CA">
            <w:pPr>
              <w:tabs>
                <w:tab w:val="left" w:pos="1148"/>
              </w:tabs>
              <w:spacing w:before="40" w:after="40"/>
              <w:jc w:val="left"/>
              <w:rPr>
                <w:rFonts w:ascii="Tahoma" w:eastAsiaTheme="minorEastAsia" w:hAnsi="Tahoma" w:cs="Tahoma"/>
                <w:b/>
                <w:bCs/>
                <w:sz w:val="18"/>
                <w:szCs w:val="18"/>
                <w:rtl/>
              </w:rPr>
            </w:pPr>
            <w:r w:rsidRPr="00C150CA">
              <w:rPr>
                <w:rFonts w:ascii="Tahoma" w:eastAsiaTheme="minorEastAsia" w:hAnsi="Tahoma" w:cs="Tahoma"/>
                <w:b/>
                <w:bCs/>
                <w:sz w:val="18"/>
                <w:szCs w:val="18"/>
                <w:rtl/>
              </w:rPr>
              <w:t>הפסד הכנסות בגין פחת גבייה בפועל</w:t>
            </w:r>
          </w:p>
        </w:tc>
        <w:tc>
          <w:tcPr>
            <w:tcW w:w="2053" w:type="dxa"/>
            <w:shd w:val="clear" w:color="auto" w:fill="C6D9F1"/>
            <w:vAlign w:val="bottom"/>
          </w:tcPr>
          <w:p w:rsidR="00A75367" w:rsidRPr="00C150CA" w:rsidRDefault="00A75367" w:rsidP="00C150CA">
            <w:pPr>
              <w:tabs>
                <w:tab w:val="left" w:pos="1148"/>
              </w:tabs>
              <w:spacing w:before="40" w:after="40"/>
              <w:jc w:val="left"/>
              <w:rPr>
                <w:rFonts w:ascii="Tahoma" w:eastAsiaTheme="minorEastAsia" w:hAnsi="Tahoma" w:cs="Tahoma"/>
                <w:b/>
                <w:bCs/>
                <w:sz w:val="18"/>
                <w:szCs w:val="18"/>
                <w:rtl/>
              </w:rPr>
            </w:pPr>
            <w:r w:rsidRPr="00C150CA">
              <w:rPr>
                <w:rFonts w:ascii="Tahoma" w:eastAsiaTheme="minorEastAsia" w:hAnsi="Tahoma" w:cs="Tahoma"/>
                <w:b/>
                <w:bCs/>
                <w:sz w:val="18"/>
                <w:szCs w:val="18"/>
                <w:rtl/>
              </w:rPr>
              <w:t>הפסד הכנסות בגין פחת גבייה נורמטיבי</w:t>
            </w:r>
          </w:p>
        </w:tc>
        <w:tc>
          <w:tcPr>
            <w:tcW w:w="1213" w:type="dxa"/>
            <w:shd w:val="clear" w:color="auto" w:fill="C6D9F1"/>
            <w:vAlign w:val="bottom"/>
          </w:tcPr>
          <w:p w:rsidR="00A75367" w:rsidRPr="00C150CA" w:rsidRDefault="00A75367" w:rsidP="00C150CA">
            <w:pPr>
              <w:tabs>
                <w:tab w:val="left" w:pos="1148"/>
              </w:tabs>
              <w:spacing w:before="40" w:after="40"/>
              <w:jc w:val="left"/>
              <w:rPr>
                <w:rFonts w:ascii="Tahoma" w:eastAsiaTheme="minorEastAsia" w:hAnsi="Tahoma" w:cs="Tahoma"/>
                <w:b/>
                <w:bCs/>
                <w:sz w:val="18"/>
                <w:szCs w:val="18"/>
                <w:rtl/>
              </w:rPr>
            </w:pPr>
            <w:r w:rsidRPr="00C150CA">
              <w:rPr>
                <w:rFonts w:ascii="Tahoma" w:eastAsiaTheme="minorEastAsia" w:hAnsi="Tahoma" w:cs="Tahoma"/>
                <w:b/>
                <w:bCs/>
                <w:sz w:val="18"/>
                <w:szCs w:val="18"/>
                <w:rtl/>
              </w:rPr>
              <w:t xml:space="preserve">הפרש </w:t>
            </w:r>
          </w:p>
        </w:tc>
      </w:tr>
      <w:tr w:rsidR="00A75367" w:rsidRPr="00BC57BC" w:rsidTr="00C150CA">
        <w:tc>
          <w:tcPr>
            <w:tcW w:w="1069"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2015</w:t>
            </w:r>
          </w:p>
        </w:tc>
        <w:tc>
          <w:tcPr>
            <w:tcW w:w="2052"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17.6</w:t>
            </w:r>
          </w:p>
        </w:tc>
        <w:tc>
          <w:tcPr>
            <w:tcW w:w="2053"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7.8</w:t>
            </w:r>
          </w:p>
        </w:tc>
        <w:tc>
          <w:tcPr>
            <w:tcW w:w="1213"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9.8</w:t>
            </w:r>
          </w:p>
        </w:tc>
      </w:tr>
      <w:tr w:rsidR="00A75367" w:rsidRPr="00BC57BC" w:rsidTr="00C150CA">
        <w:tc>
          <w:tcPr>
            <w:tcW w:w="1069"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2016</w:t>
            </w:r>
          </w:p>
        </w:tc>
        <w:tc>
          <w:tcPr>
            <w:tcW w:w="2052"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16.3</w:t>
            </w:r>
          </w:p>
        </w:tc>
        <w:tc>
          <w:tcPr>
            <w:tcW w:w="2053"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7.1</w:t>
            </w:r>
          </w:p>
        </w:tc>
        <w:tc>
          <w:tcPr>
            <w:tcW w:w="1213"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9.2</w:t>
            </w:r>
          </w:p>
        </w:tc>
      </w:tr>
      <w:tr w:rsidR="00A75367" w:rsidRPr="00BC57BC" w:rsidTr="00C150CA">
        <w:tc>
          <w:tcPr>
            <w:tcW w:w="1069"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2017</w:t>
            </w:r>
          </w:p>
        </w:tc>
        <w:tc>
          <w:tcPr>
            <w:tcW w:w="2052"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13.6</w:t>
            </w:r>
          </w:p>
        </w:tc>
        <w:tc>
          <w:tcPr>
            <w:tcW w:w="2053"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7.3</w:t>
            </w:r>
          </w:p>
        </w:tc>
        <w:tc>
          <w:tcPr>
            <w:tcW w:w="1213"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6.3</w:t>
            </w:r>
          </w:p>
        </w:tc>
      </w:tr>
      <w:tr w:rsidR="00A75367" w:rsidRPr="00BC57BC" w:rsidTr="00C150CA">
        <w:tc>
          <w:tcPr>
            <w:tcW w:w="1069"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2018</w:t>
            </w:r>
          </w:p>
        </w:tc>
        <w:tc>
          <w:tcPr>
            <w:tcW w:w="2052"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16.2</w:t>
            </w:r>
          </w:p>
        </w:tc>
        <w:tc>
          <w:tcPr>
            <w:tcW w:w="2053"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7.4</w:t>
            </w:r>
          </w:p>
        </w:tc>
        <w:tc>
          <w:tcPr>
            <w:tcW w:w="1213"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8.8</w:t>
            </w:r>
          </w:p>
        </w:tc>
      </w:tr>
      <w:tr w:rsidR="00A75367" w:rsidRPr="00BC57BC" w:rsidTr="00C150CA">
        <w:tc>
          <w:tcPr>
            <w:tcW w:w="1069"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סה"כ</w:t>
            </w:r>
          </w:p>
        </w:tc>
        <w:tc>
          <w:tcPr>
            <w:tcW w:w="2052"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63.7</w:t>
            </w:r>
          </w:p>
        </w:tc>
        <w:tc>
          <w:tcPr>
            <w:tcW w:w="2053"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29.6</w:t>
            </w:r>
          </w:p>
        </w:tc>
        <w:tc>
          <w:tcPr>
            <w:tcW w:w="1213" w:type="dxa"/>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34.1</w:t>
            </w:r>
          </w:p>
        </w:tc>
      </w:tr>
    </w:tbl>
    <w:p w:rsidR="00A75367" w:rsidRPr="00C150CA" w:rsidRDefault="00A75367" w:rsidP="00C150CA">
      <w:pPr>
        <w:spacing w:before="120" w:after="120"/>
        <w:jc w:val="center"/>
        <w:rPr>
          <w:rFonts w:ascii="Tahoma" w:hAnsi="Tahoma" w:cs="Tahoma"/>
          <w:sz w:val="16"/>
          <w:szCs w:val="16"/>
          <w:rtl/>
          <w:lang w:eastAsia="he-IL"/>
        </w:rPr>
      </w:pPr>
      <w:r w:rsidRPr="00C150CA">
        <w:rPr>
          <w:rFonts w:ascii="Tahoma" w:hAnsi="Tahoma" w:cs="Tahoma"/>
          <w:sz w:val="16"/>
          <w:szCs w:val="16"/>
          <w:rtl/>
          <w:lang w:eastAsia="he-IL"/>
        </w:rPr>
        <w:t>על פי דוחות סיכום שנתיים של התאגיד לשנים 2015 - 2018.</w:t>
      </w:r>
    </w:p>
    <w:p w:rsidR="00A75367" w:rsidRPr="00BC57BC" w:rsidRDefault="00A75367" w:rsidP="00A75367">
      <w:pPr>
        <w:autoSpaceDE w:val="0"/>
        <w:autoSpaceDN w:val="0"/>
        <w:adjustRightInd w:val="0"/>
        <w:spacing w:after="120"/>
        <w:rPr>
          <w:rFonts w:ascii="Tahoma" w:hAnsi="Tahoma" w:cs="Tahoma"/>
          <w:sz w:val="16"/>
          <w:szCs w:val="20"/>
          <w:rtl/>
        </w:rPr>
      </w:pPr>
      <w:r w:rsidRPr="00BC57BC">
        <w:rPr>
          <w:rFonts w:ascii="Tahoma" w:hAnsi="Tahoma" w:cs="Tahoma"/>
          <w:sz w:val="16"/>
          <w:szCs w:val="20"/>
          <w:rtl/>
        </w:rPr>
        <w:t xml:space="preserve">כעולה מהלוח, בשל הפער בין פחת הגבייה הנורמטיבי לפחת הגבייה בפועל של התאגיד, הוא הפסיד בין השנים 2015 - 2018, כ-34 מיליון ש"ח. </w:t>
      </w:r>
    </w:p>
    <w:p w:rsidR="00A75367" w:rsidRPr="00BC57BC" w:rsidRDefault="00A75367" w:rsidP="00A75367">
      <w:pPr>
        <w:pStyle w:val="BodyText"/>
        <w:rPr>
          <w:szCs w:val="16"/>
          <w:rtl/>
        </w:rPr>
      </w:pPr>
      <w:r w:rsidRPr="00BC57BC">
        <w:rPr>
          <w:rtl/>
        </w:rPr>
        <w:t xml:space="preserve">להלן נתונים על פחת הגבייה הממוצע המצטבר לשנים 2012 - 2016 בתאגיד הגיחון לפי אזורים. </w:t>
      </w:r>
    </w:p>
    <w:p w:rsidR="00A75367" w:rsidRPr="00BC57BC" w:rsidRDefault="00A75367" w:rsidP="00C150CA">
      <w:pPr>
        <w:pStyle w:val="a1"/>
        <w:rPr>
          <w:rtl/>
        </w:rPr>
      </w:pPr>
      <w:r w:rsidRPr="00C150CA">
        <w:rPr>
          <w:b w:val="0"/>
          <w:bCs w:val="0"/>
          <w:rtl/>
        </w:rPr>
        <w:t>תרשים 5:</w:t>
      </w:r>
      <w:r w:rsidRPr="00BC57BC">
        <w:rPr>
          <w:rtl/>
        </w:rPr>
        <w:t xml:space="preserve"> פחת הגבייה הממוצע המצטבר לשנים 2012- 2016 בתאגיד הגיחון לפי אזורים</w:t>
      </w:r>
    </w:p>
    <w:p w:rsidR="00E00398" w:rsidRPr="00BC57BC" w:rsidRDefault="00E00398" w:rsidP="00A75367">
      <w:pPr>
        <w:autoSpaceDE w:val="0"/>
        <w:autoSpaceDN w:val="0"/>
        <w:adjustRightInd w:val="0"/>
        <w:spacing w:after="120"/>
        <w:jc w:val="center"/>
        <w:rPr>
          <w:rFonts w:ascii="Tahoma" w:hAnsi="Tahoma" w:cs="Tahoma"/>
          <w:sz w:val="16"/>
          <w:szCs w:val="16"/>
          <w:rtl/>
        </w:rPr>
      </w:pPr>
      <w:r>
        <w:rPr>
          <w:rFonts w:ascii="Tahoma" w:hAnsi="Tahoma" w:cs="Tahoma"/>
          <w:noProof/>
          <w:sz w:val="16"/>
          <w:szCs w:val="16"/>
        </w:rPr>
        <w:drawing>
          <wp:inline distT="0" distB="0" distL="0" distR="0" wp14:anchorId="7B664E51">
            <wp:extent cx="4584700" cy="1920240"/>
            <wp:effectExtent l="0" t="0" r="6350" b="3810"/>
            <wp:docPr id="23" name="Picture 23" descr="על פי התרשים, הפחת הממוצע המצטבר בשנים האמורות היה במבשרת ציון 1.2%, באבו גוש 5.8%, במזרח ירושלים 7.4%, במערב ירושלים 1%. הממוצע הארצי באותה שנה הי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1920240"/>
                    </a:xfrm>
                    <a:prstGeom prst="rect">
                      <a:avLst/>
                    </a:prstGeom>
                    <a:noFill/>
                  </pic:spPr>
                </pic:pic>
              </a:graphicData>
            </a:graphic>
          </wp:inline>
        </w:drawing>
      </w:r>
    </w:p>
    <w:p w:rsidR="00A75367" w:rsidRPr="00C150CA" w:rsidRDefault="00A75367" w:rsidP="00C150CA">
      <w:pPr>
        <w:spacing w:before="120" w:after="120"/>
        <w:jc w:val="center"/>
        <w:rPr>
          <w:rFonts w:ascii="Tahoma" w:hAnsi="Tahoma" w:cs="Tahoma"/>
          <w:sz w:val="16"/>
          <w:szCs w:val="16"/>
          <w:rtl/>
          <w:lang w:eastAsia="he-IL"/>
        </w:rPr>
      </w:pPr>
      <w:r w:rsidRPr="00C150CA">
        <w:rPr>
          <w:rFonts w:ascii="Tahoma" w:hAnsi="Tahoma" w:cs="Tahoma"/>
          <w:sz w:val="16"/>
          <w:szCs w:val="16"/>
          <w:rtl/>
          <w:lang w:eastAsia="he-IL"/>
        </w:rPr>
        <w:t>על פי נתוני הגיחון ורשות המים, ועיבוד של משרד מבקר המדינה</w:t>
      </w:r>
    </w:p>
    <w:p w:rsidR="007900AC" w:rsidRDefault="007900AC" w:rsidP="00BB7AE0">
      <w:pPr>
        <w:spacing w:after="120"/>
        <w:rPr>
          <w:rFonts w:ascii="Tahoma" w:hAnsi="Tahoma" w:cs="Tahoma"/>
          <w:sz w:val="16"/>
          <w:szCs w:val="20"/>
          <w:rtl/>
        </w:rPr>
      </w:pPr>
      <w:r>
        <w:rPr>
          <w:rFonts w:ascii="Tahoma" w:hAnsi="Tahoma" w:cs="Tahoma" w:hint="cs"/>
          <w:sz w:val="16"/>
          <w:szCs w:val="20"/>
          <w:rtl/>
        </w:rPr>
        <w:t>מתרשים 5 עולה כי פחת המים במזרח ירושלים גבוה מהממוצע הארצי.</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להלן נתונים על צריכת המים בתאגיד הגיחון בשנת 2018 לפי אזורים.</w:t>
      </w:r>
    </w:p>
    <w:p w:rsidR="00A75367" w:rsidRPr="00BC57BC" w:rsidRDefault="00A75367" w:rsidP="00C150CA">
      <w:pPr>
        <w:pStyle w:val="a1"/>
        <w:rPr>
          <w:sz w:val="16"/>
          <w:rtl/>
        </w:rPr>
      </w:pPr>
      <w:r w:rsidRPr="00C150CA">
        <w:rPr>
          <w:b w:val="0"/>
          <w:bCs w:val="0"/>
          <w:rtl/>
        </w:rPr>
        <w:lastRenderedPageBreak/>
        <w:t>תרשים 6:</w:t>
      </w:r>
      <w:r w:rsidRPr="00BC57BC">
        <w:rPr>
          <w:rtl/>
        </w:rPr>
        <w:t xml:space="preserve"> צריכת המים בתאגיד הגיחון לפי אזורים במיליוני מ"ק</w:t>
      </w:r>
    </w:p>
    <w:p w:rsidR="00E00398" w:rsidRPr="00BC57BC" w:rsidRDefault="00E00398" w:rsidP="00A75367">
      <w:pPr>
        <w:spacing w:after="120"/>
        <w:jc w:val="center"/>
        <w:rPr>
          <w:rFonts w:ascii="Tahoma" w:hAnsi="Tahoma" w:cs="Tahoma"/>
          <w:sz w:val="16"/>
          <w:szCs w:val="20"/>
          <w:rtl/>
        </w:rPr>
      </w:pPr>
      <w:r>
        <w:rPr>
          <w:rFonts w:ascii="Tahoma" w:hAnsi="Tahoma" w:cs="Tahoma"/>
          <w:noProof/>
          <w:sz w:val="16"/>
          <w:szCs w:val="20"/>
        </w:rPr>
        <w:drawing>
          <wp:inline distT="0" distB="0" distL="0" distR="0" wp14:anchorId="3C659315">
            <wp:extent cx="4584700" cy="2755900"/>
            <wp:effectExtent l="0" t="0" r="6350" b="6350"/>
            <wp:docPr id="24" name="Picture 24" descr="על פי התרשים, בשנת 2018 הייתה צריכת המים באבו גוש 0.43 מיליון מ&quot;ק, במבשרת ציון 1.83 מיליון מ&quot;ק, בשכונות שמעבר לגדר ההפרדה 2.36 מיליון מ&quot;ק, במזרח ירושלים 10.7 מיליון מ&quot;ק, בירושלים 55 מיליון מ&quot;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75367" w:rsidRPr="00C150CA" w:rsidRDefault="00A75367" w:rsidP="00C150CA">
      <w:pPr>
        <w:spacing w:before="120" w:after="120"/>
        <w:jc w:val="center"/>
        <w:rPr>
          <w:rFonts w:ascii="Tahoma" w:hAnsi="Tahoma" w:cs="Tahoma"/>
          <w:sz w:val="16"/>
          <w:szCs w:val="16"/>
          <w:rtl/>
          <w:lang w:eastAsia="he-IL"/>
        </w:rPr>
      </w:pPr>
      <w:r w:rsidRPr="00C150CA">
        <w:rPr>
          <w:rFonts w:ascii="Tahoma" w:hAnsi="Tahoma" w:cs="Tahoma"/>
          <w:sz w:val="16"/>
          <w:szCs w:val="16"/>
          <w:rtl/>
          <w:lang w:eastAsia="he-IL"/>
        </w:rPr>
        <w:t>על פי נתוני הגיחון, ועיבוד של משרד מבקר המדינה</w:t>
      </w:r>
    </w:p>
    <w:p w:rsidR="00A75367" w:rsidRPr="00BC57BC" w:rsidRDefault="00A75367" w:rsidP="00A75367">
      <w:pPr>
        <w:autoSpaceDE w:val="0"/>
        <w:autoSpaceDN w:val="0"/>
        <w:adjustRightInd w:val="0"/>
        <w:spacing w:after="120"/>
        <w:rPr>
          <w:rFonts w:ascii="Tahoma" w:hAnsi="Tahoma" w:cs="Tahoma"/>
          <w:sz w:val="16"/>
          <w:szCs w:val="20"/>
          <w:rtl/>
        </w:rPr>
      </w:pPr>
      <w:r w:rsidRPr="00BC57BC">
        <w:rPr>
          <w:rFonts w:ascii="Tahoma" w:hAnsi="Tahoma" w:cs="Tahoma"/>
          <w:sz w:val="16"/>
          <w:szCs w:val="20"/>
          <w:rtl/>
        </w:rPr>
        <w:t>ממסמכי התאגיד ממרץ 2018 עולה כי במזרח ירושלים, שמתגוררים בה כ-33% מאוכלוסיית העיר, קיימים קשיים באכיפה ובגבייה</w:t>
      </w:r>
      <w:r w:rsidRPr="00BC57BC">
        <w:rPr>
          <w:rStyle w:val="FootnoteReference"/>
          <w:rFonts w:ascii="Tahoma" w:hAnsi="Tahoma" w:cs="Tahoma"/>
          <w:sz w:val="16"/>
          <w:szCs w:val="16"/>
          <w:rtl/>
        </w:rPr>
        <w:footnoteReference w:id="16"/>
      </w:r>
      <w:r w:rsidRPr="00BC57BC">
        <w:rPr>
          <w:rFonts w:ascii="Tahoma" w:hAnsi="Tahoma" w:cs="Tahoma"/>
          <w:sz w:val="16"/>
          <w:szCs w:val="20"/>
          <w:rtl/>
        </w:rPr>
        <w:t>, אך התאגיד פועל לצמצום פחת הגבייה. במסמכים מספטמבר 2018 ציין התאגיד כי מפעם לפעם נערכים מבצעי גבייה במזרח ירושלים בתגבור כוחות אבטחה. להלן נתוני פחת הגבייה במזרח ירושלים בשנים 2013 עד 2017:</w:t>
      </w:r>
    </w:p>
    <w:p w:rsidR="00A75367" w:rsidRPr="00BC57BC" w:rsidRDefault="00A75367" w:rsidP="00C150CA">
      <w:pPr>
        <w:pStyle w:val="a1"/>
        <w:rPr>
          <w:rtl/>
        </w:rPr>
      </w:pPr>
      <w:r w:rsidRPr="00C150CA">
        <w:rPr>
          <w:b w:val="0"/>
          <w:bCs w:val="0"/>
          <w:rtl/>
        </w:rPr>
        <w:t>לוח 4:</w:t>
      </w:r>
      <w:r w:rsidRPr="00BC57BC">
        <w:rPr>
          <w:rtl/>
        </w:rPr>
        <w:t xml:space="preserve"> פחת הגבייה השוטף במזרח ירושלים, 2013 - 2017</w:t>
      </w:r>
    </w:p>
    <w:tbl>
      <w:tblPr>
        <w:tblStyle w:val="TableGrid"/>
        <w:bidiVisual/>
        <w:tblW w:w="0" w:type="auto"/>
        <w:jc w:val="center"/>
        <w:tblLook w:val="04A0" w:firstRow="1" w:lastRow="0" w:firstColumn="1" w:lastColumn="0" w:noHBand="0" w:noVBand="1"/>
      </w:tblPr>
      <w:tblGrid>
        <w:gridCol w:w="732"/>
        <w:gridCol w:w="2083"/>
      </w:tblGrid>
      <w:tr w:rsidR="00A75367" w:rsidRPr="00BC57BC" w:rsidTr="00C150CA">
        <w:trPr>
          <w:tblHeader/>
          <w:jc w:val="center"/>
        </w:trPr>
        <w:tc>
          <w:tcPr>
            <w:tcW w:w="0" w:type="auto"/>
            <w:shd w:val="clear" w:color="auto" w:fill="C6D9F1"/>
            <w:vAlign w:val="bottom"/>
          </w:tcPr>
          <w:p w:rsidR="00A75367" w:rsidRPr="00C150CA" w:rsidRDefault="00A75367" w:rsidP="00C150CA">
            <w:pPr>
              <w:tabs>
                <w:tab w:val="left" w:pos="1148"/>
              </w:tabs>
              <w:spacing w:before="40" w:after="40"/>
              <w:jc w:val="left"/>
              <w:rPr>
                <w:rFonts w:ascii="Tahoma" w:eastAsiaTheme="minorEastAsia" w:hAnsi="Tahoma" w:cs="Tahoma"/>
                <w:b/>
                <w:bCs/>
                <w:sz w:val="18"/>
                <w:szCs w:val="18"/>
                <w:rtl/>
              </w:rPr>
            </w:pPr>
            <w:r w:rsidRPr="00C150CA">
              <w:rPr>
                <w:rFonts w:ascii="Tahoma" w:eastAsiaTheme="minorEastAsia" w:hAnsi="Tahoma" w:cs="Tahoma"/>
                <w:b/>
                <w:bCs/>
                <w:sz w:val="18"/>
                <w:szCs w:val="18"/>
                <w:rtl/>
              </w:rPr>
              <w:t>השנה</w:t>
            </w:r>
          </w:p>
        </w:tc>
        <w:tc>
          <w:tcPr>
            <w:tcW w:w="0" w:type="auto"/>
            <w:shd w:val="clear" w:color="auto" w:fill="C6D9F1"/>
            <w:vAlign w:val="bottom"/>
          </w:tcPr>
          <w:p w:rsidR="00A75367" w:rsidRPr="00C150CA" w:rsidRDefault="00A75367" w:rsidP="00C150CA">
            <w:pPr>
              <w:tabs>
                <w:tab w:val="left" w:pos="1148"/>
              </w:tabs>
              <w:spacing w:before="40" w:after="40"/>
              <w:jc w:val="left"/>
              <w:rPr>
                <w:rFonts w:ascii="Tahoma" w:eastAsiaTheme="minorEastAsia" w:hAnsi="Tahoma" w:cs="Tahoma"/>
                <w:b/>
                <w:bCs/>
                <w:sz w:val="18"/>
                <w:szCs w:val="18"/>
                <w:rtl/>
              </w:rPr>
            </w:pPr>
            <w:r w:rsidRPr="00C150CA">
              <w:rPr>
                <w:rFonts w:ascii="Tahoma" w:eastAsiaTheme="minorEastAsia" w:hAnsi="Tahoma" w:cs="Tahoma"/>
                <w:b/>
                <w:bCs/>
                <w:sz w:val="18"/>
                <w:szCs w:val="18"/>
                <w:rtl/>
              </w:rPr>
              <w:t>פחת הגבייה השוטף*</w:t>
            </w:r>
          </w:p>
        </w:tc>
      </w:tr>
      <w:tr w:rsidR="00A75367" w:rsidRPr="00BC57BC" w:rsidTr="00C150CA">
        <w:trPr>
          <w:jc w:val="center"/>
        </w:trPr>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2013</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20.59%</w:t>
            </w:r>
          </w:p>
        </w:tc>
      </w:tr>
      <w:tr w:rsidR="00A75367" w:rsidRPr="00BC57BC" w:rsidTr="00C150CA">
        <w:trPr>
          <w:jc w:val="center"/>
        </w:trPr>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2014</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18.07%</w:t>
            </w:r>
          </w:p>
        </w:tc>
      </w:tr>
      <w:tr w:rsidR="00A75367" w:rsidRPr="00BC57BC" w:rsidTr="00C150CA">
        <w:trPr>
          <w:jc w:val="center"/>
        </w:trPr>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2015</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16.04%</w:t>
            </w:r>
          </w:p>
        </w:tc>
      </w:tr>
      <w:tr w:rsidR="00A75367" w:rsidRPr="00BC57BC" w:rsidTr="00C150CA">
        <w:trPr>
          <w:jc w:val="center"/>
        </w:trPr>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2016</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14.07%</w:t>
            </w:r>
          </w:p>
        </w:tc>
      </w:tr>
      <w:tr w:rsidR="00A75367" w:rsidRPr="00BC57BC" w:rsidTr="00C150CA">
        <w:trPr>
          <w:jc w:val="center"/>
        </w:trPr>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2017</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11.26%</w:t>
            </w:r>
          </w:p>
        </w:tc>
      </w:tr>
    </w:tbl>
    <w:p w:rsidR="00A75367" w:rsidRPr="00C150CA" w:rsidRDefault="00A75367" w:rsidP="00C150CA">
      <w:pPr>
        <w:spacing w:before="120" w:after="120"/>
        <w:jc w:val="center"/>
        <w:rPr>
          <w:rFonts w:ascii="Tahoma" w:hAnsi="Tahoma" w:cs="Tahoma"/>
          <w:sz w:val="16"/>
          <w:szCs w:val="16"/>
          <w:rtl/>
          <w:lang w:eastAsia="he-IL"/>
        </w:rPr>
      </w:pPr>
      <w:r w:rsidRPr="00C150CA">
        <w:rPr>
          <w:rFonts w:ascii="Tahoma" w:hAnsi="Tahoma" w:cs="Tahoma"/>
          <w:sz w:val="16"/>
          <w:szCs w:val="16"/>
          <w:rtl/>
          <w:lang w:eastAsia="he-IL"/>
        </w:rPr>
        <w:t>על פי נתוני הגיחון מספטמבר 2018.</w:t>
      </w:r>
    </w:p>
    <w:p w:rsidR="00A75367" w:rsidRPr="00C150CA" w:rsidRDefault="00A75367" w:rsidP="00C150CA">
      <w:pPr>
        <w:spacing w:before="120" w:after="120"/>
        <w:jc w:val="center"/>
        <w:rPr>
          <w:rFonts w:ascii="Tahoma" w:hAnsi="Tahoma" w:cs="Tahoma"/>
          <w:sz w:val="16"/>
          <w:szCs w:val="16"/>
          <w:rtl/>
          <w:lang w:eastAsia="he-IL"/>
        </w:rPr>
      </w:pPr>
      <w:r w:rsidRPr="00C150CA">
        <w:rPr>
          <w:rFonts w:ascii="Tahoma" w:hAnsi="Tahoma" w:cs="Tahoma"/>
          <w:sz w:val="16"/>
          <w:szCs w:val="16"/>
          <w:rtl/>
          <w:lang w:eastAsia="he-IL"/>
        </w:rPr>
        <w:t>* פחת הגבייה מחושב על פי צריכת המים של התושבים המחוברים באופן חוקי לרשת המים, ושצריכתם נמדדת ומחויבת באופן שוטף.</w:t>
      </w:r>
    </w:p>
    <w:p w:rsidR="00A75367" w:rsidRPr="00BC57BC" w:rsidRDefault="00A75367" w:rsidP="00A75367">
      <w:pPr>
        <w:spacing w:after="120"/>
        <w:rPr>
          <w:rFonts w:ascii="Tahoma" w:hAnsi="Tahoma" w:cs="Tahoma"/>
          <w:color w:val="1F497D"/>
          <w:sz w:val="16"/>
          <w:szCs w:val="20"/>
        </w:rPr>
      </w:pPr>
      <w:r w:rsidRPr="00BC57BC">
        <w:rPr>
          <w:rFonts w:ascii="Tahoma" w:hAnsi="Tahoma" w:cs="Tahoma"/>
          <w:sz w:val="16"/>
          <w:szCs w:val="20"/>
          <w:rtl/>
        </w:rPr>
        <w:t xml:space="preserve">מהלוח עולה כי תאגיד הגיחון הצליח לצמצם, בצורה הראויה לציון, את שיעור פחת הגבייה במזרח ירושלים עם השנים, ואולם שיעור זה עדיין גבוה משמעותית מפחת הגבייה הנורמטיבי </w:t>
      </w:r>
      <w:r w:rsidRPr="00BC57BC">
        <w:rPr>
          <w:rFonts w:ascii="Tahoma" w:hAnsi="Tahoma" w:cs="Tahoma"/>
          <w:sz w:val="16"/>
          <w:szCs w:val="20"/>
          <w:rtl/>
        </w:rPr>
        <w:lastRenderedPageBreak/>
        <w:t>בסך 1.5% שקבע הממונה על התאגידים. הגיחון אמד את הנזק הכספי שלו בעקבות פחת הגבייה במזרח ירושלים בכ-4.5 מיליון ש"ח בשנת 2017</w:t>
      </w:r>
      <w:r w:rsidRPr="00BC57BC">
        <w:rPr>
          <w:rStyle w:val="FootnoteReference"/>
          <w:rFonts w:ascii="Tahoma" w:hAnsi="Tahoma" w:cs="Tahoma"/>
          <w:sz w:val="16"/>
          <w:szCs w:val="20"/>
          <w:rtl/>
        </w:rPr>
        <w:footnoteReference w:id="17"/>
      </w:r>
      <w:r w:rsidRPr="00BC57BC">
        <w:rPr>
          <w:rFonts w:ascii="Tahoma" w:hAnsi="Tahoma" w:cs="Tahoma"/>
          <w:sz w:val="16"/>
          <w:szCs w:val="20"/>
          <w:rtl/>
        </w:rPr>
        <w:t xml:space="preserve">. </w:t>
      </w:r>
    </w:p>
    <w:p w:rsidR="00A75367" w:rsidRPr="00BC57BC" w:rsidRDefault="00A75367" w:rsidP="00A75367">
      <w:pPr>
        <w:autoSpaceDE w:val="0"/>
        <w:autoSpaceDN w:val="0"/>
        <w:adjustRightInd w:val="0"/>
        <w:spacing w:after="120"/>
        <w:rPr>
          <w:rFonts w:ascii="Tahoma" w:hAnsi="Tahoma" w:cs="Tahoma"/>
          <w:sz w:val="16"/>
          <w:szCs w:val="20"/>
          <w:rtl/>
        </w:rPr>
      </w:pPr>
      <w:r w:rsidRPr="00BC57BC">
        <w:rPr>
          <w:rFonts w:ascii="Tahoma" w:hAnsi="Tahoma" w:cs="Tahoma"/>
          <w:sz w:val="16"/>
          <w:szCs w:val="20"/>
          <w:rtl/>
        </w:rPr>
        <w:t>רשות המים, בהתייחסותה עוד ב-2014 לטענות התאגיד, ציינה כי פחת הגבייה הנורמטיבי משקף את יכולת הגבייה של התאגיד בטווח הארוך ואת היקף החיובים שאינם ניתנים לגבייה, וכי על ידי שיפור יכולת הגבייה שלו יוכל התאגיד לעמוד בנורמה שהוצבה לו. עוד ציינה רשות המים כי למעט באזורים במזרח העיר ומעבר לגדר ההפרדה</w:t>
      </w:r>
      <w:r w:rsidRPr="00BC57BC">
        <w:rPr>
          <w:rStyle w:val="FootnoteReference"/>
          <w:rFonts w:ascii="Tahoma" w:hAnsi="Tahoma" w:cs="Tahoma"/>
          <w:sz w:val="16"/>
          <w:szCs w:val="20"/>
          <w:rtl/>
        </w:rPr>
        <w:footnoteReference w:id="18"/>
      </w:r>
      <w:r w:rsidRPr="00BC57BC">
        <w:rPr>
          <w:rFonts w:ascii="Tahoma" w:hAnsi="Tahoma" w:cs="Tahoma"/>
          <w:sz w:val="16"/>
          <w:szCs w:val="20"/>
          <w:rtl/>
        </w:rPr>
        <w:t>, התאגיד אכן עמד בנורמת פחת הגבייה שנקבעה לו.</w:t>
      </w:r>
    </w:p>
    <w:p w:rsidR="00A75367" w:rsidRPr="00BC57BC" w:rsidRDefault="00A75367" w:rsidP="00C150C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C150CA">
        <w:rPr>
          <w:rFonts w:ascii="Tahoma" w:hAnsi="Tahoma" w:cs="Tahoma"/>
          <w:b w:val="0"/>
          <w:bCs w:val="0"/>
          <w:sz w:val="16"/>
          <w:szCs w:val="20"/>
          <w:rtl/>
        </w:rPr>
        <w:t>משרד מבקר המדינה רואה בחיוב את הצמצום בפחת הגבייה השוטף במזרח העיר, עם זאת משרד מבקר המדינה מעיר לרשות המים כי נוכח הקשיים הייחודים בגבייה בשכונות במזרח ירושלים, על רשות המים, משרד האוצר ותאגיד הגיחון לקיים שיח רציף ולמצוא פתרון ארוך טווח לסוגיה זו.</w:t>
      </w:r>
    </w:p>
    <w:p w:rsidR="00A75367" w:rsidRPr="00BC57BC" w:rsidRDefault="00A75367" w:rsidP="00C150CA">
      <w:pPr>
        <w:pStyle w:val="21"/>
        <w:rPr>
          <w:rtl/>
        </w:rPr>
      </w:pPr>
      <w:bookmarkStart w:id="14" w:name="_Toc17268274"/>
      <w:bookmarkStart w:id="15" w:name="_Toc32167111"/>
      <w:r w:rsidRPr="00BC57BC">
        <w:rPr>
          <w:rtl/>
        </w:rPr>
        <w:t>פחת המים</w:t>
      </w:r>
      <w:bookmarkEnd w:id="14"/>
      <w:bookmarkEnd w:id="15"/>
    </w:p>
    <w:p w:rsidR="00A75367" w:rsidRPr="00BC57BC" w:rsidRDefault="00A75367" w:rsidP="00A75367">
      <w:pPr>
        <w:autoSpaceDE w:val="0"/>
        <w:autoSpaceDN w:val="0"/>
        <w:adjustRightInd w:val="0"/>
        <w:spacing w:after="120"/>
        <w:rPr>
          <w:rFonts w:ascii="Tahoma" w:hAnsi="Tahoma" w:cs="Tahoma"/>
          <w:sz w:val="16"/>
          <w:szCs w:val="20"/>
          <w:rtl/>
        </w:rPr>
      </w:pPr>
      <w:r w:rsidRPr="00BC57BC">
        <w:rPr>
          <w:rFonts w:ascii="Tahoma" w:hAnsi="Tahoma" w:cs="Tahoma"/>
          <w:sz w:val="16"/>
          <w:szCs w:val="20"/>
          <w:rtl/>
        </w:rPr>
        <w:t>על פי כללי תאגידי המים והביוב מ-2009, פחת מים מוגדר כהפרש</w:t>
      </w:r>
      <w:r w:rsidRPr="00BC57BC">
        <w:rPr>
          <w:rFonts w:ascii="Tahoma" w:hAnsi="Tahoma" w:cs="Tahoma"/>
          <w:sz w:val="16"/>
          <w:szCs w:val="20"/>
        </w:rPr>
        <w:t xml:space="preserve"> </w:t>
      </w:r>
      <w:r w:rsidRPr="00BC57BC">
        <w:rPr>
          <w:rFonts w:ascii="Tahoma" w:hAnsi="Tahoma" w:cs="Tahoma"/>
          <w:sz w:val="16"/>
          <w:szCs w:val="20"/>
          <w:rtl/>
        </w:rPr>
        <w:t>בין</w:t>
      </w:r>
      <w:r w:rsidRPr="00BC57BC">
        <w:rPr>
          <w:rFonts w:ascii="Tahoma" w:hAnsi="Tahoma" w:cs="Tahoma"/>
          <w:sz w:val="16"/>
          <w:szCs w:val="20"/>
        </w:rPr>
        <w:t xml:space="preserve"> </w:t>
      </w:r>
      <w:r w:rsidRPr="00BC57BC">
        <w:rPr>
          <w:rFonts w:ascii="Tahoma" w:hAnsi="Tahoma" w:cs="Tahoma"/>
          <w:sz w:val="16"/>
          <w:szCs w:val="20"/>
          <w:rtl/>
        </w:rPr>
        <w:t>כמות</w:t>
      </w:r>
      <w:r w:rsidRPr="00BC57BC">
        <w:rPr>
          <w:rFonts w:ascii="Tahoma" w:hAnsi="Tahoma" w:cs="Tahoma"/>
          <w:sz w:val="16"/>
          <w:szCs w:val="20"/>
        </w:rPr>
        <w:t xml:space="preserve"> </w:t>
      </w:r>
      <w:r w:rsidRPr="00BC57BC">
        <w:rPr>
          <w:rFonts w:ascii="Tahoma" w:hAnsi="Tahoma" w:cs="Tahoma"/>
          <w:sz w:val="16"/>
          <w:szCs w:val="20"/>
          <w:rtl/>
        </w:rPr>
        <w:t>המים</w:t>
      </w:r>
      <w:r w:rsidRPr="00BC57BC">
        <w:rPr>
          <w:rFonts w:ascii="Tahoma" w:hAnsi="Tahoma" w:cs="Tahoma"/>
          <w:sz w:val="16"/>
          <w:szCs w:val="20"/>
        </w:rPr>
        <w:t xml:space="preserve"> </w:t>
      </w:r>
      <w:r w:rsidRPr="00BC57BC">
        <w:rPr>
          <w:rFonts w:ascii="Tahoma" w:hAnsi="Tahoma" w:cs="Tahoma"/>
          <w:sz w:val="16"/>
          <w:szCs w:val="20"/>
          <w:rtl/>
        </w:rPr>
        <w:t>שהתאגיד רוכש או מפיק - לרבות</w:t>
      </w:r>
      <w:r w:rsidRPr="00BC57BC">
        <w:rPr>
          <w:rFonts w:ascii="Tahoma" w:hAnsi="Tahoma" w:cs="Tahoma"/>
          <w:sz w:val="16"/>
          <w:szCs w:val="20"/>
        </w:rPr>
        <w:t xml:space="preserve"> </w:t>
      </w:r>
      <w:r w:rsidRPr="00BC57BC">
        <w:rPr>
          <w:rFonts w:ascii="Tahoma" w:hAnsi="Tahoma" w:cs="Tahoma"/>
          <w:sz w:val="16"/>
          <w:szCs w:val="20"/>
          <w:rtl/>
        </w:rPr>
        <w:t>למטרת</w:t>
      </w:r>
      <w:r w:rsidRPr="00BC57BC">
        <w:rPr>
          <w:rFonts w:ascii="Tahoma" w:hAnsi="Tahoma" w:cs="Tahoma"/>
          <w:sz w:val="16"/>
          <w:szCs w:val="20"/>
        </w:rPr>
        <w:t xml:space="preserve"> </w:t>
      </w:r>
      <w:r w:rsidRPr="00BC57BC">
        <w:rPr>
          <w:rFonts w:ascii="Tahoma" w:hAnsi="Tahoma" w:cs="Tahoma"/>
          <w:sz w:val="16"/>
          <w:szCs w:val="20"/>
          <w:rtl/>
        </w:rPr>
        <w:t>חקלאות - לבין</w:t>
      </w:r>
      <w:r w:rsidRPr="00BC57BC">
        <w:rPr>
          <w:rFonts w:ascii="Tahoma" w:hAnsi="Tahoma" w:cs="Tahoma"/>
          <w:sz w:val="16"/>
          <w:szCs w:val="20"/>
        </w:rPr>
        <w:t xml:space="preserve"> </w:t>
      </w:r>
      <w:r w:rsidRPr="00BC57BC">
        <w:rPr>
          <w:rFonts w:ascii="Tahoma" w:hAnsi="Tahoma" w:cs="Tahoma"/>
          <w:sz w:val="16"/>
          <w:szCs w:val="20"/>
          <w:rtl/>
        </w:rPr>
        <w:t>כמות</w:t>
      </w:r>
      <w:r w:rsidRPr="00BC57BC">
        <w:rPr>
          <w:rFonts w:ascii="Tahoma" w:hAnsi="Tahoma" w:cs="Tahoma"/>
          <w:sz w:val="16"/>
          <w:szCs w:val="20"/>
        </w:rPr>
        <w:t xml:space="preserve"> </w:t>
      </w:r>
      <w:r w:rsidRPr="00BC57BC">
        <w:rPr>
          <w:rFonts w:ascii="Tahoma" w:hAnsi="Tahoma" w:cs="Tahoma"/>
          <w:sz w:val="16"/>
          <w:szCs w:val="20"/>
          <w:rtl/>
        </w:rPr>
        <w:t>המים</w:t>
      </w:r>
      <w:r w:rsidRPr="00BC57BC">
        <w:rPr>
          <w:rFonts w:ascii="Tahoma" w:hAnsi="Tahoma" w:cs="Tahoma"/>
          <w:sz w:val="16"/>
          <w:szCs w:val="20"/>
        </w:rPr>
        <w:t xml:space="preserve"> </w:t>
      </w:r>
      <w:r w:rsidRPr="00BC57BC">
        <w:rPr>
          <w:rFonts w:ascii="Tahoma" w:hAnsi="Tahoma" w:cs="Tahoma"/>
          <w:sz w:val="16"/>
          <w:szCs w:val="20"/>
          <w:rtl/>
        </w:rPr>
        <w:t>שהוא מספק</w:t>
      </w:r>
      <w:r>
        <w:rPr>
          <w:rFonts w:ascii="Tahoma" w:hAnsi="Tahoma" w:cs="Tahoma"/>
          <w:sz w:val="16"/>
          <w:szCs w:val="20"/>
          <w:rtl/>
        </w:rPr>
        <w:t xml:space="preserve"> </w:t>
      </w:r>
      <w:r w:rsidRPr="00BC57BC">
        <w:rPr>
          <w:rFonts w:ascii="Tahoma" w:hAnsi="Tahoma" w:cs="Tahoma"/>
          <w:sz w:val="16"/>
          <w:szCs w:val="20"/>
          <w:rtl/>
        </w:rPr>
        <w:t>לכלל</w:t>
      </w:r>
      <w:r w:rsidRPr="00BC57BC">
        <w:rPr>
          <w:rFonts w:ascii="Tahoma" w:hAnsi="Tahoma" w:cs="Tahoma"/>
          <w:sz w:val="16"/>
          <w:szCs w:val="20"/>
        </w:rPr>
        <w:t xml:space="preserve"> </w:t>
      </w:r>
      <w:proofErr w:type="spellStart"/>
      <w:r w:rsidRPr="00BC57BC">
        <w:rPr>
          <w:rFonts w:ascii="Tahoma" w:hAnsi="Tahoma" w:cs="Tahoma"/>
          <w:sz w:val="16"/>
          <w:szCs w:val="20"/>
          <w:rtl/>
        </w:rPr>
        <w:t>צרכניו</w:t>
      </w:r>
      <w:proofErr w:type="spellEnd"/>
      <w:r w:rsidRPr="00BC57BC">
        <w:rPr>
          <w:rStyle w:val="FootnoteReference"/>
          <w:rFonts w:ascii="Tahoma" w:hAnsi="Tahoma" w:cs="Tahoma"/>
          <w:sz w:val="16"/>
          <w:szCs w:val="20"/>
          <w:rtl/>
        </w:rPr>
        <w:footnoteReference w:id="19"/>
      </w:r>
      <w:r w:rsidRPr="00BC57BC">
        <w:rPr>
          <w:rFonts w:ascii="Tahoma" w:hAnsi="Tahoma" w:cs="Tahoma"/>
          <w:sz w:val="16"/>
          <w:szCs w:val="20"/>
          <w:rtl/>
        </w:rPr>
        <w:t>. בכללים אלה נקבע כי שיעור פחת מים מוכר כללי של חברה לכל מטרת צריכה יהיה 7%. להלן נתונים על פחת המים בתאגיד בשנים 2014 עד 2017:</w:t>
      </w:r>
    </w:p>
    <w:p w:rsidR="00A75367" w:rsidRPr="00BC57BC" w:rsidRDefault="00A75367" w:rsidP="00C150CA">
      <w:pPr>
        <w:pStyle w:val="a1"/>
        <w:rPr>
          <w:u w:val="single"/>
          <w:rtl/>
        </w:rPr>
      </w:pPr>
      <w:r w:rsidRPr="00C150CA">
        <w:rPr>
          <w:b w:val="0"/>
          <w:bCs w:val="0"/>
          <w:rtl/>
        </w:rPr>
        <w:t>לוח 5:</w:t>
      </w:r>
      <w:r w:rsidRPr="00BC57BC">
        <w:rPr>
          <w:rtl/>
        </w:rPr>
        <w:t xml:space="preserve"> פחת המים בתאגיד הגיחון, 2014 - 2017 </w:t>
      </w:r>
    </w:p>
    <w:tbl>
      <w:tblPr>
        <w:tblStyle w:val="TableGrid"/>
        <w:bidiVisual/>
        <w:tblW w:w="0" w:type="auto"/>
        <w:jc w:val="center"/>
        <w:tblLook w:val="04A0" w:firstRow="1" w:lastRow="0" w:firstColumn="1" w:lastColumn="0" w:noHBand="0" w:noVBand="1"/>
      </w:tblPr>
      <w:tblGrid>
        <w:gridCol w:w="3136"/>
        <w:gridCol w:w="675"/>
        <w:gridCol w:w="790"/>
        <w:gridCol w:w="790"/>
        <w:gridCol w:w="790"/>
      </w:tblGrid>
      <w:tr w:rsidR="00A75367" w:rsidRPr="00BC57BC" w:rsidTr="00732EB5">
        <w:trPr>
          <w:tblHeader/>
          <w:jc w:val="center"/>
        </w:trPr>
        <w:tc>
          <w:tcPr>
            <w:tcW w:w="0" w:type="auto"/>
            <w:shd w:val="clear" w:color="auto" w:fill="C6D9F1"/>
            <w:vAlign w:val="bottom"/>
          </w:tcPr>
          <w:p w:rsidR="00A75367" w:rsidRPr="00C150CA" w:rsidRDefault="00A75367" w:rsidP="00C150CA">
            <w:pPr>
              <w:tabs>
                <w:tab w:val="left" w:pos="1148"/>
              </w:tabs>
              <w:spacing w:before="40" w:after="40"/>
              <w:jc w:val="left"/>
              <w:rPr>
                <w:rFonts w:ascii="Tahoma" w:eastAsiaTheme="minorEastAsia" w:hAnsi="Tahoma" w:cs="Tahoma"/>
                <w:b/>
                <w:bCs/>
                <w:sz w:val="18"/>
                <w:szCs w:val="18"/>
                <w:rtl/>
              </w:rPr>
            </w:pPr>
            <w:r w:rsidRPr="00C150CA">
              <w:rPr>
                <w:rFonts w:ascii="Tahoma" w:eastAsiaTheme="minorEastAsia" w:hAnsi="Tahoma" w:cs="Tahoma"/>
                <w:b/>
                <w:bCs/>
                <w:sz w:val="18"/>
                <w:szCs w:val="18"/>
                <w:rtl/>
              </w:rPr>
              <w:t>השנה</w:t>
            </w:r>
          </w:p>
        </w:tc>
        <w:tc>
          <w:tcPr>
            <w:tcW w:w="0" w:type="auto"/>
            <w:shd w:val="clear" w:color="auto" w:fill="C6D9F1"/>
            <w:vAlign w:val="bottom"/>
          </w:tcPr>
          <w:p w:rsidR="00A75367" w:rsidRPr="00C150CA" w:rsidRDefault="00A75367" w:rsidP="00C150CA">
            <w:pPr>
              <w:tabs>
                <w:tab w:val="left" w:pos="1148"/>
              </w:tabs>
              <w:spacing w:before="40" w:after="40"/>
              <w:jc w:val="left"/>
              <w:rPr>
                <w:rFonts w:ascii="Tahoma" w:eastAsiaTheme="minorEastAsia" w:hAnsi="Tahoma" w:cs="Tahoma"/>
                <w:b/>
                <w:bCs/>
                <w:sz w:val="18"/>
                <w:szCs w:val="18"/>
                <w:rtl/>
              </w:rPr>
            </w:pPr>
            <w:r w:rsidRPr="00C150CA">
              <w:rPr>
                <w:rFonts w:ascii="Tahoma" w:eastAsiaTheme="minorEastAsia" w:hAnsi="Tahoma" w:cs="Tahoma"/>
                <w:b/>
                <w:bCs/>
                <w:sz w:val="18"/>
                <w:szCs w:val="18"/>
                <w:rtl/>
              </w:rPr>
              <w:t>2014</w:t>
            </w:r>
          </w:p>
        </w:tc>
        <w:tc>
          <w:tcPr>
            <w:tcW w:w="0" w:type="auto"/>
            <w:shd w:val="clear" w:color="auto" w:fill="C6D9F1"/>
            <w:vAlign w:val="bottom"/>
          </w:tcPr>
          <w:p w:rsidR="00A75367" w:rsidRPr="00C150CA" w:rsidRDefault="00A75367" w:rsidP="00C150CA">
            <w:pPr>
              <w:tabs>
                <w:tab w:val="left" w:pos="1148"/>
              </w:tabs>
              <w:spacing w:before="40" w:after="40"/>
              <w:jc w:val="left"/>
              <w:rPr>
                <w:rFonts w:ascii="Tahoma" w:eastAsiaTheme="minorEastAsia" w:hAnsi="Tahoma" w:cs="Tahoma"/>
                <w:b/>
                <w:bCs/>
                <w:sz w:val="18"/>
                <w:szCs w:val="18"/>
                <w:rtl/>
              </w:rPr>
            </w:pPr>
            <w:r w:rsidRPr="00C150CA">
              <w:rPr>
                <w:rFonts w:ascii="Tahoma" w:eastAsiaTheme="minorEastAsia" w:hAnsi="Tahoma" w:cs="Tahoma"/>
                <w:b/>
                <w:bCs/>
                <w:sz w:val="18"/>
                <w:szCs w:val="18"/>
                <w:rtl/>
              </w:rPr>
              <w:t>2015*</w:t>
            </w:r>
          </w:p>
        </w:tc>
        <w:tc>
          <w:tcPr>
            <w:tcW w:w="0" w:type="auto"/>
            <w:shd w:val="clear" w:color="auto" w:fill="C6D9F1"/>
            <w:vAlign w:val="bottom"/>
          </w:tcPr>
          <w:p w:rsidR="00A75367" w:rsidRPr="00C150CA" w:rsidRDefault="00A75367" w:rsidP="00C150CA">
            <w:pPr>
              <w:tabs>
                <w:tab w:val="left" w:pos="1148"/>
              </w:tabs>
              <w:spacing w:before="40" w:after="40"/>
              <w:jc w:val="left"/>
              <w:rPr>
                <w:rFonts w:ascii="Tahoma" w:eastAsiaTheme="minorEastAsia" w:hAnsi="Tahoma" w:cs="Tahoma"/>
                <w:b/>
                <w:bCs/>
                <w:sz w:val="18"/>
                <w:szCs w:val="18"/>
                <w:rtl/>
              </w:rPr>
            </w:pPr>
            <w:r w:rsidRPr="00C150CA">
              <w:rPr>
                <w:rFonts w:ascii="Tahoma" w:eastAsiaTheme="minorEastAsia" w:hAnsi="Tahoma" w:cs="Tahoma"/>
                <w:b/>
                <w:bCs/>
                <w:sz w:val="18"/>
                <w:szCs w:val="18"/>
                <w:rtl/>
              </w:rPr>
              <w:t>2016*</w:t>
            </w:r>
          </w:p>
        </w:tc>
        <w:tc>
          <w:tcPr>
            <w:tcW w:w="0" w:type="auto"/>
            <w:shd w:val="clear" w:color="auto" w:fill="C6D9F1"/>
            <w:vAlign w:val="bottom"/>
          </w:tcPr>
          <w:p w:rsidR="00A75367" w:rsidRPr="00C150CA" w:rsidRDefault="00A75367" w:rsidP="00732EB5">
            <w:pPr>
              <w:tabs>
                <w:tab w:val="left" w:pos="1148"/>
              </w:tabs>
              <w:spacing w:before="40" w:after="40"/>
              <w:jc w:val="left"/>
              <w:rPr>
                <w:rFonts w:ascii="Tahoma" w:eastAsiaTheme="minorEastAsia" w:hAnsi="Tahoma" w:cs="Tahoma"/>
                <w:b/>
                <w:bCs/>
                <w:sz w:val="18"/>
                <w:szCs w:val="18"/>
                <w:rtl/>
              </w:rPr>
            </w:pPr>
            <w:r w:rsidRPr="00C150CA">
              <w:rPr>
                <w:rFonts w:ascii="Tahoma" w:eastAsiaTheme="minorEastAsia" w:hAnsi="Tahoma" w:cs="Tahoma"/>
                <w:b/>
                <w:bCs/>
                <w:sz w:val="18"/>
                <w:szCs w:val="18"/>
                <w:rtl/>
              </w:rPr>
              <w:t>2017*</w:t>
            </w:r>
          </w:p>
        </w:tc>
      </w:tr>
      <w:tr w:rsidR="00A75367" w:rsidRPr="00BC57BC" w:rsidTr="00C150CA">
        <w:trPr>
          <w:jc w:val="center"/>
        </w:trPr>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שיעור הפחת בתאגיד הגיחון באחוזים</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10.8</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9.9</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9.3</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8.5</w:t>
            </w:r>
          </w:p>
        </w:tc>
      </w:tr>
      <w:tr w:rsidR="00A75367" w:rsidRPr="00BC57BC" w:rsidTr="00C150CA">
        <w:trPr>
          <w:jc w:val="center"/>
        </w:trPr>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שיעור הפחת הממוצע הארצי</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10.2</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10.3</w:t>
            </w:r>
          </w:p>
        </w:tc>
        <w:tc>
          <w:tcPr>
            <w:tcW w:w="0" w:type="auto"/>
            <w:vAlign w:val="bottom"/>
          </w:tcPr>
          <w:p w:rsidR="00A75367" w:rsidRPr="00C150CA" w:rsidRDefault="00A75367" w:rsidP="00C150CA">
            <w:pPr>
              <w:tabs>
                <w:tab w:val="left" w:pos="1148"/>
              </w:tabs>
              <w:spacing w:before="40" w:after="40"/>
              <w:jc w:val="left"/>
              <w:rPr>
                <w:rFonts w:ascii="Tahoma" w:eastAsiaTheme="minorEastAsia" w:hAnsi="Tahoma" w:cs="Tahoma"/>
                <w:sz w:val="18"/>
                <w:szCs w:val="18"/>
                <w:rtl/>
              </w:rPr>
            </w:pPr>
            <w:r w:rsidRPr="00C150CA">
              <w:rPr>
                <w:rFonts w:ascii="Tahoma" w:eastAsiaTheme="minorEastAsia" w:hAnsi="Tahoma" w:cs="Tahoma"/>
                <w:sz w:val="18"/>
                <w:szCs w:val="18"/>
                <w:rtl/>
              </w:rPr>
              <w:t>10.4</w:t>
            </w:r>
          </w:p>
        </w:tc>
      </w:tr>
    </w:tbl>
    <w:p w:rsidR="00A75367" w:rsidRPr="00732EB5" w:rsidRDefault="00A75367" w:rsidP="00732EB5">
      <w:pPr>
        <w:spacing w:before="120" w:after="120"/>
        <w:jc w:val="center"/>
        <w:rPr>
          <w:rFonts w:ascii="Tahoma" w:hAnsi="Tahoma" w:cs="Tahoma"/>
          <w:sz w:val="16"/>
          <w:szCs w:val="16"/>
          <w:rtl/>
          <w:lang w:eastAsia="he-IL"/>
        </w:rPr>
      </w:pPr>
      <w:r w:rsidRPr="00732EB5">
        <w:rPr>
          <w:rFonts w:ascii="Tahoma" w:hAnsi="Tahoma" w:cs="Tahoma"/>
          <w:sz w:val="16"/>
          <w:szCs w:val="16"/>
          <w:rtl/>
          <w:lang w:eastAsia="he-IL"/>
        </w:rPr>
        <w:t>שיעור הפחת בגיחון, על פי נתוני התאגיד משנת 2019.</w:t>
      </w:r>
    </w:p>
    <w:p w:rsidR="00A75367" w:rsidRPr="00732EB5" w:rsidRDefault="00A75367" w:rsidP="00732EB5">
      <w:pPr>
        <w:spacing w:before="120" w:after="120"/>
        <w:jc w:val="center"/>
        <w:rPr>
          <w:rFonts w:ascii="Tahoma" w:hAnsi="Tahoma" w:cs="Tahoma"/>
          <w:sz w:val="16"/>
          <w:szCs w:val="16"/>
          <w:rtl/>
          <w:lang w:eastAsia="he-IL"/>
        </w:rPr>
      </w:pPr>
      <w:r w:rsidRPr="00732EB5">
        <w:rPr>
          <w:rFonts w:ascii="Tahoma" w:hAnsi="Tahoma" w:cs="Tahoma"/>
          <w:sz w:val="16"/>
          <w:szCs w:val="16"/>
          <w:rtl/>
          <w:lang w:eastAsia="he-IL"/>
        </w:rPr>
        <w:t>שיעור הפחת הממוצע הארצי, על פי נתוני רשות המים לשנים 2015 - 2017.</w:t>
      </w:r>
    </w:p>
    <w:p w:rsidR="00A75367" w:rsidRPr="00732EB5" w:rsidRDefault="00A75367" w:rsidP="00732EB5">
      <w:pPr>
        <w:spacing w:before="120" w:after="120"/>
        <w:jc w:val="center"/>
        <w:rPr>
          <w:rFonts w:ascii="Tahoma" w:hAnsi="Tahoma" w:cs="Tahoma"/>
          <w:sz w:val="16"/>
          <w:szCs w:val="16"/>
          <w:rtl/>
          <w:lang w:eastAsia="he-IL"/>
        </w:rPr>
      </w:pPr>
      <w:r w:rsidRPr="00732EB5">
        <w:rPr>
          <w:rFonts w:ascii="Tahoma" w:hAnsi="Tahoma" w:cs="Tahoma"/>
          <w:sz w:val="16"/>
          <w:szCs w:val="16"/>
          <w:rtl/>
          <w:lang w:eastAsia="he-IL"/>
        </w:rPr>
        <w:t>*</w:t>
      </w:r>
      <w:r w:rsidR="00732EB5">
        <w:rPr>
          <w:rFonts w:ascii="Tahoma" w:hAnsi="Tahoma" w:cs="Tahoma" w:hint="cs"/>
          <w:sz w:val="16"/>
          <w:szCs w:val="16"/>
          <w:rtl/>
          <w:lang w:eastAsia="he-IL"/>
        </w:rPr>
        <w:t xml:space="preserve"> </w:t>
      </w:r>
      <w:r w:rsidRPr="00732EB5">
        <w:rPr>
          <w:rFonts w:ascii="Tahoma" w:hAnsi="Tahoma" w:cs="Tahoma"/>
          <w:sz w:val="16"/>
          <w:szCs w:val="16"/>
          <w:rtl/>
          <w:lang w:eastAsia="he-IL"/>
        </w:rPr>
        <w:t>יצוין כי בדצמבר 2015 נחתם הסכם בין התאגיד לבין רשות המים ומשרד האוצר (ראו להלן) ולפיו נקבע שלשכונות שמעבר לגדר ההפרדה במזרח ירושלים יקבל התאגיד הכרה בפחת מים של 50% בין השנים 2015 - 2020. בהתחשב בנורמת פחת המים של 50% בשכונות האמורות, סך נורמת פחת המים המשוקללת לתאגיד היא כ-8.2%.</w:t>
      </w:r>
    </w:p>
    <w:p w:rsidR="00A75367" w:rsidRPr="00BC57BC" w:rsidRDefault="00A75367" w:rsidP="00732EB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BC57BC">
        <w:rPr>
          <w:rFonts w:ascii="Tahoma" w:hAnsi="Tahoma" w:cs="Tahoma"/>
          <w:b w:val="0"/>
          <w:bCs w:val="0"/>
          <w:szCs w:val="20"/>
          <w:rtl/>
        </w:rPr>
        <w:lastRenderedPageBreak/>
        <w:t>מהלוח עולה כי התאגיד הצליח בארבע השנים האמורות להוריד את שיעור פחת המים בהדרגה, אף שברמה הארצית שיעור הפחת נותר יציב עם זאת שיעור הפחת עדיין לא עומד בנורמה שקבעה רשות המים.</w:t>
      </w:r>
      <w:r w:rsidRPr="00BC57BC">
        <w:rPr>
          <w:rFonts w:ascii="Tahoma" w:hAnsi="Tahoma" w:cs="Tahoma"/>
          <w:b w:val="0"/>
          <w:bCs w:val="0"/>
          <w:sz w:val="16"/>
          <w:szCs w:val="20"/>
          <w:rtl/>
        </w:rPr>
        <w:t xml:space="preserve"> </w:t>
      </w:r>
      <w:r w:rsidRPr="00BC57BC">
        <w:rPr>
          <w:rFonts w:ascii="Tahoma" w:hAnsi="Tahoma" w:cs="Tahoma"/>
          <w:b w:val="0"/>
          <w:bCs w:val="0"/>
          <w:szCs w:val="20"/>
          <w:rtl/>
        </w:rPr>
        <w:t>צמצום הפער בין שיעור הפחת בפועל לבין הנורמה היה מגדיל את רווחיותו של התאגיד ומאפשר לו לנתב את הכנסותיו להגדלת ההשקעות במשק המים.</w:t>
      </w:r>
    </w:p>
    <w:p w:rsidR="00A75367" w:rsidRPr="00BC57BC" w:rsidRDefault="00A75367" w:rsidP="00A75367">
      <w:pPr>
        <w:autoSpaceDE w:val="0"/>
        <w:autoSpaceDN w:val="0"/>
        <w:adjustRightInd w:val="0"/>
        <w:spacing w:after="120"/>
        <w:ind w:left="-569" w:firstLine="569"/>
        <w:rPr>
          <w:rFonts w:ascii="Tahoma" w:hAnsi="Tahoma" w:cs="Tahoma"/>
          <w:sz w:val="16"/>
          <w:szCs w:val="16"/>
          <w:rtl/>
        </w:rPr>
      </w:pPr>
      <w:r w:rsidRPr="00BC57BC">
        <w:rPr>
          <w:rFonts w:ascii="Tahoma" w:hAnsi="Tahoma" w:cs="Tahoma"/>
          <w:sz w:val="16"/>
          <w:szCs w:val="20"/>
          <w:rtl/>
        </w:rPr>
        <w:t>להלן נתונים על פחת המים בתאגיד הגיחון לפי אזורים לשנים 2011 - 2017</w:t>
      </w:r>
      <w:r w:rsidRPr="00BC57BC">
        <w:rPr>
          <w:rFonts w:ascii="Tahoma" w:hAnsi="Tahoma" w:cs="Tahoma"/>
          <w:b/>
          <w:bCs/>
          <w:sz w:val="16"/>
          <w:szCs w:val="20"/>
          <w:rtl/>
        </w:rPr>
        <w:t xml:space="preserve">. </w:t>
      </w:r>
    </w:p>
    <w:p w:rsidR="00A75367" w:rsidRPr="00BC57BC" w:rsidRDefault="00A75367" w:rsidP="00732EB5">
      <w:pPr>
        <w:pStyle w:val="a1"/>
        <w:rPr>
          <w:rtl/>
        </w:rPr>
      </w:pPr>
      <w:r w:rsidRPr="00732EB5">
        <w:rPr>
          <w:b w:val="0"/>
          <w:bCs w:val="0"/>
          <w:rtl/>
        </w:rPr>
        <w:t>תרשים 7:</w:t>
      </w:r>
      <w:r w:rsidRPr="00BC57BC">
        <w:rPr>
          <w:rtl/>
        </w:rPr>
        <w:t xml:space="preserve"> פחת המים בתאגיד הגיחון לפי אזורים לשנים 2011 - 2017</w:t>
      </w:r>
    </w:p>
    <w:p w:rsidR="00E00398" w:rsidRPr="00BC57BC" w:rsidRDefault="00E00398" w:rsidP="00A75367">
      <w:pPr>
        <w:spacing w:after="120"/>
        <w:rPr>
          <w:rFonts w:ascii="Tahoma" w:hAnsi="Tahoma" w:cs="Tahoma"/>
          <w:sz w:val="16"/>
          <w:szCs w:val="16"/>
        </w:rPr>
      </w:pPr>
      <w:r>
        <w:rPr>
          <w:rFonts w:ascii="Tahoma" w:hAnsi="Tahoma" w:cs="Tahoma"/>
          <w:noProof/>
          <w:sz w:val="16"/>
          <w:szCs w:val="16"/>
        </w:rPr>
        <w:drawing>
          <wp:inline distT="0" distB="0" distL="0" distR="0" wp14:anchorId="789E73DD">
            <wp:extent cx="5145405" cy="3084830"/>
            <wp:effectExtent l="0" t="0" r="0" b="1270"/>
            <wp:docPr id="25" name="Picture 25" descr="על פי התרשים, בשנים 2011 עד 2017 הייתה מגמת ירידה בשיעור פחת המים באזורים שלהם מספק תאגיד הגיחון מים: במערב ירושלים מ-12.8% ל-8.5%, במבשרת ציון מ-17.1% ל-5.7%, באבו גוש מ-32.5% ל-11%. הפחת הכולל של תאגיד הגיחון ירד מ-13.1% ל-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5405" cy="3084830"/>
                    </a:xfrm>
                    <a:prstGeom prst="rect">
                      <a:avLst/>
                    </a:prstGeom>
                    <a:noFill/>
                  </pic:spPr>
                </pic:pic>
              </a:graphicData>
            </a:graphic>
          </wp:inline>
        </w:drawing>
      </w:r>
    </w:p>
    <w:p w:rsidR="00A75367" w:rsidRPr="00732EB5" w:rsidRDefault="00A75367" w:rsidP="00D7140E">
      <w:pPr>
        <w:spacing w:before="120"/>
        <w:jc w:val="center"/>
        <w:rPr>
          <w:rFonts w:ascii="Tahoma" w:hAnsi="Tahoma" w:cs="Tahoma"/>
          <w:sz w:val="16"/>
          <w:szCs w:val="16"/>
          <w:rtl/>
          <w:lang w:eastAsia="he-IL"/>
        </w:rPr>
      </w:pPr>
      <w:r w:rsidRPr="00732EB5">
        <w:rPr>
          <w:rFonts w:ascii="Tahoma" w:hAnsi="Tahoma" w:cs="Tahoma"/>
          <w:sz w:val="16"/>
          <w:szCs w:val="16"/>
          <w:rtl/>
          <w:lang w:eastAsia="he-IL"/>
        </w:rPr>
        <w:t>נתונים שהעביר תאגיד הגיחון למשרד מבקר המדינה בינואר 2019.</w:t>
      </w:r>
    </w:p>
    <w:p w:rsidR="00A75367" w:rsidRPr="00732EB5" w:rsidRDefault="00A75367" w:rsidP="00D7140E">
      <w:pPr>
        <w:jc w:val="center"/>
        <w:rPr>
          <w:rFonts w:ascii="Tahoma" w:hAnsi="Tahoma" w:cs="Tahoma"/>
          <w:sz w:val="16"/>
          <w:szCs w:val="16"/>
          <w:rtl/>
          <w:lang w:eastAsia="he-IL"/>
        </w:rPr>
      </w:pPr>
      <w:r w:rsidRPr="00732EB5">
        <w:rPr>
          <w:rFonts w:ascii="Tahoma" w:hAnsi="Tahoma" w:cs="Tahoma"/>
          <w:sz w:val="16"/>
          <w:szCs w:val="16"/>
          <w:rtl/>
          <w:lang w:eastAsia="he-IL"/>
        </w:rPr>
        <w:t>*לא כולל מזרח ירושלים.</w:t>
      </w:r>
    </w:p>
    <w:p w:rsidR="00A75367" w:rsidRPr="00732EB5" w:rsidRDefault="00A75367" w:rsidP="00D7140E">
      <w:pPr>
        <w:spacing w:after="120"/>
        <w:jc w:val="center"/>
        <w:rPr>
          <w:rFonts w:ascii="Tahoma" w:hAnsi="Tahoma" w:cs="Tahoma"/>
          <w:sz w:val="16"/>
          <w:szCs w:val="16"/>
          <w:rtl/>
          <w:lang w:eastAsia="he-IL"/>
        </w:rPr>
      </w:pPr>
      <w:r w:rsidRPr="00732EB5">
        <w:rPr>
          <w:rFonts w:ascii="Tahoma" w:hAnsi="Tahoma" w:cs="Tahoma"/>
          <w:sz w:val="16"/>
          <w:szCs w:val="16"/>
          <w:rtl/>
          <w:lang w:eastAsia="he-IL"/>
        </w:rPr>
        <w:t>** שיעור הפחת במערב ירושלים זהה לשיעור הפחת הכללי (הגיחון פחת כולל), ולכן שני הקווים מתלכדים.</w:t>
      </w:r>
    </w:p>
    <w:p w:rsidR="00A75367" w:rsidRPr="00BC57BC" w:rsidRDefault="00A75367" w:rsidP="00A75367">
      <w:pPr>
        <w:spacing w:after="120"/>
        <w:rPr>
          <w:rFonts w:ascii="Tahoma" w:hAnsi="Tahoma" w:cs="Tahoma"/>
          <w:szCs w:val="20"/>
          <w:rtl/>
        </w:rPr>
      </w:pPr>
      <w:r w:rsidRPr="00BC57BC">
        <w:rPr>
          <w:rFonts w:ascii="Tahoma" w:hAnsi="Tahoma" w:cs="Tahoma"/>
          <w:szCs w:val="20"/>
          <w:rtl/>
        </w:rPr>
        <w:t>מהתרשים עולה כי קיימת מגמת ירידה בפחת המים באזורים להם מספק תאגיד הגיחון מים.</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ממסמכי התאגיד מספטמבר 2018 עולה כי פחת המים בשכונות הערביות במזרח העיר בשנת 2017 היה 34.1%, וכי ההפסד הכספי שהסב פחת זה לתאגיד הוא כ-27.8 מיליון ש"ח. עוד עולה ממסמכי התאגיד כי רוב קווי המים בעיר העתיקה הם בני 30 שנה ויותר, ולפיכך יש נזילות רבות ברחבי העיר העתיקה. התאגיד ציין כי בין מרץ 2017 למרץ 2018 התגלו יותר מ-130 נזילות.</w:t>
      </w:r>
    </w:p>
    <w:p w:rsidR="00A75367" w:rsidRPr="00BC57BC" w:rsidRDefault="00A75367" w:rsidP="00A75367">
      <w:pPr>
        <w:autoSpaceDE w:val="0"/>
        <w:autoSpaceDN w:val="0"/>
        <w:adjustRightInd w:val="0"/>
        <w:spacing w:after="120"/>
        <w:rPr>
          <w:rFonts w:ascii="Tahoma" w:hAnsi="Tahoma" w:cs="Tahoma"/>
          <w:sz w:val="16"/>
          <w:szCs w:val="20"/>
          <w:rtl/>
        </w:rPr>
      </w:pPr>
      <w:r w:rsidRPr="00BC57BC">
        <w:rPr>
          <w:rFonts w:ascii="Tahoma" w:hAnsi="Tahoma" w:cs="Tahoma"/>
          <w:sz w:val="16"/>
          <w:szCs w:val="20"/>
          <w:rtl/>
        </w:rPr>
        <w:t xml:space="preserve">ממסמכי התאגיד מ-2018 עולה כי הוא פועל לצמצם את פחת המים, וכי בשנת 2018 היה פחת המים 7.3%. עוד עולה ממסמכי התאגיד כי ב-2017 הוא טיפל בשישה אזורי מדידה במזרח העיר, המהווים כ-17.6% מכלל אזורי המדידה. באזורים אלה התגלו 80 נזילות תת-קרקעיות, 91 גניבות ו-85 מדי מים תקולים, והתאגיד הצליח לצמצם את פחת המים ב-177,400 קוב בשנה. </w:t>
      </w:r>
    </w:p>
    <w:p w:rsidR="00A75367" w:rsidRPr="00BC57BC" w:rsidRDefault="00A75367" w:rsidP="00A75367">
      <w:pPr>
        <w:autoSpaceDE w:val="0"/>
        <w:autoSpaceDN w:val="0"/>
        <w:adjustRightInd w:val="0"/>
        <w:spacing w:after="120"/>
        <w:rPr>
          <w:rFonts w:ascii="Tahoma" w:hAnsi="Tahoma" w:cs="Tahoma"/>
          <w:sz w:val="16"/>
          <w:szCs w:val="20"/>
          <w:rtl/>
        </w:rPr>
      </w:pPr>
      <w:r w:rsidRPr="00BC57BC">
        <w:rPr>
          <w:rFonts w:ascii="Tahoma" w:hAnsi="Tahoma" w:cs="Tahoma"/>
          <w:sz w:val="16"/>
          <w:szCs w:val="20"/>
          <w:rtl/>
        </w:rPr>
        <w:lastRenderedPageBreak/>
        <w:t>במסמך ממרץ 2018 ציין התאגיד כי במזרח ירושלים קיימים קשיי אכיפה, וכי עליו להתמודד שם עם חבלות במדי המים ועם חיבורים לא חוקיים לרשת המים.</w:t>
      </w:r>
    </w:p>
    <w:p w:rsidR="00A75367" w:rsidRPr="00BC57BC" w:rsidRDefault="00A75367" w:rsidP="00A75367">
      <w:pPr>
        <w:autoSpaceDE w:val="0"/>
        <w:autoSpaceDN w:val="0"/>
        <w:adjustRightInd w:val="0"/>
        <w:spacing w:after="120"/>
        <w:rPr>
          <w:rFonts w:ascii="Tahoma" w:hAnsi="Tahoma" w:cs="Tahoma"/>
          <w:sz w:val="16"/>
          <w:szCs w:val="20"/>
          <w:rtl/>
        </w:rPr>
      </w:pPr>
      <w:r w:rsidRPr="00BC57BC">
        <w:rPr>
          <w:rFonts w:ascii="Tahoma" w:hAnsi="Tahoma" w:cs="Tahoma"/>
          <w:sz w:val="16"/>
          <w:szCs w:val="20"/>
          <w:rtl/>
        </w:rPr>
        <w:t>עוד בשנת 2014 התייחסה רשות המים לטענות התאגיד באשר לבעיות במזרח ירושלים, וכתבה כי "אין זה נכון כי תעריף המים יישא בעלויות ייחודיות שחלקן חורג מתחום הרגולציה של רשות המים כגוף מקצועי".</w:t>
      </w:r>
    </w:p>
    <w:p w:rsidR="00A75367" w:rsidRPr="00BC57BC" w:rsidRDefault="00A75367" w:rsidP="00732EB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C57BC">
        <w:rPr>
          <w:rFonts w:ascii="Tahoma" w:hAnsi="Tahoma" w:cs="Tahoma"/>
          <w:b w:val="0"/>
          <w:bCs w:val="0"/>
          <w:sz w:val="16"/>
          <w:szCs w:val="20"/>
          <w:rtl/>
        </w:rPr>
        <w:t>על רשות המים, משרד האוצר ותאגיד הגיחון לקיים שיח רציף ולמצוא פתרון ארוך טווח לסוגיות פחת המים וההשקעות הנדרשות לפיתוח מערכות המים והביוב במזרח ירושלים, ובכלל זה בשכונות שמעבר לגדר ההפרדה.</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 xml:space="preserve">רשות המים השיבה למשרד מבקר המדינה בדצמבר 2019 כי בהחלטה על עדכון התעריפים לינואר 2020, היא עדכנה את נורמת פחת המים לתאגיד הגיחון </w:t>
      </w:r>
      <w:r>
        <w:rPr>
          <w:rFonts w:ascii="Tahoma" w:hAnsi="Tahoma" w:cs="Tahoma"/>
          <w:sz w:val="16"/>
          <w:szCs w:val="20"/>
          <w:rtl/>
        </w:rPr>
        <w:t>ל-</w:t>
      </w:r>
      <w:r w:rsidRPr="00BC57BC">
        <w:rPr>
          <w:rFonts w:ascii="Tahoma" w:hAnsi="Tahoma" w:cs="Tahoma"/>
          <w:sz w:val="16"/>
          <w:szCs w:val="20"/>
          <w:rtl/>
        </w:rPr>
        <w:t xml:space="preserve">8% על מנת לאפשר לו, בין היתר, לצמצם את בעיית פחת המים במזרח ירושלים. </w:t>
      </w:r>
      <w:bookmarkStart w:id="16" w:name="_Toc17268275"/>
    </w:p>
    <w:p w:rsidR="00A75367" w:rsidRPr="00BC57BC" w:rsidRDefault="00A75367" w:rsidP="00732EB5">
      <w:pPr>
        <w:pStyle w:val="21"/>
        <w:rPr>
          <w:rtl/>
        </w:rPr>
      </w:pPr>
      <w:bookmarkStart w:id="17" w:name="_Toc32167112"/>
      <w:r w:rsidRPr="00BC57BC">
        <w:rPr>
          <w:rtl/>
        </w:rPr>
        <w:t>חיבור המים לשכונות במזרח ירושלים שמעבר לגדר ההפרדה</w:t>
      </w:r>
      <w:bookmarkEnd w:id="16"/>
      <w:bookmarkEnd w:id="17"/>
    </w:p>
    <w:p w:rsidR="00A75367" w:rsidRPr="00BC57BC" w:rsidRDefault="00A75367" w:rsidP="00A75367">
      <w:pPr>
        <w:autoSpaceDE w:val="0"/>
        <w:autoSpaceDN w:val="0"/>
        <w:adjustRightInd w:val="0"/>
        <w:spacing w:after="120"/>
        <w:rPr>
          <w:rFonts w:ascii="Tahoma" w:hAnsi="Tahoma" w:cs="Tahoma"/>
          <w:szCs w:val="20"/>
          <w:rtl/>
        </w:rPr>
      </w:pPr>
      <w:r w:rsidRPr="00BC57BC">
        <w:rPr>
          <w:rFonts w:ascii="Tahoma" w:hAnsi="Tahoma" w:cs="Tahoma"/>
          <w:szCs w:val="20"/>
          <w:rtl/>
        </w:rPr>
        <w:t>הגיחון מספק שירותי מים וביוב גם לארבע שכונות במזרח ירושלים הנמצאות מעבר לגדר ההפרדה</w:t>
      </w:r>
      <w:r w:rsidRPr="00BC57BC">
        <w:rPr>
          <w:rStyle w:val="FootnoteReference"/>
          <w:rFonts w:ascii="Tahoma" w:hAnsi="Tahoma" w:cs="Tahoma"/>
          <w:szCs w:val="20"/>
          <w:rtl/>
        </w:rPr>
        <w:footnoteReference w:id="20"/>
      </w:r>
      <w:r w:rsidRPr="00BC57BC">
        <w:rPr>
          <w:rFonts w:ascii="Tahoma" w:hAnsi="Tahoma" w:cs="Tahoma"/>
          <w:szCs w:val="20"/>
          <w:rtl/>
        </w:rPr>
        <w:t xml:space="preserve"> (ראס </w:t>
      </w:r>
      <w:proofErr w:type="spellStart"/>
      <w:r w:rsidRPr="00BC57BC">
        <w:rPr>
          <w:rFonts w:ascii="Tahoma" w:hAnsi="Tahoma" w:cs="Tahoma"/>
          <w:szCs w:val="20"/>
          <w:rtl/>
        </w:rPr>
        <w:t>חמיס</w:t>
      </w:r>
      <w:proofErr w:type="spellEnd"/>
      <w:r w:rsidRPr="00BC57BC">
        <w:rPr>
          <w:rFonts w:ascii="Tahoma" w:hAnsi="Tahoma" w:cs="Tahoma"/>
          <w:szCs w:val="20"/>
          <w:rtl/>
        </w:rPr>
        <w:t>, מחנה הפליטים ענאתא [</w:t>
      </w:r>
      <w:proofErr w:type="spellStart"/>
      <w:r w:rsidRPr="00BC57BC">
        <w:rPr>
          <w:rFonts w:ascii="Tahoma" w:hAnsi="Tahoma" w:cs="Tahoma"/>
          <w:szCs w:val="20"/>
          <w:rtl/>
        </w:rPr>
        <w:t>שועפאט</w:t>
      </w:r>
      <w:proofErr w:type="spellEnd"/>
      <w:r w:rsidRPr="00BC57BC">
        <w:rPr>
          <w:rFonts w:ascii="Tahoma" w:hAnsi="Tahoma" w:cs="Tahoma"/>
          <w:szCs w:val="20"/>
          <w:rtl/>
        </w:rPr>
        <w:t xml:space="preserve">], שכונת השלום וביר עונה; להלן - השכונות שמעבר לגדר ההפרדה). </w:t>
      </w:r>
    </w:p>
    <w:p w:rsidR="00A75367" w:rsidRPr="00BC57BC" w:rsidRDefault="00A75367" w:rsidP="00A75367">
      <w:pPr>
        <w:autoSpaceDE w:val="0"/>
        <w:autoSpaceDN w:val="0"/>
        <w:adjustRightInd w:val="0"/>
        <w:spacing w:after="120"/>
        <w:rPr>
          <w:rFonts w:ascii="Tahoma" w:hAnsi="Tahoma" w:cs="Tahoma"/>
          <w:szCs w:val="20"/>
          <w:rtl/>
        </w:rPr>
      </w:pPr>
      <w:r w:rsidRPr="00BC57BC">
        <w:rPr>
          <w:rFonts w:ascii="Tahoma" w:hAnsi="Tahoma" w:cs="Tahoma"/>
          <w:szCs w:val="20"/>
          <w:rtl/>
        </w:rPr>
        <w:t>ממסמכי רשות המים מ-2015 עולה כי תאגיד הגיחון טוען במשך שנים רבות כי במזרח ירושלים, במיוחד בשכונות האמורות שמעבר לגדר ההפרדה, פחת הגבייה גבוה, ויש קשיים אקסוגניים בהפעלת החוק בשל בעיות משילות וביטחון.</w:t>
      </w:r>
    </w:p>
    <w:p w:rsidR="00A75367" w:rsidRPr="00BC57BC" w:rsidRDefault="00A75367" w:rsidP="00A75367">
      <w:pPr>
        <w:autoSpaceDE w:val="0"/>
        <w:autoSpaceDN w:val="0"/>
        <w:adjustRightInd w:val="0"/>
        <w:spacing w:after="120"/>
        <w:rPr>
          <w:rFonts w:ascii="Tahoma" w:hAnsi="Tahoma" w:cs="Tahoma"/>
          <w:szCs w:val="20"/>
          <w:rtl/>
        </w:rPr>
      </w:pPr>
      <w:r w:rsidRPr="00BC57BC">
        <w:rPr>
          <w:rFonts w:ascii="Tahoma" w:hAnsi="Tahoma" w:cs="Tahoma"/>
          <w:szCs w:val="20"/>
          <w:rtl/>
        </w:rPr>
        <w:t>בדצמבר 2015 חתם התאגיד עם רשות המים ומשרד האוצר על "עקרונות להסדרת הסוגיות מול תאגיד הגיחון" (להלן - הסכם העקרונות) - הסכם שתוקפו לשנים 2016 עד 2020. בין היתר נקבע בהסכם העקרונות כי התאגיד יניח קווי מים לחיבור השכונות שמעבר לגדר ההפרדה, יגדיל את השירותים לשכונות אלה ויגביר את הגבייה בהן. כמו כן הוסכם כי רשות המים תכיר בכמויות המים המסופקות מעבר לגדר ככמות מוכרת לרכישת מים בין השנים 2015 עד 2020 באופן ששקול להכרה בפחת מים בשיעור של 50%</w:t>
      </w:r>
      <w:r w:rsidRPr="00BC57BC">
        <w:rPr>
          <w:rStyle w:val="FootnoteReference"/>
          <w:rFonts w:ascii="Tahoma" w:hAnsi="Tahoma" w:cs="Tahoma"/>
          <w:szCs w:val="20"/>
          <w:rtl/>
        </w:rPr>
        <w:footnoteReference w:id="21"/>
      </w:r>
      <w:r w:rsidRPr="00BC57BC">
        <w:rPr>
          <w:rFonts w:ascii="Tahoma" w:hAnsi="Tahoma" w:cs="Tahoma"/>
          <w:szCs w:val="20"/>
          <w:rtl/>
        </w:rPr>
        <w:t xml:space="preserve"> (לעומת הפחת הנורמטיבי הממוצע לכלל התאגידים, של 7%); הוסכם כי המדינה תשתתף בפיתוח תשתיות בשכונות שמעבר לגדר בשיעור של 80% מעלויות הפיתוח (עד לסכום של כ-17 מיליון ש"ח), וכן ייתן מענק בשיעור של 50% מהעלויות הכרוכות במיזמים של חיבור לרשת הביוב בשכונות שמעבר לגדר (עד לסכום של 20 מיליון ש"ח). כמו כן נקבע כי יינתן תקציב להוצאות אבטחה בסך 5 </w:t>
      </w:r>
      <w:r w:rsidRPr="00BC57BC">
        <w:rPr>
          <w:rFonts w:ascii="Tahoma" w:hAnsi="Tahoma" w:cs="Tahoma"/>
          <w:szCs w:val="20"/>
          <w:rtl/>
        </w:rPr>
        <w:lastRenderedPageBreak/>
        <w:t xml:space="preserve">מיליון ש"ח בשנה למשך חמש שנים, ותוכר עלות נוספת בסך 3 מיליון ש"ח במים שמקורות מוכרת לתאגיד. </w:t>
      </w:r>
    </w:p>
    <w:p w:rsidR="00A75367" w:rsidRPr="00BC57BC" w:rsidRDefault="00A75367" w:rsidP="00A75367">
      <w:pPr>
        <w:autoSpaceDE w:val="0"/>
        <w:autoSpaceDN w:val="0"/>
        <w:adjustRightInd w:val="0"/>
        <w:spacing w:after="120"/>
        <w:rPr>
          <w:rFonts w:ascii="Tahoma" w:hAnsi="Tahoma" w:cs="Tahoma"/>
          <w:szCs w:val="20"/>
          <w:rtl/>
        </w:rPr>
      </w:pPr>
      <w:r w:rsidRPr="00BC57BC">
        <w:rPr>
          <w:rFonts w:ascii="Tahoma" w:hAnsi="Tahoma" w:cs="Tahoma"/>
          <w:szCs w:val="20"/>
          <w:rtl/>
        </w:rPr>
        <w:t xml:space="preserve">אגף התקציבים במשרד האוצר (להלן - </w:t>
      </w:r>
      <w:proofErr w:type="spellStart"/>
      <w:r w:rsidRPr="00BC57BC">
        <w:rPr>
          <w:rFonts w:ascii="Tahoma" w:hAnsi="Tahoma" w:cs="Tahoma"/>
          <w:szCs w:val="20"/>
          <w:rtl/>
        </w:rPr>
        <w:t>אג"ת</w:t>
      </w:r>
      <w:proofErr w:type="spellEnd"/>
      <w:r w:rsidRPr="00BC57BC">
        <w:rPr>
          <w:rFonts w:ascii="Tahoma" w:hAnsi="Tahoma" w:cs="Tahoma"/>
          <w:szCs w:val="20"/>
          <w:rtl/>
        </w:rPr>
        <w:t xml:space="preserve">) השיב למשרד מבקר המדינה באפריל 2019 כי תמיכות אלה לצד ההכרה </w:t>
      </w:r>
      <w:proofErr w:type="spellStart"/>
      <w:r w:rsidRPr="00BC57BC">
        <w:rPr>
          <w:rFonts w:ascii="Tahoma" w:hAnsi="Tahoma" w:cs="Tahoma"/>
          <w:szCs w:val="20"/>
          <w:rtl/>
        </w:rPr>
        <w:t>התעריפית</w:t>
      </w:r>
      <w:proofErr w:type="spellEnd"/>
      <w:r w:rsidRPr="00BC57BC">
        <w:rPr>
          <w:rFonts w:ascii="Tahoma" w:hAnsi="Tahoma" w:cs="Tahoma"/>
          <w:szCs w:val="20"/>
          <w:rtl/>
        </w:rPr>
        <w:t xml:space="preserve"> הייחודית לאזור זה נועדו מחד גיסא לאפשר לתאגיד הגיחון להתמודד עם התנאים לאספקת מים באזור זה, ומאידך גיסא לתמרץ את חברת הגיחון להוסיף ולפעול לצמצום פחת המים ולהגברת הגבייה.</w:t>
      </w:r>
    </w:p>
    <w:p w:rsidR="00A75367" w:rsidRPr="00BC57BC" w:rsidRDefault="00A75367" w:rsidP="00A75367">
      <w:pPr>
        <w:autoSpaceDE w:val="0"/>
        <w:autoSpaceDN w:val="0"/>
        <w:adjustRightInd w:val="0"/>
        <w:spacing w:after="120"/>
        <w:rPr>
          <w:rFonts w:ascii="Tahoma" w:hAnsi="Tahoma" w:cs="Tahoma"/>
          <w:szCs w:val="20"/>
          <w:rtl/>
        </w:rPr>
      </w:pPr>
      <w:r w:rsidRPr="00BC57BC">
        <w:rPr>
          <w:rFonts w:ascii="Tahoma" w:hAnsi="Tahoma" w:cs="Tahoma"/>
          <w:szCs w:val="20"/>
          <w:rtl/>
        </w:rPr>
        <w:t>להלן פירוט כמויות המים שסופקו בשנת 2017 לשכונות שמעבר לגדר ההפרדה:</w:t>
      </w:r>
    </w:p>
    <w:p w:rsidR="00A75367" w:rsidRPr="00BC57BC" w:rsidRDefault="00A75367" w:rsidP="00732EB5">
      <w:pPr>
        <w:pStyle w:val="a1"/>
        <w:rPr>
          <w:rtl/>
        </w:rPr>
      </w:pPr>
      <w:r w:rsidRPr="00732EB5">
        <w:rPr>
          <w:b w:val="0"/>
          <w:bCs w:val="0"/>
          <w:rtl/>
        </w:rPr>
        <w:t>לוח 6:</w:t>
      </w:r>
      <w:r w:rsidRPr="00BC57BC">
        <w:rPr>
          <w:rtl/>
        </w:rPr>
        <w:t xml:space="preserve"> אספקת מים לשכונות שמעבר לגדר ההפרדה, 2017</w:t>
      </w:r>
    </w:p>
    <w:tbl>
      <w:tblPr>
        <w:tblStyle w:val="TableGrid"/>
        <w:bidiVisual/>
        <w:tblW w:w="0" w:type="auto"/>
        <w:jc w:val="center"/>
        <w:tblLook w:val="04A0" w:firstRow="1" w:lastRow="0" w:firstColumn="1" w:lastColumn="0" w:noHBand="0" w:noVBand="1"/>
      </w:tblPr>
      <w:tblGrid>
        <w:gridCol w:w="2901"/>
        <w:gridCol w:w="2376"/>
        <w:gridCol w:w="2356"/>
      </w:tblGrid>
      <w:tr w:rsidR="00A75367" w:rsidRPr="00BC57BC" w:rsidTr="00732EB5">
        <w:trPr>
          <w:tblHeader/>
          <w:jc w:val="center"/>
        </w:trPr>
        <w:tc>
          <w:tcPr>
            <w:tcW w:w="0" w:type="auto"/>
            <w:shd w:val="clear" w:color="auto" w:fill="C6D9F1"/>
            <w:vAlign w:val="bottom"/>
          </w:tcPr>
          <w:p w:rsidR="00A75367" w:rsidRPr="00732EB5" w:rsidRDefault="00A75367" w:rsidP="00732EB5">
            <w:pPr>
              <w:tabs>
                <w:tab w:val="left" w:pos="1148"/>
              </w:tabs>
              <w:spacing w:before="40" w:after="40"/>
              <w:jc w:val="left"/>
              <w:rPr>
                <w:rFonts w:ascii="Tahoma" w:eastAsiaTheme="minorEastAsia" w:hAnsi="Tahoma" w:cs="Tahoma"/>
                <w:b/>
                <w:bCs/>
                <w:sz w:val="18"/>
                <w:szCs w:val="18"/>
                <w:rtl/>
              </w:rPr>
            </w:pPr>
            <w:r w:rsidRPr="00732EB5">
              <w:rPr>
                <w:rFonts w:ascii="Tahoma" w:eastAsiaTheme="minorEastAsia" w:hAnsi="Tahoma" w:cs="Tahoma"/>
                <w:b/>
                <w:bCs/>
                <w:sz w:val="18"/>
                <w:szCs w:val="18"/>
                <w:rtl/>
              </w:rPr>
              <w:t>השכונה</w:t>
            </w:r>
          </w:p>
        </w:tc>
        <w:tc>
          <w:tcPr>
            <w:tcW w:w="0" w:type="auto"/>
            <w:shd w:val="clear" w:color="auto" w:fill="C6D9F1"/>
            <w:vAlign w:val="bottom"/>
          </w:tcPr>
          <w:p w:rsidR="00A75367" w:rsidRPr="00732EB5" w:rsidRDefault="00A75367" w:rsidP="00732EB5">
            <w:pPr>
              <w:tabs>
                <w:tab w:val="left" w:pos="1148"/>
              </w:tabs>
              <w:spacing w:before="40" w:after="40"/>
              <w:jc w:val="left"/>
              <w:rPr>
                <w:rFonts w:ascii="Tahoma" w:eastAsiaTheme="minorEastAsia" w:hAnsi="Tahoma" w:cs="Tahoma"/>
                <w:b/>
                <w:bCs/>
                <w:sz w:val="18"/>
                <w:szCs w:val="18"/>
                <w:rtl/>
              </w:rPr>
            </w:pPr>
            <w:r w:rsidRPr="00732EB5">
              <w:rPr>
                <w:rFonts w:ascii="Tahoma" w:eastAsiaTheme="minorEastAsia" w:hAnsi="Tahoma" w:cs="Tahoma"/>
                <w:b/>
                <w:bCs/>
                <w:sz w:val="18"/>
                <w:szCs w:val="18"/>
                <w:rtl/>
              </w:rPr>
              <w:t>האספקה השנתית (מ"ק)</w:t>
            </w:r>
          </w:p>
        </w:tc>
        <w:tc>
          <w:tcPr>
            <w:tcW w:w="0" w:type="auto"/>
            <w:shd w:val="clear" w:color="auto" w:fill="C6D9F1"/>
            <w:vAlign w:val="bottom"/>
          </w:tcPr>
          <w:p w:rsidR="00A75367" w:rsidRPr="00732EB5" w:rsidRDefault="00A75367" w:rsidP="00732EB5">
            <w:pPr>
              <w:tabs>
                <w:tab w:val="left" w:pos="1148"/>
              </w:tabs>
              <w:spacing w:before="40" w:after="40"/>
              <w:jc w:val="left"/>
              <w:rPr>
                <w:rFonts w:ascii="Tahoma" w:eastAsiaTheme="minorEastAsia" w:hAnsi="Tahoma" w:cs="Tahoma"/>
                <w:b/>
                <w:bCs/>
                <w:sz w:val="18"/>
                <w:szCs w:val="18"/>
                <w:rtl/>
              </w:rPr>
            </w:pPr>
            <w:r w:rsidRPr="00732EB5">
              <w:rPr>
                <w:rFonts w:ascii="Tahoma" w:eastAsiaTheme="minorEastAsia" w:hAnsi="Tahoma" w:cs="Tahoma"/>
                <w:b/>
                <w:bCs/>
                <w:sz w:val="18"/>
                <w:szCs w:val="18"/>
                <w:rtl/>
              </w:rPr>
              <w:t>פחת המים השנתי (מ"ק)</w:t>
            </w:r>
          </w:p>
        </w:tc>
      </w:tr>
      <w:tr w:rsidR="00A75367" w:rsidRPr="00BC57BC" w:rsidTr="00C150CA">
        <w:trPr>
          <w:jc w:val="center"/>
        </w:trPr>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ביר עונה</w:t>
            </w:r>
          </w:p>
        </w:tc>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52,142</w:t>
            </w:r>
          </w:p>
        </w:tc>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0</w:t>
            </w:r>
          </w:p>
        </w:tc>
      </w:tr>
      <w:tr w:rsidR="00A75367" w:rsidRPr="00BC57BC" w:rsidTr="00C150CA">
        <w:trPr>
          <w:jc w:val="center"/>
        </w:trPr>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מחנה הפליטים ענאתא (</w:t>
            </w:r>
            <w:proofErr w:type="spellStart"/>
            <w:r w:rsidRPr="00732EB5">
              <w:rPr>
                <w:rFonts w:ascii="Tahoma" w:eastAsiaTheme="minorEastAsia" w:hAnsi="Tahoma" w:cs="Tahoma"/>
                <w:sz w:val="18"/>
                <w:szCs w:val="18"/>
                <w:rtl/>
              </w:rPr>
              <w:t>שועפאט</w:t>
            </w:r>
            <w:proofErr w:type="spellEnd"/>
            <w:r w:rsidRPr="00732EB5">
              <w:rPr>
                <w:rFonts w:ascii="Tahoma" w:eastAsiaTheme="minorEastAsia" w:hAnsi="Tahoma" w:cs="Tahoma"/>
                <w:sz w:val="18"/>
                <w:szCs w:val="18"/>
                <w:rtl/>
              </w:rPr>
              <w:t>)</w:t>
            </w:r>
          </w:p>
        </w:tc>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438,178</w:t>
            </w:r>
          </w:p>
        </w:tc>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438,168</w:t>
            </w:r>
          </w:p>
        </w:tc>
      </w:tr>
      <w:tr w:rsidR="00A75367" w:rsidRPr="00BC57BC" w:rsidTr="00C150CA">
        <w:trPr>
          <w:jc w:val="center"/>
        </w:trPr>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שכונת השלום</w:t>
            </w:r>
          </w:p>
        </w:tc>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542,280</w:t>
            </w:r>
          </w:p>
        </w:tc>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515,586</w:t>
            </w:r>
          </w:p>
        </w:tc>
      </w:tr>
      <w:tr w:rsidR="00A75367" w:rsidRPr="00BC57BC" w:rsidTr="00C150CA">
        <w:trPr>
          <w:jc w:val="center"/>
        </w:trPr>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 xml:space="preserve">ראס </w:t>
            </w:r>
            <w:proofErr w:type="spellStart"/>
            <w:r w:rsidRPr="00732EB5">
              <w:rPr>
                <w:rFonts w:ascii="Tahoma" w:eastAsiaTheme="minorEastAsia" w:hAnsi="Tahoma" w:cs="Tahoma"/>
                <w:sz w:val="18"/>
                <w:szCs w:val="18"/>
                <w:rtl/>
              </w:rPr>
              <w:t>חמיס</w:t>
            </w:r>
            <w:proofErr w:type="spellEnd"/>
          </w:p>
        </w:tc>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1,178,931</w:t>
            </w:r>
          </w:p>
        </w:tc>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1,135,723</w:t>
            </w:r>
          </w:p>
        </w:tc>
      </w:tr>
      <w:tr w:rsidR="00A75367" w:rsidRPr="00BC57BC" w:rsidTr="00C150CA">
        <w:trPr>
          <w:jc w:val="center"/>
        </w:trPr>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סה"כ</w:t>
            </w:r>
          </w:p>
        </w:tc>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2,211,531</w:t>
            </w:r>
          </w:p>
        </w:tc>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2,089,477</w:t>
            </w:r>
          </w:p>
        </w:tc>
      </w:tr>
    </w:tbl>
    <w:p w:rsidR="00A75367" w:rsidRPr="00732EB5" w:rsidRDefault="00A75367" w:rsidP="00732EB5">
      <w:pPr>
        <w:spacing w:before="120" w:after="120"/>
        <w:jc w:val="center"/>
        <w:rPr>
          <w:rFonts w:ascii="Tahoma" w:hAnsi="Tahoma" w:cs="Tahoma"/>
          <w:sz w:val="16"/>
          <w:szCs w:val="16"/>
          <w:rtl/>
          <w:lang w:eastAsia="he-IL"/>
        </w:rPr>
      </w:pPr>
      <w:r w:rsidRPr="00732EB5">
        <w:rPr>
          <w:rFonts w:ascii="Tahoma" w:hAnsi="Tahoma" w:cs="Tahoma"/>
          <w:sz w:val="16"/>
          <w:szCs w:val="16"/>
          <w:rtl/>
          <w:lang w:eastAsia="he-IL"/>
        </w:rPr>
        <w:t>על פי נתוני הגיחון מספטמבר 2018.</w:t>
      </w:r>
    </w:p>
    <w:p w:rsidR="00A75367" w:rsidRPr="00BC57BC" w:rsidRDefault="00A75367" w:rsidP="00A75367">
      <w:pPr>
        <w:autoSpaceDE w:val="0"/>
        <w:autoSpaceDN w:val="0"/>
        <w:adjustRightInd w:val="0"/>
        <w:spacing w:after="120"/>
        <w:rPr>
          <w:rFonts w:ascii="Tahoma" w:hAnsi="Tahoma" w:cs="Tahoma"/>
          <w:szCs w:val="20"/>
          <w:rtl/>
        </w:rPr>
      </w:pPr>
      <w:r w:rsidRPr="00BC57BC">
        <w:rPr>
          <w:rFonts w:ascii="Tahoma" w:hAnsi="Tahoma" w:cs="Tahoma"/>
          <w:szCs w:val="20"/>
          <w:rtl/>
        </w:rPr>
        <w:t>על פי מסמכי הגיחון הנזק הנגרם מאספקת המים לשכונות שמעבר לגדר ההפרדה הוא "</w:t>
      </w:r>
      <w:r w:rsidRPr="00BC57BC">
        <w:rPr>
          <w:rFonts w:ascii="Tahoma" w:hAnsi="Tahoma" w:cs="Tahoma"/>
          <w:szCs w:val="20"/>
          <w:u w:val="single"/>
          <w:rtl/>
        </w:rPr>
        <w:t>אובדן הכנסות מלא בגין כמויות המים המסופקות לשכונות הנ"ל וזאת למעט צרכנים בודדים</w:t>
      </w:r>
      <w:r w:rsidRPr="00BC57BC">
        <w:rPr>
          <w:rFonts w:ascii="Tahoma" w:hAnsi="Tahoma" w:cs="Tahoma"/>
          <w:szCs w:val="20"/>
          <w:rtl/>
        </w:rPr>
        <w:t xml:space="preserve">" (ההדגשה אינה במקור). בספטמבר 2018 אמד התאגיד את הנזק הכספי שנגרם לו בשנת 2017 עקב אספקת מים למזרח ירושלים ולשכונות שמעבר לגדר ההפרדה בכ-58 מיליון ש"ח, מתוכם כ-12 מיליון ש"ח מהשכונות שמעבר לגדר ההפרדה, כמפורט להלן בלוח 7. סכום זה כולל ניכוי של כ-11 מיליון ש"ח - השתתפות של רשות המים והמדינה במחיר המים לצריכה בשכונות שמעבר לגדר ההפרדה ובהוצאות הביטחון, בהתאם להסכם העקרונות. </w:t>
      </w:r>
    </w:p>
    <w:p w:rsidR="00A75367" w:rsidRPr="00BC57BC" w:rsidRDefault="00A75367" w:rsidP="00732EB5">
      <w:pPr>
        <w:pStyle w:val="a1"/>
        <w:rPr>
          <w:rtl/>
        </w:rPr>
      </w:pPr>
      <w:r w:rsidRPr="00732EB5">
        <w:rPr>
          <w:b w:val="0"/>
          <w:bCs w:val="0"/>
          <w:rtl/>
        </w:rPr>
        <w:t>לוח 7:</w:t>
      </w:r>
      <w:r w:rsidRPr="00BC57BC">
        <w:rPr>
          <w:rtl/>
        </w:rPr>
        <w:t xml:space="preserve"> אומדן הנזק הכספי מאספקת מים לשכונות שמעבר לגדר ההפרדה, 2017</w:t>
      </w:r>
    </w:p>
    <w:tbl>
      <w:tblPr>
        <w:tblStyle w:val="TableGrid"/>
        <w:bidiVisual/>
        <w:tblW w:w="6804" w:type="dxa"/>
        <w:jc w:val="center"/>
        <w:tblLook w:val="04A0" w:firstRow="1" w:lastRow="0" w:firstColumn="1" w:lastColumn="0" w:noHBand="0" w:noVBand="1"/>
      </w:tblPr>
      <w:tblGrid>
        <w:gridCol w:w="5499"/>
        <w:gridCol w:w="1305"/>
      </w:tblGrid>
      <w:tr w:rsidR="00A75367" w:rsidRPr="00BC57BC" w:rsidTr="00732EB5">
        <w:trPr>
          <w:tblHeader/>
          <w:jc w:val="center"/>
        </w:trPr>
        <w:tc>
          <w:tcPr>
            <w:tcW w:w="0" w:type="auto"/>
            <w:shd w:val="clear" w:color="auto" w:fill="C6D9F1"/>
            <w:vAlign w:val="bottom"/>
          </w:tcPr>
          <w:p w:rsidR="00A75367" w:rsidRPr="00732EB5" w:rsidRDefault="00A75367" w:rsidP="00732EB5">
            <w:pPr>
              <w:tabs>
                <w:tab w:val="left" w:pos="1148"/>
              </w:tabs>
              <w:spacing w:before="40" w:after="40"/>
              <w:jc w:val="left"/>
              <w:rPr>
                <w:rFonts w:ascii="Tahoma" w:eastAsiaTheme="minorEastAsia" w:hAnsi="Tahoma" w:cs="Tahoma"/>
                <w:b/>
                <w:bCs/>
                <w:sz w:val="18"/>
                <w:szCs w:val="18"/>
                <w:rtl/>
              </w:rPr>
            </w:pPr>
            <w:r w:rsidRPr="00732EB5">
              <w:rPr>
                <w:rFonts w:ascii="Tahoma" w:eastAsiaTheme="minorEastAsia" w:hAnsi="Tahoma" w:cs="Tahoma"/>
                <w:b/>
                <w:bCs/>
                <w:sz w:val="18"/>
                <w:szCs w:val="18"/>
                <w:rtl/>
              </w:rPr>
              <w:t>הרכיב</w:t>
            </w:r>
          </w:p>
        </w:tc>
        <w:tc>
          <w:tcPr>
            <w:tcW w:w="0" w:type="auto"/>
            <w:shd w:val="clear" w:color="auto" w:fill="C6D9F1"/>
            <w:vAlign w:val="bottom"/>
          </w:tcPr>
          <w:p w:rsidR="00A75367" w:rsidRPr="00732EB5" w:rsidRDefault="00A75367" w:rsidP="00732EB5">
            <w:pPr>
              <w:tabs>
                <w:tab w:val="left" w:pos="1148"/>
              </w:tabs>
              <w:spacing w:before="40" w:after="40"/>
              <w:jc w:val="left"/>
              <w:rPr>
                <w:rFonts w:ascii="Tahoma" w:eastAsiaTheme="minorEastAsia" w:hAnsi="Tahoma" w:cs="Tahoma"/>
                <w:b/>
                <w:bCs/>
                <w:sz w:val="18"/>
                <w:szCs w:val="18"/>
                <w:rtl/>
              </w:rPr>
            </w:pPr>
            <w:r w:rsidRPr="00732EB5">
              <w:rPr>
                <w:rFonts w:ascii="Tahoma" w:eastAsiaTheme="minorEastAsia" w:hAnsi="Tahoma" w:cs="Tahoma"/>
                <w:b/>
                <w:bCs/>
                <w:sz w:val="18"/>
                <w:szCs w:val="18"/>
                <w:rtl/>
              </w:rPr>
              <w:t>מ"ק</w:t>
            </w:r>
          </w:p>
        </w:tc>
      </w:tr>
      <w:tr w:rsidR="00A75367" w:rsidRPr="00BC57BC" w:rsidTr="00732EB5">
        <w:trPr>
          <w:jc w:val="center"/>
        </w:trPr>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 xml:space="preserve">האספקה השנתית </w:t>
            </w:r>
          </w:p>
        </w:tc>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2,211,531</w:t>
            </w:r>
          </w:p>
        </w:tc>
      </w:tr>
      <w:tr w:rsidR="00A75367" w:rsidRPr="00BC57BC" w:rsidTr="00732EB5">
        <w:trPr>
          <w:jc w:val="center"/>
        </w:trPr>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פחת המים</w:t>
            </w:r>
          </w:p>
        </w:tc>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2,089,477</w:t>
            </w:r>
          </w:p>
        </w:tc>
      </w:tr>
      <w:tr w:rsidR="00A75367" w:rsidRPr="00BC57BC" w:rsidTr="00732EB5">
        <w:trPr>
          <w:jc w:val="center"/>
        </w:trPr>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פחת המים הנורמטיבי (7% מהאספקה השנתית)</w:t>
            </w:r>
          </w:p>
        </w:tc>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(154,807)</w:t>
            </w:r>
          </w:p>
        </w:tc>
      </w:tr>
      <w:tr w:rsidR="00A75367" w:rsidRPr="00BC57BC" w:rsidTr="00732EB5">
        <w:trPr>
          <w:jc w:val="center"/>
        </w:trPr>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פחת המים העודף</w:t>
            </w:r>
          </w:p>
        </w:tc>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1,934,670</w:t>
            </w:r>
          </w:p>
        </w:tc>
      </w:tr>
      <w:tr w:rsidR="00A75367" w:rsidRPr="00BC57BC" w:rsidTr="00732EB5">
        <w:trPr>
          <w:jc w:val="center"/>
        </w:trPr>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פחת הגבייה הנורמטיבי (1.5% מפחת המים העודף)</w:t>
            </w:r>
          </w:p>
        </w:tc>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(29,020)</w:t>
            </w:r>
          </w:p>
        </w:tc>
      </w:tr>
      <w:tr w:rsidR="00A75367" w:rsidRPr="00BC57BC" w:rsidTr="00732EB5">
        <w:trPr>
          <w:jc w:val="center"/>
        </w:trPr>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כמות המים המחושבת לאומדן הנזק</w:t>
            </w:r>
          </w:p>
        </w:tc>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1,905,650</w:t>
            </w:r>
          </w:p>
        </w:tc>
      </w:tr>
    </w:tbl>
    <w:p w:rsidR="00732EB5" w:rsidRDefault="00732EB5"/>
    <w:tbl>
      <w:tblPr>
        <w:tblStyle w:val="TableGrid"/>
        <w:bidiVisual/>
        <w:tblW w:w="6804" w:type="dxa"/>
        <w:jc w:val="center"/>
        <w:tblLook w:val="04A0" w:firstRow="1" w:lastRow="0" w:firstColumn="1" w:lastColumn="0" w:noHBand="0" w:noVBand="1"/>
      </w:tblPr>
      <w:tblGrid>
        <w:gridCol w:w="5597"/>
        <w:gridCol w:w="1207"/>
      </w:tblGrid>
      <w:tr w:rsidR="00A75367" w:rsidRPr="00BC57BC" w:rsidTr="00732EB5">
        <w:trPr>
          <w:tblHeader/>
          <w:jc w:val="center"/>
        </w:trPr>
        <w:tc>
          <w:tcPr>
            <w:tcW w:w="0" w:type="auto"/>
            <w:shd w:val="clear" w:color="auto" w:fill="C6D9F1"/>
            <w:vAlign w:val="bottom"/>
          </w:tcPr>
          <w:p w:rsidR="00A75367" w:rsidRPr="00732EB5" w:rsidRDefault="00A75367" w:rsidP="00732EB5">
            <w:pPr>
              <w:keepNext/>
              <w:keepLines/>
              <w:tabs>
                <w:tab w:val="left" w:pos="1148"/>
              </w:tabs>
              <w:spacing w:before="40" w:after="40"/>
              <w:jc w:val="left"/>
              <w:rPr>
                <w:rFonts w:ascii="Tahoma" w:eastAsiaTheme="minorEastAsia" w:hAnsi="Tahoma" w:cs="Tahoma"/>
                <w:b/>
                <w:bCs/>
                <w:sz w:val="18"/>
                <w:szCs w:val="18"/>
                <w:rtl/>
              </w:rPr>
            </w:pPr>
            <w:r w:rsidRPr="00732EB5">
              <w:rPr>
                <w:rFonts w:ascii="Tahoma" w:eastAsiaTheme="minorEastAsia" w:hAnsi="Tahoma" w:cs="Tahoma"/>
                <w:b/>
                <w:bCs/>
                <w:sz w:val="18"/>
                <w:szCs w:val="18"/>
                <w:rtl/>
              </w:rPr>
              <w:lastRenderedPageBreak/>
              <w:t>הרכיב</w:t>
            </w:r>
          </w:p>
        </w:tc>
        <w:tc>
          <w:tcPr>
            <w:tcW w:w="0" w:type="auto"/>
            <w:shd w:val="clear" w:color="auto" w:fill="C6D9F1"/>
            <w:vAlign w:val="bottom"/>
          </w:tcPr>
          <w:p w:rsidR="00A75367" w:rsidRPr="00732EB5" w:rsidRDefault="00A75367" w:rsidP="00732EB5">
            <w:pPr>
              <w:keepNext/>
              <w:keepLines/>
              <w:tabs>
                <w:tab w:val="left" w:pos="1148"/>
              </w:tabs>
              <w:spacing w:before="40" w:after="40"/>
              <w:jc w:val="left"/>
              <w:rPr>
                <w:rFonts w:ascii="Tahoma" w:eastAsiaTheme="minorEastAsia" w:hAnsi="Tahoma" w:cs="Tahoma"/>
                <w:b/>
                <w:bCs/>
                <w:sz w:val="18"/>
                <w:szCs w:val="18"/>
                <w:rtl/>
              </w:rPr>
            </w:pPr>
            <w:r w:rsidRPr="00732EB5">
              <w:rPr>
                <w:rFonts w:ascii="Tahoma" w:eastAsiaTheme="minorEastAsia" w:hAnsi="Tahoma" w:cs="Tahoma"/>
                <w:b/>
                <w:bCs/>
                <w:sz w:val="18"/>
                <w:szCs w:val="18"/>
                <w:rtl/>
              </w:rPr>
              <w:t>ש"ח</w:t>
            </w:r>
          </w:p>
        </w:tc>
      </w:tr>
      <w:tr w:rsidR="00A75367" w:rsidRPr="00BC57BC" w:rsidTr="00732EB5">
        <w:trPr>
          <w:jc w:val="center"/>
        </w:trPr>
        <w:tc>
          <w:tcPr>
            <w:tcW w:w="0" w:type="auto"/>
            <w:shd w:val="clear" w:color="auto" w:fill="auto"/>
            <w:vAlign w:val="bottom"/>
          </w:tcPr>
          <w:p w:rsidR="00A75367" w:rsidRPr="00732EB5" w:rsidRDefault="00A75367" w:rsidP="00732EB5">
            <w:pPr>
              <w:keepNext/>
              <w:keepLines/>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 xml:space="preserve">מחיר המכירה הממוצע לצרכנים הביתיים (ש"ח </w:t>
            </w:r>
            <w:proofErr w:type="spellStart"/>
            <w:r w:rsidRPr="00732EB5">
              <w:rPr>
                <w:rFonts w:ascii="Tahoma" w:eastAsiaTheme="minorEastAsia" w:hAnsi="Tahoma" w:cs="Tahoma"/>
                <w:sz w:val="18"/>
                <w:szCs w:val="18"/>
                <w:rtl/>
              </w:rPr>
              <w:t>למ"ק</w:t>
            </w:r>
            <w:proofErr w:type="spellEnd"/>
            <w:r w:rsidRPr="00732EB5">
              <w:rPr>
                <w:rFonts w:ascii="Tahoma" w:eastAsiaTheme="minorEastAsia" w:hAnsi="Tahoma" w:cs="Tahoma"/>
                <w:sz w:val="18"/>
                <w:szCs w:val="18"/>
                <w:rtl/>
              </w:rPr>
              <w:t>)</w:t>
            </w:r>
          </w:p>
        </w:tc>
        <w:tc>
          <w:tcPr>
            <w:tcW w:w="0" w:type="auto"/>
            <w:shd w:val="clear" w:color="auto" w:fill="auto"/>
            <w:vAlign w:val="bottom"/>
          </w:tcPr>
          <w:p w:rsidR="00A75367" w:rsidRPr="00732EB5" w:rsidRDefault="00A75367" w:rsidP="00732EB5">
            <w:pPr>
              <w:keepNext/>
              <w:keepLines/>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9.53</w:t>
            </w:r>
          </w:p>
        </w:tc>
      </w:tr>
      <w:tr w:rsidR="00A75367" w:rsidRPr="00BC57BC" w:rsidTr="00732EB5">
        <w:trPr>
          <w:jc w:val="center"/>
        </w:trPr>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 xml:space="preserve">הנזק הכספי בעקבות החריגה מנורמת הפחת </w:t>
            </w:r>
          </w:p>
        </w:tc>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18,152,371</w:t>
            </w:r>
          </w:p>
        </w:tc>
      </w:tr>
      <w:tr w:rsidR="00A75367" w:rsidRPr="00BC57BC" w:rsidTr="00732EB5">
        <w:trPr>
          <w:jc w:val="center"/>
        </w:trPr>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 xml:space="preserve">מחיר הקנייה הממוצע לצרכנים הביתיים (ש"ח </w:t>
            </w:r>
            <w:proofErr w:type="spellStart"/>
            <w:r w:rsidRPr="00732EB5">
              <w:rPr>
                <w:rFonts w:ascii="Tahoma" w:eastAsiaTheme="minorEastAsia" w:hAnsi="Tahoma" w:cs="Tahoma"/>
                <w:sz w:val="18"/>
                <w:szCs w:val="18"/>
                <w:rtl/>
              </w:rPr>
              <w:t>למ"ק</w:t>
            </w:r>
            <w:proofErr w:type="spellEnd"/>
            <w:r w:rsidRPr="00732EB5">
              <w:rPr>
                <w:rFonts w:ascii="Tahoma" w:eastAsiaTheme="minorEastAsia" w:hAnsi="Tahoma" w:cs="Tahoma"/>
                <w:sz w:val="18"/>
                <w:szCs w:val="18"/>
                <w:rtl/>
              </w:rPr>
              <w:t>)</w:t>
            </w:r>
          </w:p>
        </w:tc>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3.96</w:t>
            </w:r>
          </w:p>
        </w:tc>
      </w:tr>
      <w:tr w:rsidR="00A75367" w:rsidRPr="00BC57BC" w:rsidTr="00732EB5">
        <w:trPr>
          <w:jc w:val="center"/>
        </w:trPr>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 xml:space="preserve">בניכוי מחיר הקנייה המופחת לפי הסכם העקרונות (ש"ח </w:t>
            </w:r>
            <w:proofErr w:type="spellStart"/>
            <w:r w:rsidRPr="00732EB5">
              <w:rPr>
                <w:rFonts w:ascii="Tahoma" w:eastAsiaTheme="minorEastAsia" w:hAnsi="Tahoma" w:cs="Tahoma"/>
                <w:sz w:val="18"/>
                <w:szCs w:val="18"/>
                <w:rtl/>
              </w:rPr>
              <w:t>למ"ק</w:t>
            </w:r>
            <w:proofErr w:type="spellEnd"/>
            <w:r w:rsidRPr="00732EB5">
              <w:rPr>
                <w:rFonts w:ascii="Tahoma" w:eastAsiaTheme="minorEastAsia" w:hAnsi="Tahoma" w:cs="Tahoma"/>
                <w:sz w:val="18"/>
                <w:szCs w:val="18"/>
                <w:rtl/>
              </w:rPr>
              <w:t>)</w:t>
            </w:r>
          </w:p>
        </w:tc>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1.06</w:t>
            </w:r>
          </w:p>
        </w:tc>
      </w:tr>
      <w:tr w:rsidR="00A75367" w:rsidRPr="00BC57BC" w:rsidTr="00732EB5">
        <w:trPr>
          <w:jc w:val="center"/>
        </w:trPr>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הפיצוי שמקבל התאגיד בקניית המים*</w:t>
            </w:r>
          </w:p>
        </w:tc>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6,067,716</w:t>
            </w:r>
          </w:p>
        </w:tc>
      </w:tr>
      <w:tr w:rsidR="00A75367" w:rsidRPr="00BC57BC" w:rsidTr="00732EB5">
        <w:trPr>
          <w:jc w:val="center"/>
        </w:trPr>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 xml:space="preserve">סה"כ הנזק הכספי לגיחון </w:t>
            </w:r>
          </w:p>
        </w:tc>
        <w:tc>
          <w:tcPr>
            <w:tcW w:w="0" w:type="auto"/>
            <w:shd w:val="clear" w:color="auto" w:fill="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12,084,656</w:t>
            </w:r>
          </w:p>
        </w:tc>
      </w:tr>
    </w:tbl>
    <w:p w:rsidR="00A75367" w:rsidRPr="00732EB5" w:rsidRDefault="00A75367" w:rsidP="00D7140E">
      <w:pPr>
        <w:spacing w:before="120"/>
        <w:jc w:val="center"/>
        <w:rPr>
          <w:rFonts w:ascii="Tahoma" w:hAnsi="Tahoma" w:cs="Tahoma"/>
          <w:sz w:val="16"/>
          <w:szCs w:val="16"/>
          <w:rtl/>
          <w:lang w:eastAsia="he-IL"/>
        </w:rPr>
      </w:pPr>
      <w:r w:rsidRPr="00732EB5">
        <w:rPr>
          <w:rFonts w:ascii="Tahoma" w:hAnsi="Tahoma" w:cs="Tahoma"/>
          <w:sz w:val="16"/>
          <w:szCs w:val="16"/>
          <w:rtl/>
          <w:lang w:eastAsia="he-IL"/>
        </w:rPr>
        <w:t>על פי נתוני הגיחון מספטמבר 2018.</w:t>
      </w:r>
    </w:p>
    <w:p w:rsidR="00A75367" w:rsidRPr="00732EB5" w:rsidRDefault="00A75367" w:rsidP="00D7140E">
      <w:pPr>
        <w:spacing w:after="120"/>
        <w:jc w:val="center"/>
        <w:rPr>
          <w:rFonts w:ascii="Tahoma" w:hAnsi="Tahoma" w:cs="Tahoma"/>
          <w:sz w:val="16"/>
          <w:szCs w:val="16"/>
          <w:rtl/>
          <w:lang w:eastAsia="he-IL"/>
        </w:rPr>
      </w:pPr>
      <w:r w:rsidRPr="00732EB5">
        <w:rPr>
          <w:rFonts w:ascii="Tahoma" w:hAnsi="Tahoma" w:cs="Tahoma"/>
          <w:sz w:val="16"/>
          <w:szCs w:val="16"/>
          <w:rtl/>
          <w:lang w:eastAsia="he-IL"/>
        </w:rPr>
        <w:t>* כחלק מהסכם העקרונות, התאגיד מקבל פיצוי בסך כ-6.1 מיליון ש"ח בשנה עבור קניית המים.</w:t>
      </w:r>
    </w:p>
    <w:p w:rsidR="00A75367" w:rsidRPr="00BC57BC" w:rsidRDefault="00A75367" w:rsidP="00A75367">
      <w:pPr>
        <w:autoSpaceDE w:val="0"/>
        <w:autoSpaceDN w:val="0"/>
        <w:adjustRightInd w:val="0"/>
        <w:spacing w:after="120"/>
        <w:rPr>
          <w:rFonts w:ascii="Tahoma" w:hAnsi="Tahoma" w:cs="Tahoma"/>
          <w:szCs w:val="20"/>
          <w:rtl/>
        </w:rPr>
      </w:pPr>
      <w:r w:rsidRPr="00BC57BC">
        <w:rPr>
          <w:rFonts w:ascii="Tahoma" w:hAnsi="Tahoma" w:cs="Tahoma"/>
          <w:szCs w:val="20"/>
          <w:rtl/>
        </w:rPr>
        <w:t xml:space="preserve">בנובמבר 2018 מסר התאגיד למשרד מבקר המדינה כי הוא פועל להגברת הגבייה בשכונות שמעבר לגדר, וכמו כן התקין בהן מדי מים והקים חמישה קווים לחיבור שכונות אלה למערכת המים של העיר. רשות המים השיבה למשרד מבקר המדינה באפריל 2019 כי התאגיד מבצע עבודה רבה ומורכבת בשטחי מזרח ירושלים. </w:t>
      </w:r>
    </w:p>
    <w:p w:rsidR="00A75367" w:rsidRPr="00BC57BC" w:rsidRDefault="00A75367" w:rsidP="00A75367">
      <w:pPr>
        <w:autoSpaceDE w:val="0"/>
        <w:autoSpaceDN w:val="0"/>
        <w:adjustRightInd w:val="0"/>
        <w:spacing w:after="120"/>
        <w:rPr>
          <w:rFonts w:ascii="Tahoma" w:hAnsi="Tahoma" w:cs="Tahoma"/>
          <w:szCs w:val="20"/>
          <w:rtl/>
        </w:rPr>
      </w:pPr>
      <w:proofErr w:type="spellStart"/>
      <w:r w:rsidRPr="00BC57BC">
        <w:rPr>
          <w:rFonts w:ascii="Tahoma" w:hAnsi="Tahoma" w:cs="Tahoma"/>
          <w:szCs w:val="20"/>
          <w:rtl/>
        </w:rPr>
        <w:t>אג"ת</w:t>
      </w:r>
      <w:proofErr w:type="spellEnd"/>
      <w:r w:rsidRPr="00BC57BC">
        <w:rPr>
          <w:rFonts w:ascii="Tahoma" w:hAnsi="Tahoma" w:cs="Tahoma"/>
          <w:szCs w:val="20"/>
          <w:rtl/>
        </w:rPr>
        <w:t xml:space="preserve"> השיב למשרד מבקר המדינה באפריל 2019 כי מדובר בהסכם ראשון שנעשה בנושא זה, ושהוא נחתם לתקופה מוגבלת כדי לתת מענה לבעיה שנוצרה לתאגיד הגיחון באזור זה ובמטרה לבחון כיצד נכון יהיה להתמודד עמו לעתיד לבוא ובאופן בר-קיימה. התפיסה הייתה כי בטווח הארוך אספקת השירותים תתייעל באופן שיאפשר לצמצם או לבטל את הסיוע התקציבי. </w:t>
      </w:r>
    </w:p>
    <w:p w:rsidR="00A75367" w:rsidRPr="00BC57BC" w:rsidRDefault="00A75367" w:rsidP="00A75367">
      <w:pPr>
        <w:autoSpaceDE w:val="0"/>
        <w:autoSpaceDN w:val="0"/>
        <w:adjustRightInd w:val="0"/>
        <w:spacing w:after="120"/>
        <w:rPr>
          <w:rFonts w:ascii="Tahoma" w:hAnsi="Tahoma" w:cs="Tahoma"/>
          <w:szCs w:val="20"/>
          <w:rtl/>
        </w:rPr>
      </w:pPr>
      <w:r w:rsidRPr="00BC57BC">
        <w:rPr>
          <w:rFonts w:ascii="Tahoma" w:hAnsi="Tahoma" w:cs="Tahoma"/>
          <w:szCs w:val="20"/>
          <w:rtl/>
        </w:rPr>
        <w:t xml:space="preserve">רשות המים השיבה למשרד מבקר המדינה באפריל 2019 כי היא פועלת מזה שנים ארוכות, בשיתוף עם הגורמים הממשלתיים הרלוונטיים, כדי לטפל בבעיות אספקת המים ופחת הגבייה והמים במזרח ירושלים, וכי היא כתבה </w:t>
      </w:r>
      <w:proofErr w:type="spellStart"/>
      <w:r w:rsidRPr="00BC57BC">
        <w:rPr>
          <w:rFonts w:ascii="Tahoma" w:hAnsi="Tahoma" w:cs="Tahoma"/>
          <w:szCs w:val="20"/>
          <w:rtl/>
        </w:rPr>
        <w:t>לאג"ת</w:t>
      </w:r>
      <w:proofErr w:type="spellEnd"/>
      <w:r w:rsidRPr="00BC57BC">
        <w:rPr>
          <w:rFonts w:ascii="Tahoma" w:hAnsi="Tahoma" w:cs="Tahoma"/>
          <w:szCs w:val="20"/>
          <w:rtl/>
        </w:rPr>
        <w:t xml:space="preserve"> ביוני 2018 שלקראת שנת 2019 יידרש לפתוח את הסכם העקרונות עם תאגיד הגיחון ויהיה צורך לשפות את התאגיד בהיקפים גדולים יותר עבור אספקת המים בעקבות הקמת חמשת קווי המים לחיבור השכונות שמעבר לגדר ההפרדה (ראו לעיל). עוד הוסיפה רשות המים שפנייתה לא נענתה. </w:t>
      </w:r>
      <w:proofErr w:type="spellStart"/>
      <w:r w:rsidRPr="00BC57BC">
        <w:rPr>
          <w:rFonts w:ascii="Tahoma" w:hAnsi="Tahoma" w:cs="Tahoma"/>
          <w:szCs w:val="20"/>
          <w:rtl/>
        </w:rPr>
        <w:t>אג"ת</w:t>
      </w:r>
      <w:proofErr w:type="spellEnd"/>
      <w:r w:rsidRPr="00BC57BC">
        <w:rPr>
          <w:rFonts w:ascii="Tahoma" w:hAnsi="Tahoma" w:cs="Tahoma"/>
          <w:szCs w:val="20"/>
          <w:rtl/>
        </w:rPr>
        <w:t xml:space="preserve"> השיב למשרד מבקר המדינה באותו חודש כי דרך המלך לפתרון בעיות מעין אלה היא להיפגש לפגישות עבודה ושיח משותף, ואם רשות המים סבורה שיש לפתוח את הסכם העקרונות, </w:t>
      </w:r>
      <w:proofErr w:type="spellStart"/>
      <w:r w:rsidRPr="00BC57BC">
        <w:rPr>
          <w:rFonts w:ascii="Tahoma" w:hAnsi="Tahoma" w:cs="Tahoma"/>
          <w:szCs w:val="20"/>
          <w:rtl/>
        </w:rPr>
        <w:t>אג"ת</w:t>
      </w:r>
      <w:proofErr w:type="spellEnd"/>
      <w:r w:rsidRPr="00BC57BC">
        <w:rPr>
          <w:rFonts w:ascii="Tahoma" w:hAnsi="Tahoma" w:cs="Tahoma"/>
          <w:szCs w:val="20"/>
          <w:rtl/>
        </w:rPr>
        <w:t xml:space="preserve"> נכון לבחון את הסוגיה מחדש, על רקע חלוף הזמן.</w:t>
      </w:r>
    </w:p>
    <w:p w:rsidR="00A75367" w:rsidRPr="00BC57BC" w:rsidRDefault="00A75367" w:rsidP="00A75367">
      <w:pPr>
        <w:autoSpaceDE w:val="0"/>
        <w:autoSpaceDN w:val="0"/>
        <w:adjustRightInd w:val="0"/>
        <w:spacing w:after="120"/>
        <w:rPr>
          <w:rFonts w:ascii="Tahoma" w:hAnsi="Tahoma" w:cs="Tahoma"/>
          <w:szCs w:val="20"/>
          <w:rtl/>
        </w:rPr>
      </w:pPr>
      <w:r w:rsidRPr="00BC57BC">
        <w:rPr>
          <w:rFonts w:ascii="Tahoma" w:hAnsi="Tahoma" w:cs="Tahoma"/>
          <w:szCs w:val="20"/>
          <w:rtl/>
        </w:rPr>
        <w:t>רשות המים השיבה למשרד מבקר המדינה בדצמבר 2019 כי, על אף מאמצים רבים שנעשו, לא חלה התקדמות של ממש במתן מענה רוחבי, אשר יאפשר בין היתר, פעילות להנחת תשתית מסודרת במזרח ירושלים, צמצום פחת המים, העלאת הגבייה של דמי מים. בהעדר פתרון רוחבי, רשות המים ממשיכה לקדם פתרונות ביניים בשכונות שמעבר לגדר ההפרדה, בין היתר, הונחו תשתיות מים וביוב מרכזיות בשכונות שמעבר לגדר ההפרדה ונעשית עבודה לשיפור האספקה, ולרישום צרכנים נוספים כצרכנים של הגיחון. רשות המים הוסיפה כי היא סבורה שמדובר בבעיה מדינית שההיבטים שלה חורגים אל מעבר לתחומי הפעילות שהיא יכולה לקדם. וכי ראוי שהנושא יימצא את פתרונו שלא במסגרת תעריפי המים.</w:t>
      </w:r>
    </w:p>
    <w:p w:rsidR="00A75367" w:rsidRPr="00BC57BC" w:rsidRDefault="00A75367" w:rsidP="00732EB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Cs w:val="20"/>
          <w:rtl/>
        </w:rPr>
      </w:pPr>
      <w:r w:rsidRPr="00BC57BC">
        <w:rPr>
          <w:rFonts w:ascii="Tahoma" w:hAnsi="Tahoma" w:cs="Tahoma"/>
          <w:b w:val="0"/>
          <w:bCs w:val="0"/>
          <w:szCs w:val="20"/>
          <w:rtl/>
        </w:rPr>
        <w:lastRenderedPageBreak/>
        <w:t>הסכם העקרונות נקבע לארבע שנים, עד שנת 2020. משרד מבקר המדינה מעיר לרשות המים, למשרד האוצר ולתאגיד כי</w:t>
      </w:r>
      <w:r w:rsidRPr="00BC57BC">
        <w:rPr>
          <w:rFonts w:ascii="Tahoma" w:hAnsi="Tahoma" w:cs="Tahoma"/>
          <w:sz w:val="16"/>
          <w:szCs w:val="20"/>
          <w:rtl/>
        </w:rPr>
        <w:t xml:space="preserve"> </w:t>
      </w:r>
      <w:r w:rsidRPr="00BC57BC">
        <w:rPr>
          <w:rFonts w:ascii="Tahoma" w:hAnsi="Tahoma" w:cs="Tahoma"/>
          <w:b w:val="0"/>
          <w:bCs w:val="0"/>
          <w:sz w:val="16"/>
          <w:szCs w:val="20"/>
          <w:rtl/>
        </w:rPr>
        <w:t>נוכח הקשיים הייחודים בגבייה ובפחת המים בשכונות במזרח ירושלים,</w:t>
      </w:r>
      <w:r w:rsidRPr="00BC57BC">
        <w:rPr>
          <w:rFonts w:ascii="Tahoma" w:hAnsi="Tahoma" w:cs="Tahoma"/>
          <w:b w:val="0"/>
          <w:bCs w:val="0"/>
          <w:szCs w:val="20"/>
          <w:rtl/>
        </w:rPr>
        <w:t xml:space="preserve"> עליהם למצוא פתרון ארוך טווח לסוגיות פחת המים, פחת הגבייה וההשקעות הנדרשות לפיתוח מערכות המים והביוב במזרח ירושלים, ובכלל זה בשכונות שמעבר לגדר ההפרדה, וכדי לפתור את הסוגיה ולקבל החלטות בעניין נדרש לקיים שיח רציף בנושא בין כלל הגורמים (לרבות הגורמים הביטחוניים ועיריית ירושלים), להגדיר צעדים מעשיים ולקבוע לוחות זמנים לביצועם. </w:t>
      </w:r>
    </w:p>
    <w:p w:rsidR="00A75367" w:rsidRPr="00BC57BC" w:rsidRDefault="00A75367" w:rsidP="00732EB5">
      <w:pPr>
        <w:pStyle w:val="21"/>
        <w:rPr>
          <w:rtl/>
        </w:rPr>
      </w:pPr>
      <w:bookmarkStart w:id="18" w:name="_Toc17268276"/>
      <w:bookmarkStart w:id="19" w:name="_Toc32167113"/>
      <w:r w:rsidRPr="00BC57BC">
        <w:rPr>
          <w:rtl/>
        </w:rPr>
        <w:t>הוצאות שכר וכוננות</w:t>
      </w:r>
      <w:bookmarkEnd w:id="18"/>
      <w:bookmarkEnd w:id="19"/>
    </w:p>
    <w:p w:rsidR="00A75367" w:rsidRPr="00BC57BC" w:rsidRDefault="00A75367" w:rsidP="00A75367">
      <w:pPr>
        <w:autoSpaceDE w:val="0"/>
        <w:autoSpaceDN w:val="0"/>
        <w:adjustRightInd w:val="0"/>
        <w:spacing w:after="120"/>
        <w:rPr>
          <w:rFonts w:ascii="Tahoma" w:hAnsi="Tahoma" w:cs="Tahoma"/>
          <w:sz w:val="16"/>
          <w:szCs w:val="20"/>
          <w:rtl/>
        </w:rPr>
      </w:pPr>
      <w:r w:rsidRPr="00BC57BC">
        <w:rPr>
          <w:rFonts w:ascii="Tahoma" w:hAnsi="Tahoma" w:cs="Tahoma"/>
          <w:sz w:val="16"/>
          <w:szCs w:val="20"/>
          <w:rtl/>
        </w:rPr>
        <w:t>בתחילת 2018 היה תקן העובדים בגיחון 226</w:t>
      </w:r>
      <w:r w:rsidRPr="00BC57BC">
        <w:rPr>
          <w:rStyle w:val="FootnoteReference"/>
          <w:rFonts w:ascii="Tahoma" w:hAnsi="Tahoma" w:cs="Tahoma"/>
          <w:sz w:val="16"/>
          <w:szCs w:val="20"/>
          <w:rtl/>
        </w:rPr>
        <w:footnoteReference w:id="22"/>
      </w:r>
      <w:r w:rsidRPr="00BC57BC">
        <w:rPr>
          <w:rFonts w:ascii="Tahoma" w:hAnsi="Tahoma" w:cs="Tahoma"/>
          <w:sz w:val="16"/>
          <w:szCs w:val="20"/>
          <w:rtl/>
        </w:rPr>
        <w:t>, ואילו מספר העובדים בפועל 238. 131 מהעובדים הועסקו לפי הסכם קיבוצי, ובכללם 51 עובדים שהושאלו מעיריית ירושלים; 95 עבדו לפי חוזה אישי ו-12 עבדו בשכר שעתי</w:t>
      </w:r>
      <w:r w:rsidRPr="00BC57BC">
        <w:rPr>
          <w:rStyle w:val="FootnoteReference"/>
          <w:rFonts w:ascii="Tahoma" w:hAnsi="Tahoma" w:cs="Tahoma"/>
          <w:sz w:val="16"/>
          <w:szCs w:val="20"/>
          <w:rtl/>
        </w:rPr>
        <w:footnoteReference w:id="23"/>
      </w:r>
      <w:r w:rsidRPr="00BC57BC">
        <w:rPr>
          <w:rFonts w:ascii="Tahoma" w:hAnsi="Tahoma" w:cs="Tahoma"/>
          <w:sz w:val="16"/>
          <w:szCs w:val="20"/>
          <w:rtl/>
        </w:rPr>
        <w:t>. 17 מהעובדים נמנו עם הדרג הבכיר. מדוחותיו הכספיים של התאגיד לסוף שנת 2017 עולה כי הוצאות השכר היו כ-58 מיליון ש"ח.</w:t>
      </w:r>
    </w:p>
    <w:p w:rsidR="00A75367" w:rsidRPr="00BC57BC" w:rsidRDefault="00A75367" w:rsidP="00732EB5">
      <w:pPr>
        <w:pStyle w:val="ListParagraph"/>
        <w:numPr>
          <w:ilvl w:val="0"/>
          <w:numId w:val="8"/>
        </w:numPr>
        <w:spacing w:after="120"/>
        <w:ind w:left="397" w:hanging="397"/>
        <w:contextualSpacing w:val="0"/>
        <w:rPr>
          <w:rFonts w:ascii="Tahoma" w:hAnsi="Tahoma" w:cs="Tahoma"/>
          <w:szCs w:val="20"/>
          <w:rtl/>
        </w:rPr>
      </w:pPr>
      <w:r w:rsidRPr="00BC57BC">
        <w:rPr>
          <w:rFonts w:ascii="Tahoma" w:hAnsi="Tahoma" w:cs="Tahoma"/>
          <w:sz w:val="16"/>
          <w:szCs w:val="20"/>
          <w:rtl/>
        </w:rPr>
        <w:t>בעת הקמת התאגיד בדצמבר 1996, נחתם הסכם, בין היתר, בינו לבין עיריית ירושלים, ובמרץ 1998 נחתם בינם הסכם נוסף. בהסכמים אלו נקבע כי העובדים שהועסקו באגף משק המים והביוב בעיריית ירושלים, לפי הפירוט בנספח שצורף להסכם, יעברו לעבוד בתאגיד "בהשאלה", ובתנאים כמפורט בהסכם, וכי תקופת ההשאלה תחל בינואר 1998 ותימשך 10 - 12 שנים (תלוי בגיל העובד). כמו כן הוסכם כי לאחר תקופת ההשאלה ייחתם הסכם קיבוצי בין עובדים אלה לבין התאגיד ויוסדרו בו תנאי שכרם.</w:t>
      </w:r>
      <w:r w:rsidRPr="00BC57BC">
        <w:rPr>
          <w:rFonts w:ascii="Tahoma" w:hAnsi="Tahoma" w:cs="Tahoma"/>
          <w:szCs w:val="20"/>
          <w:rtl/>
        </w:rPr>
        <w:t xml:space="preserve"> </w:t>
      </w:r>
    </w:p>
    <w:p w:rsidR="00A75367" w:rsidRPr="00BC57BC" w:rsidRDefault="00A75367" w:rsidP="00732EB5">
      <w:pPr>
        <w:pStyle w:val="BodyTextIndent"/>
        <w:rPr>
          <w:rtl/>
        </w:rPr>
      </w:pPr>
      <w:r w:rsidRPr="00BC57BC">
        <w:rPr>
          <w:rtl/>
        </w:rPr>
        <w:t xml:space="preserve">במאי 2012 נחתם הסכם קיבוצי מיוחד בין היתר בין התאגיד לוועד עובדיו, ונקבע בו כי הוא יחול על העובדים המושאלים, על העובדים החדשים ועל העובדים אשר יתקבלו לעבודה לאחר מועד חתימת ההסכם. ההסכם, שאושר על ידי הממונה על השכר באוצר, לא חל על עובדים שהועסקו בעת חתימתו בחוזה אישי ולא על עובדים שגויסו לאחר מועד חתימתו והועסקו בחוזה אישי. עוד נקבע בו כי "כל ההסכמים, ההסדרים, הנהגים, המנהגים והנהלים שבעיריית ירושלים החלים על העובדים המועסקים באגף התברואה בעירייה... יחולו על העובדים עליהם חל הסכם קיבוצי זה... ועל כל העובדים שייקלטו בחברה בעתיד, ועליהם יחול הסכם קיבוצי זה". </w:t>
      </w:r>
    </w:p>
    <w:p w:rsidR="00A75367" w:rsidRPr="00BC57BC" w:rsidRDefault="00A75367" w:rsidP="00732EB5">
      <w:pPr>
        <w:pStyle w:val="BodyTextIndent2"/>
        <w:rPr>
          <w:rtl/>
        </w:rPr>
      </w:pPr>
      <w:r w:rsidRPr="00BC57BC">
        <w:rPr>
          <w:rtl/>
        </w:rPr>
        <w:t xml:space="preserve">בפברואר 2019 מסרה רשות המים למשרד מבקר המדינה בנוגע לעובדים המושאלים כי "התאגיד קיבל מהעירייה כמות נכבדה של עובדים שעלותם גבוהה מהעלות הנורמטיבית להעסקת עובדים ומעל לעלויות המקובלות". </w:t>
      </w:r>
    </w:p>
    <w:p w:rsidR="00A75367" w:rsidRPr="00BC57BC" w:rsidRDefault="00A75367" w:rsidP="00732EB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Pr>
      </w:pPr>
      <w:r w:rsidRPr="00BC57BC">
        <w:rPr>
          <w:rFonts w:ascii="Tahoma" w:hAnsi="Tahoma" w:cs="Tahoma"/>
          <w:b w:val="0"/>
          <w:bCs w:val="0"/>
          <w:sz w:val="16"/>
          <w:szCs w:val="20"/>
          <w:rtl/>
        </w:rPr>
        <w:lastRenderedPageBreak/>
        <w:t xml:space="preserve">משרד מבקר המדינה מעיר לרשות המים כי בהיות הגיחון מחויב להסכמים עם העובדים המושאלים, עליה למצוא יחד עם התאגיד פתרון למימון הוצאות בגין שכר העובדים המושאלים, כך שהפער בין עלות העסקתם לעלות הנורמטיבית יצטמצם, ועלותם העודפת לא תהיה נטל על התאגיד והתאגיד יוכל להשקיע את הכסף הזה בתשתיות לרווחת הצרכנים. </w:t>
      </w:r>
    </w:p>
    <w:p w:rsidR="00A75367" w:rsidRPr="00BC57BC" w:rsidRDefault="00A75367" w:rsidP="00732EB5">
      <w:pPr>
        <w:pStyle w:val="ListParagraph"/>
        <w:numPr>
          <w:ilvl w:val="0"/>
          <w:numId w:val="8"/>
        </w:numPr>
        <w:autoSpaceDE w:val="0"/>
        <w:autoSpaceDN w:val="0"/>
        <w:adjustRightInd w:val="0"/>
        <w:spacing w:after="120"/>
        <w:ind w:left="397" w:hanging="397"/>
        <w:contextualSpacing w:val="0"/>
        <w:rPr>
          <w:rFonts w:ascii="Tahoma" w:hAnsi="Tahoma" w:cs="Tahoma"/>
          <w:szCs w:val="20"/>
          <w:rtl/>
        </w:rPr>
      </w:pPr>
      <w:r w:rsidRPr="00BC57BC">
        <w:rPr>
          <w:rFonts w:ascii="Tahoma" w:hAnsi="Tahoma" w:cs="Tahoma"/>
          <w:szCs w:val="20"/>
          <w:rtl/>
        </w:rPr>
        <w:t>בהסכם הקיבוצי נקבע כי העובדים שההסכם חל עליהם יעבדו כאמור לפי אותם התנאים של עובדי התברואה בעיריית ירושלים, ובכלל זה נוהל תוספת כוננות וקריאת פתע. נוסף על כך, בתאגיד יש נוהל "עבודה בשעות נוספות וכוננויות", ולפי הנוהל, במסגרת המטלות החלות על התאגיד, אמונים עובדי החברה לתת מענה לצורכי לקוחות התאגיד בכל שעות היממה. הנהלת התאגיד קבעה בנוהל "מכסת שעות כוננות אזורית/מחלקתית בהתאם למטלות והיעדים שעל העובדים לבצע גם בשעות לא שגרתיות". עוד נקבע בנוהל כי קריאות פתע במסגרת שעות הכוננות של העובד יקוזזו ממכסת הכוננות שלו, וחלף זאת ישולמו כשעות נוספות.</w:t>
      </w:r>
    </w:p>
    <w:p w:rsidR="00A75367" w:rsidRPr="00BC57BC" w:rsidRDefault="00A75367" w:rsidP="00732EB5">
      <w:pPr>
        <w:autoSpaceDE w:val="0"/>
        <w:autoSpaceDN w:val="0"/>
        <w:adjustRightInd w:val="0"/>
        <w:spacing w:after="120"/>
        <w:ind w:left="397"/>
        <w:rPr>
          <w:rFonts w:ascii="Tahoma" w:hAnsi="Tahoma" w:cs="Tahoma"/>
          <w:szCs w:val="20"/>
          <w:rtl/>
        </w:rPr>
      </w:pPr>
      <w:r w:rsidRPr="00BC57BC">
        <w:rPr>
          <w:rFonts w:ascii="Tahoma" w:hAnsi="Tahoma" w:cs="Tahoma"/>
          <w:szCs w:val="20"/>
          <w:rtl/>
        </w:rPr>
        <w:t xml:space="preserve">בנוהל האמור נכתב כי "במסגרת צעדי התייעלות בחברה, החליטה הנהלת החברה, כי על מנת לחסוך בעלויות כוח אדם ובצמצום מספר העובדים, עובדים אשר </w:t>
      </w:r>
      <w:proofErr w:type="spellStart"/>
      <w:r w:rsidRPr="00BC57BC">
        <w:rPr>
          <w:rFonts w:ascii="Tahoma" w:hAnsi="Tahoma" w:cs="Tahoma"/>
          <w:szCs w:val="20"/>
          <w:rtl/>
        </w:rPr>
        <w:t>יקחו</w:t>
      </w:r>
      <w:proofErr w:type="spellEnd"/>
      <w:r w:rsidRPr="00BC57BC">
        <w:rPr>
          <w:rFonts w:ascii="Tahoma" w:hAnsi="Tahoma" w:cs="Tahoma"/>
          <w:szCs w:val="20"/>
          <w:rtl/>
        </w:rPr>
        <w:t xml:space="preserve"> על עצמם את תפקידם של אותם עובדים אשר פרשו, יתוגמלו בסך של 60 שעות כוננות וזאת במקום לקלוט עובד נוסף במקום העובד שפרש". </w:t>
      </w:r>
    </w:p>
    <w:p w:rsidR="00A75367" w:rsidRPr="00BC57BC" w:rsidRDefault="00A75367" w:rsidP="00732EB5">
      <w:pPr>
        <w:autoSpaceDE w:val="0"/>
        <w:autoSpaceDN w:val="0"/>
        <w:adjustRightInd w:val="0"/>
        <w:spacing w:after="120"/>
        <w:ind w:left="397"/>
        <w:rPr>
          <w:rFonts w:ascii="Tahoma" w:hAnsi="Tahoma" w:cs="Tahoma"/>
          <w:szCs w:val="20"/>
          <w:rtl/>
        </w:rPr>
      </w:pPr>
      <w:r w:rsidRPr="00BC57BC">
        <w:rPr>
          <w:rFonts w:ascii="Tahoma" w:hAnsi="Tahoma" w:cs="Tahoma"/>
          <w:szCs w:val="20"/>
          <w:rtl/>
        </w:rPr>
        <w:t>הגיחון השיב למשרד מבקר המדינה באפריל 2019 כי העובדים שהסעיף הזה בנוהל מתייחס אליהם הם עובדים מדרג הביניים ומן הדרג הזוטר, וכי התשלום בגין כוננותם מתבצע בגין "דיווח וביצוע בפועל"</w:t>
      </w:r>
      <w:r w:rsidRPr="00BC57BC">
        <w:rPr>
          <w:rStyle w:val="FootnoteReference"/>
          <w:rFonts w:ascii="Tahoma" w:hAnsi="Tahoma" w:cs="Tahoma"/>
          <w:szCs w:val="20"/>
          <w:rtl/>
        </w:rPr>
        <w:footnoteReference w:id="24"/>
      </w:r>
      <w:r w:rsidRPr="00BC57BC">
        <w:rPr>
          <w:rFonts w:ascii="Tahoma" w:hAnsi="Tahoma" w:cs="Tahoma"/>
          <w:szCs w:val="20"/>
          <w:rtl/>
        </w:rPr>
        <w:t>; התאגיד הוסיף כי ההחלטה שלא לגייס עובדים חדשים ולהעמיס את מלאכותיהם על העובדים הקיימים "חוסכת בהכרח דמים רבים".</w:t>
      </w:r>
    </w:p>
    <w:p w:rsidR="00A75367" w:rsidRPr="00BC57BC" w:rsidRDefault="00A75367" w:rsidP="00732EB5">
      <w:pPr>
        <w:autoSpaceDE w:val="0"/>
        <w:autoSpaceDN w:val="0"/>
        <w:adjustRightInd w:val="0"/>
        <w:spacing w:after="120"/>
        <w:ind w:left="397"/>
        <w:rPr>
          <w:rFonts w:ascii="Tahoma" w:hAnsi="Tahoma" w:cs="Tahoma"/>
          <w:szCs w:val="20"/>
          <w:rtl/>
        </w:rPr>
      </w:pPr>
      <w:r w:rsidRPr="00BC57BC">
        <w:rPr>
          <w:rFonts w:ascii="Tahoma" w:hAnsi="Tahoma" w:cs="Tahoma"/>
          <w:szCs w:val="20"/>
          <w:rtl/>
        </w:rPr>
        <w:t>הממונה על השכר השיב למשרד מבקר המדינה באפריל 2019 כי הוא לא אישר תגמול של 60 שעות כוננות לעובד חלף אי איוש משרות עובדים שפרשו, וכי הוא יבדוק את הנושא.</w:t>
      </w:r>
    </w:p>
    <w:p w:rsidR="00A75367" w:rsidRPr="00BC57BC" w:rsidRDefault="00A75367" w:rsidP="00732EB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Cs w:val="20"/>
          <w:rtl/>
        </w:rPr>
      </w:pPr>
      <w:r w:rsidRPr="00BC57BC">
        <w:rPr>
          <w:rFonts w:ascii="Tahoma" w:hAnsi="Tahoma" w:cs="Tahoma"/>
          <w:b w:val="0"/>
          <w:bCs w:val="0"/>
          <w:szCs w:val="20"/>
          <w:rtl/>
        </w:rPr>
        <w:t xml:space="preserve">משרד מבקר המדינה מציין לטובה את ניסיונו של התאגיד לנקוט צעדי התייעלות ואת כוונתו לחסוך בעלויות כוח אדם ובצמצום מספר העובדים, אולם משרד מבקר המדינה מעיר כי דרך המלך לתגמול עובדים הנוטלים על עצמם תפקיד של עובדים אחרים היא באמצעות רכיב שכר המותאם למשימות הנוספות שהם לוקחים על עצמם, ולא בדרך של </w:t>
      </w:r>
      <w:proofErr w:type="spellStart"/>
      <w:r w:rsidRPr="00BC57BC">
        <w:rPr>
          <w:rFonts w:ascii="Tahoma" w:hAnsi="Tahoma" w:cs="Tahoma"/>
          <w:b w:val="0"/>
          <w:bCs w:val="0"/>
          <w:szCs w:val="20"/>
          <w:rtl/>
        </w:rPr>
        <w:t>תמרוץ</w:t>
      </w:r>
      <w:proofErr w:type="spellEnd"/>
      <w:r w:rsidRPr="00BC57BC">
        <w:rPr>
          <w:rFonts w:ascii="Tahoma" w:hAnsi="Tahoma" w:cs="Tahoma"/>
          <w:b w:val="0"/>
          <w:bCs w:val="0"/>
          <w:szCs w:val="20"/>
          <w:rtl/>
        </w:rPr>
        <w:t xml:space="preserve"> על ידי מנגנון שעות כוננות כפי שנקבע בנוהל</w:t>
      </w:r>
      <w:r w:rsidRPr="00BC57BC">
        <w:rPr>
          <w:rStyle w:val="FootnoteReference"/>
          <w:rFonts w:ascii="Tahoma" w:hAnsi="Tahoma" w:cs="Tahoma"/>
          <w:b w:val="0"/>
          <w:bCs w:val="0"/>
          <w:szCs w:val="20"/>
          <w:rtl/>
        </w:rPr>
        <w:footnoteReference w:id="25"/>
      </w:r>
      <w:r w:rsidRPr="00BC57BC">
        <w:rPr>
          <w:rFonts w:ascii="Tahoma" w:hAnsi="Tahoma" w:cs="Tahoma"/>
          <w:b w:val="0"/>
          <w:bCs w:val="0"/>
          <w:szCs w:val="20"/>
          <w:rtl/>
        </w:rPr>
        <w:t>.</w:t>
      </w:r>
    </w:p>
    <w:p w:rsidR="00A75367" w:rsidRPr="00BC57BC" w:rsidRDefault="00A75367" w:rsidP="00732EB5">
      <w:pPr>
        <w:pStyle w:val="ListParagraph"/>
        <w:numPr>
          <w:ilvl w:val="0"/>
          <w:numId w:val="8"/>
        </w:numPr>
        <w:autoSpaceDE w:val="0"/>
        <w:autoSpaceDN w:val="0"/>
        <w:adjustRightInd w:val="0"/>
        <w:spacing w:after="120"/>
        <w:ind w:left="397" w:hanging="397"/>
        <w:contextualSpacing w:val="0"/>
        <w:rPr>
          <w:rFonts w:ascii="Tahoma" w:hAnsi="Tahoma" w:cs="Tahoma"/>
          <w:szCs w:val="20"/>
        </w:rPr>
      </w:pPr>
      <w:r w:rsidRPr="00BC57BC">
        <w:rPr>
          <w:rFonts w:ascii="Tahoma" w:hAnsi="Tahoma" w:cs="Tahoma"/>
          <w:szCs w:val="20"/>
          <w:rtl/>
        </w:rPr>
        <w:t xml:space="preserve">בבדיקת משרד מבקר המדינה בעניין שעות הכוננות שהקצה התאגיד בשנת 2017 ל-83 עובדים במחלקות "אחזקה והפעלה ביוב", "אחזקה והפעלה מים", "הנהלה מים" ו"הנהלה ביוב", (להלן - עובדי קבוצה א') נמצא כי מתוך 123,493 שעות כוננות לשנה שאושרו </w:t>
      </w:r>
      <w:r w:rsidRPr="00BC57BC">
        <w:rPr>
          <w:rFonts w:ascii="Tahoma" w:hAnsi="Tahoma" w:cs="Tahoma"/>
          <w:szCs w:val="20"/>
          <w:rtl/>
        </w:rPr>
        <w:lastRenderedPageBreak/>
        <w:t>מראש לעובדים אלה</w:t>
      </w:r>
      <w:r w:rsidRPr="00BC57BC">
        <w:rPr>
          <w:rStyle w:val="FootnoteReference"/>
          <w:rFonts w:ascii="Tahoma" w:hAnsi="Tahoma" w:cs="Tahoma"/>
          <w:szCs w:val="20"/>
          <w:rtl/>
        </w:rPr>
        <w:footnoteReference w:id="26"/>
      </w:r>
      <w:r w:rsidRPr="00BC57BC">
        <w:rPr>
          <w:rFonts w:ascii="Tahoma" w:hAnsi="Tahoma" w:cs="Tahoma"/>
          <w:szCs w:val="20"/>
          <w:rtl/>
        </w:rPr>
        <w:t xml:space="preserve"> נוצלו בפועל רק 12,900 שעות להזעקת כוננים לעבודה - היינו רק כ-10.4% מסך שעות הכוננות ששולמו להם</w:t>
      </w:r>
      <w:r w:rsidRPr="00BC57BC">
        <w:rPr>
          <w:rStyle w:val="FootnoteReference"/>
          <w:rFonts w:ascii="Tahoma" w:hAnsi="Tahoma" w:cs="Tahoma"/>
          <w:szCs w:val="20"/>
          <w:rtl/>
        </w:rPr>
        <w:footnoteReference w:id="27"/>
      </w:r>
      <w:r w:rsidRPr="00BC57BC">
        <w:rPr>
          <w:rFonts w:ascii="Tahoma" w:hAnsi="Tahoma" w:cs="Tahoma"/>
          <w:szCs w:val="20"/>
          <w:rtl/>
        </w:rPr>
        <w:t xml:space="preserve">. </w:t>
      </w:r>
    </w:p>
    <w:p w:rsidR="00A75367" w:rsidRPr="00BC57BC" w:rsidRDefault="00A75367" w:rsidP="00732EB5">
      <w:pPr>
        <w:autoSpaceDE w:val="0"/>
        <w:autoSpaceDN w:val="0"/>
        <w:adjustRightInd w:val="0"/>
        <w:spacing w:after="120"/>
        <w:ind w:left="397"/>
        <w:rPr>
          <w:rFonts w:ascii="Tahoma" w:hAnsi="Tahoma" w:cs="Tahoma"/>
          <w:szCs w:val="20"/>
          <w:rtl/>
        </w:rPr>
      </w:pPr>
      <w:r w:rsidRPr="00BC57BC">
        <w:rPr>
          <w:rFonts w:ascii="Tahoma" w:hAnsi="Tahoma" w:cs="Tahoma"/>
          <w:szCs w:val="20"/>
          <w:rtl/>
        </w:rPr>
        <w:t>עוד העלה משרד מבקר המדינה כי ל-47 עובדים, שהגיחון הקצה להם בחודשים מסוימים במהלך שנת 2017 כ-22,600 שעות כוננות, שולמו בפועל באותם חודשים כ-24,900 שעות - כ-10% יותר מההקצאה</w:t>
      </w:r>
      <w:r w:rsidRPr="00BC57BC">
        <w:rPr>
          <w:rStyle w:val="FootnoteReference"/>
          <w:rFonts w:ascii="Tahoma" w:hAnsi="Tahoma" w:cs="Tahoma"/>
          <w:szCs w:val="20"/>
          <w:rtl/>
        </w:rPr>
        <w:footnoteReference w:id="28"/>
      </w:r>
      <w:r w:rsidRPr="00BC57BC">
        <w:rPr>
          <w:rFonts w:ascii="Tahoma" w:hAnsi="Tahoma" w:cs="Tahoma"/>
          <w:szCs w:val="20"/>
          <w:rtl/>
        </w:rPr>
        <w:t>.</w:t>
      </w:r>
    </w:p>
    <w:p w:rsidR="00A75367" w:rsidRPr="00BC57BC" w:rsidRDefault="00A75367" w:rsidP="00732EB5">
      <w:pPr>
        <w:autoSpaceDE w:val="0"/>
        <w:autoSpaceDN w:val="0"/>
        <w:adjustRightInd w:val="0"/>
        <w:spacing w:after="120"/>
        <w:ind w:left="397"/>
        <w:rPr>
          <w:rFonts w:ascii="Tahoma" w:hAnsi="Tahoma" w:cs="Tahoma"/>
          <w:szCs w:val="20"/>
          <w:rtl/>
        </w:rPr>
      </w:pPr>
      <w:r w:rsidRPr="00BC57BC">
        <w:rPr>
          <w:rFonts w:ascii="Tahoma" w:hAnsi="Tahoma" w:cs="Tahoma"/>
          <w:szCs w:val="20"/>
          <w:rtl/>
        </w:rPr>
        <w:t>משרד מבקר המדינה השווה את מספר שעות הכוננות שעבורן קיבלו עובדי קבוצה א' תשלום בשנת 2018 לעומת מספר שעות הכוננות עבורן קיבלו תשלום בשנת 2017 כמתואר בלוח להלן:</w:t>
      </w:r>
    </w:p>
    <w:p w:rsidR="00A75367" w:rsidRPr="00BC57BC" w:rsidRDefault="00A75367" w:rsidP="00732EB5">
      <w:pPr>
        <w:pStyle w:val="a1"/>
        <w:rPr>
          <w:rtl/>
        </w:rPr>
      </w:pPr>
      <w:r w:rsidRPr="00732EB5">
        <w:rPr>
          <w:b w:val="0"/>
          <w:bCs w:val="0"/>
          <w:rtl/>
        </w:rPr>
        <w:t>לוח 8:</w:t>
      </w:r>
      <w:r w:rsidRPr="00BC57BC">
        <w:rPr>
          <w:rtl/>
        </w:rPr>
        <w:t xml:space="preserve"> הקצאת שעות הכוננות ב-2018 לעומת הקצאת שעות הכוננות בשנת 2017</w:t>
      </w:r>
    </w:p>
    <w:tbl>
      <w:tblPr>
        <w:tblStyle w:val="TableGrid"/>
        <w:bidiVisual/>
        <w:tblW w:w="0" w:type="auto"/>
        <w:jc w:val="center"/>
        <w:tblLook w:val="04A0" w:firstRow="1" w:lastRow="0" w:firstColumn="1" w:lastColumn="0" w:noHBand="0" w:noVBand="1"/>
      </w:tblPr>
      <w:tblGrid>
        <w:gridCol w:w="6491"/>
        <w:gridCol w:w="675"/>
        <w:gridCol w:w="675"/>
      </w:tblGrid>
      <w:tr w:rsidR="00A75367" w:rsidRPr="00BC57BC" w:rsidTr="00732EB5">
        <w:trPr>
          <w:tblHeader/>
          <w:jc w:val="center"/>
        </w:trPr>
        <w:tc>
          <w:tcPr>
            <w:tcW w:w="0" w:type="auto"/>
            <w:shd w:val="clear" w:color="auto" w:fill="C6D9F1"/>
            <w:vAlign w:val="bottom"/>
          </w:tcPr>
          <w:p w:rsidR="00A75367" w:rsidRPr="00732EB5" w:rsidRDefault="00A75367" w:rsidP="00732EB5">
            <w:pPr>
              <w:tabs>
                <w:tab w:val="left" w:pos="1148"/>
              </w:tabs>
              <w:spacing w:before="40" w:after="40"/>
              <w:jc w:val="left"/>
              <w:rPr>
                <w:rFonts w:ascii="Tahoma" w:eastAsiaTheme="minorEastAsia" w:hAnsi="Tahoma" w:cs="Tahoma"/>
                <w:b/>
                <w:bCs/>
                <w:sz w:val="18"/>
                <w:szCs w:val="18"/>
                <w:rtl/>
              </w:rPr>
            </w:pPr>
          </w:p>
        </w:tc>
        <w:tc>
          <w:tcPr>
            <w:tcW w:w="0" w:type="auto"/>
            <w:shd w:val="clear" w:color="auto" w:fill="C6D9F1"/>
            <w:vAlign w:val="bottom"/>
          </w:tcPr>
          <w:p w:rsidR="00A75367" w:rsidRPr="00732EB5" w:rsidRDefault="00A75367" w:rsidP="00732EB5">
            <w:pPr>
              <w:tabs>
                <w:tab w:val="left" w:pos="1148"/>
              </w:tabs>
              <w:spacing w:before="40" w:after="40"/>
              <w:jc w:val="left"/>
              <w:rPr>
                <w:rFonts w:ascii="Tahoma" w:eastAsiaTheme="minorEastAsia" w:hAnsi="Tahoma" w:cs="Tahoma"/>
                <w:b/>
                <w:bCs/>
                <w:sz w:val="18"/>
                <w:szCs w:val="18"/>
                <w:rtl/>
              </w:rPr>
            </w:pPr>
            <w:r w:rsidRPr="00732EB5">
              <w:rPr>
                <w:rFonts w:ascii="Tahoma" w:eastAsiaTheme="minorEastAsia" w:hAnsi="Tahoma" w:cs="Tahoma"/>
                <w:b/>
                <w:bCs/>
                <w:sz w:val="18"/>
                <w:szCs w:val="18"/>
                <w:rtl/>
              </w:rPr>
              <w:t>2017</w:t>
            </w:r>
          </w:p>
        </w:tc>
        <w:tc>
          <w:tcPr>
            <w:tcW w:w="0" w:type="auto"/>
            <w:shd w:val="clear" w:color="auto" w:fill="C6D9F1"/>
            <w:vAlign w:val="bottom"/>
          </w:tcPr>
          <w:p w:rsidR="00A75367" w:rsidRPr="00732EB5" w:rsidRDefault="00A75367" w:rsidP="00732EB5">
            <w:pPr>
              <w:tabs>
                <w:tab w:val="left" w:pos="1148"/>
              </w:tabs>
              <w:spacing w:before="40" w:after="40"/>
              <w:jc w:val="left"/>
              <w:rPr>
                <w:rFonts w:ascii="Tahoma" w:eastAsiaTheme="minorEastAsia" w:hAnsi="Tahoma" w:cs="Tahoma"/>
                <w:b/>
                <w:bCs/>
                <w:sz w:val="18"/>
                <w:szCs w:val="18"/>
                <w:rtl/>
              </w:rPr>
            </w:pPr>
            <w:r w:rsidRPr="00732EB5">
              <w:rPr>
                <w:rFonts w:ascii="Tahoma" w:eastAsiaTheme="minorEastAsia" w:hAnsi="Tahoma" w:cs="Tahoma"/>
                <w:b/>
                <w:bCs/>
                <w:sz w:val="18"/>
                <w:szCs w:val="18"/>
                <w:rtl/>
              </w:rPr>
              <w:t>2018</w:t>
            </w:r>
          </w:p>
        </w:tc>
      </w:tr>
      <w:tr w:rsidR="00A75367" w:rsidRPr="00BC57BC" w:rsidTr="00732EB5">
        <w:trPr>
          <w:jc w:val="center"/>
        </w:trPr>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מספר עובדי קבוצה א'</w:t>
            </w:r>
          </w:p>
        </w:tc>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83</w:t>
            </w:r>
          </w:p>
        </w:tc>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75</w:t>
            </w:r>
            <w:r w:rsidRPr="00732EB5">
              <w:rPr>
                <w:rFonts w:ascii="Tahoma" w:eastAsiaTheme="minorEastAsia" w:hAnsi="Tahoma" w:cs="Tahoma"/>
                <w:sz w:val="18"/>
                <w:szCs w:val="18"/>
                <w:vertAlign w:val="superscript"/>
                <w:rtl/>
              </w:rPr>
              <w:footnoteReference w:id="29"/>
            </w:r>
          </w:p>
        </w:tc>
      </w:tr>
      <w:tr w:rsidR="00A75367" w:rsidRPr="00BC57BC" w:rsidTr="00732EB5">
        <w:trPr>
          <w:jc w:val="center"/>
        </w:trPr>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 xml:space="preserve">מספר שעות הכוננות החודשי הממוצע שעבורן שולם לכלל העובדים בקבוצה א' </w:t>
            </w:r>
          </w:p>
        </w:tc>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9,549</w:t>
            </w:r>
          </w:p>
        </w:tc>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9,030</w:t>
            </w:r>
          </w:p>
        </w:tc>
      </w:tr>
      <w:tr w:rsidR="00A75367" w:rsidRPr="00BC57BC" w:rsidTr="00732EB5">
        <w:trPr>
          <w:jc w:val="center"/>
        </w:trPr>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 xml:space="preserve">מספר שעות הכוננות החודשי הממוצע לעובד בקבוצה א' </w:t>
            </w:r>
          </w:p>
        </w:tc>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115</w:t>
            </w:r>
          </w:p>
        </w:tc>
        <w:tc>
          <w:tcPr>
            <w:tcW w:w="0" w:type="auto"/>
            <w:vAlign w:val="bottom"/>
          </w:tcPr>
          <w:p w:rsidR="00A75367" w:rsidRPr="00732EB5" w:rsidRDefault="00A75367" w:rsidP="00732EB5">
            <w:pPr>
              <w:tabs>
                <w:tab w:val="left" w:pos="1148"/>
              </w:tabs>
              <w:spacing w:before="40" w:after="40"/>
              <w:jc w:val="left"/>
              <w:rPr>
                <w:rFonts w:ascii="Tahoma" w:eastAsiaTheme="minorEastAsia" w:hAnsi="Tahoma" w:cs="Tahoma"/>
                <w:sz w:val="18"/>
                <w:szCs w:val="18"/>
                <w:rtl/>
              </w:rPr>
            </w:pPr>
            <w:r w:rsidRPr="00732EB5">
              <w:rPr>
                <w:rFonts w:ascii="Tahoma" w:eastAsiaTheme="minorEastAsia" w:hAnsi="Tahoma" w:cs="Tahoma"/>
                <w:sz w:val="18"/>
                <w:szCs w:val="18"/>
                <w:rtl/>
              </w:rPr>
              <w:t>120</w:t>
            </w:r>
          </w:p>
        </w:tc>
      </w:tr>
    </w:tbl>
    <w:p w:rsidR="00A75367" w:rsidRPr="00732EB5" w:rsidRDefault="00A75367" w:rsidP="00732EB5">
      <w:pPr>
        <w:spacing w:before="120" w:after="120"/>
        <w:jc w:val="center"/>
        <w:rPr>
          <w:rFonts w:ascii="Tahoma" w:hAnsi="Tahoma" w:cs="Tahoma"/>
          <w:sz w:val="16"/>
          <w:szCs w:val="16"/>
          <w:rtl/>
          <w:lang w:eastAsia="he-IL"/>
        </w:rPr>
      </w:pPr>
      <w:r w:rsidRPr="00732EB5">
        <w:rPr>
          <w:rFonts w:ascii="Tahoma" w:hAnsi="Tahoma" w:cs="Tahoma"/>
          <w:sz w:val="16"/>
          <w:szCs w:val="16"/>
          <w:rtl/>
          <w:lang w:eastAsia="he-IL"/>
        </w:rPr>
        <w:t>על פי נתוני הגיחון, בעיבוד של משרד מבקר המדינה</w:t>
      </w:r>
    </w:p>
    <w:p w:rsidR="00A75367" w:rsidRPr="00BC57BC" w:rsidRDefault="00A75367" w:rsidP="00A75367">
      <w:pPr>
        <w:autoSpaceDE w:val="0"/>
        <w:autoSpaceDN w:val="0"/>
        <w:adjustRightInd w:val="0"/>
        <w:spacing w:after="120"/>
        <w:ind w:left="312"/>
        <w:rPr>
          <w:rFonts w:ascii="Tahoma" w:hAnsi="Tahoma" w:cs="Tahoma"/>
          <w:szCs w:val="20"/>
          <w:rtl/>
        </w:rPr>
      </w:pPr>
      <w:r w:rsidRPr="00BC57BC">
        <w:rPr>
          <w:rFonts w:ascii="Tahoma" w:hAnsi="Tahoma" w:cs="Tahoma"/>
          <w:szCs w:val="20"/>
          <w:rtl/>
        </w:rPr>
        <w:t>מהלוח עולה כי בשנת 2018 המשיך הגיחון להקצות לעובדי קבוצה א' מספר שעות כוננות דומה לזה שהוקצה להם בשנת 2017, על אף שיעור הקריאות המזערי שהיה בשנת 2017 כ-10%, כמצוין לעיל.</w:t>
      </w:r>
    </w:p>
    <w:p w:rsidR="00A75367" w:rsidRPr="00BC57BC" w:rsidRDefault="00A75367" w:rsidP="00732EB5">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Cs w:val="20"/>
          <w:rtl/>
        </w:rPr>
      </w:pPr>
      <w:r w:rsidRPr="00BC57BC">
        <w:rPr>
          <w:rFonts w:ascii="Tahoma" w:hAnsi="Tahoma" w:cs="Tahoma"/>
          <w:b w:val="0"/>
          <w:bCs w:val="0"/>
          <w:szCs w:val="20"/>
          <w:rtl/>
        </w:rPr>
        <w:t xml:space="preserve">משרד מבקר המדינה מעיר לתאגיד, שהינו גוף ציבורי </w:t>
      </w:r>
      <w:proofErr w:type="spellStart"/>
      <w:r w:rsidRPr="00BC57BC">
        <w:rPr>
          <w:rFonts w:ascii="Tahoma" w:hAnsi="Tahoma" w:cs="Tahoma"/>
          <w:b w:val="0"/>
          <w:bCs w:val="0"/>
          <w:szCs w:val="20"/>
          <w:rtl/>
        </w:rPr>
        <w:t>המחוייב</w:t>
      </w:r>
      <w:proofErr w:type="spellEnd"/>
      <w:r w:rsidRPr="00BC57BC">
        <w:rPr>
          <w:rFonts w:ascii="Tahoma" w:hAnsi="Tahoma" w:cs="Tahoma"/>
          <w:b w:val="0"/>
          <w:bCs w:val="0"/>
          <w:szCs w:val="20"/>
          <w:rtl/>
        </w:rPr>
        <w:t xml:space="preserve"> לעקרונות החיסכון והיעילות, כי מספר קריאות מזערי ביחס להקצאה של שעות הכוננות מצריך בחינת אופן הקצאת שעות הכוננות בתאגיד.</w:t>
      </w:r>
    </w:p>
    <w:p w:rsidR="00A75367" w:rsidRPr="00BC57BC" w:rsidRDefault="00A75367" w:rsidP="00732EB5">
      <w:pPr>
        <w:pStyle w:val="BodyTextIndent2"/>
        <w:autoSpaceDE w:val="0"/>
        <w:autoSpaceDN w:val="0"/>
        <w:adjustRightInd w:val="0"/>
        <w:rPr>
          <w:rtl/>
        </w:rPr>
      </w:pPr>
      <w:r w:rsidRPr="00BC57BC">
        <w:rPr>
          <w:rtl/>
        </w:rPr>
        <w:t>בינואר 2019 מסר התאגיד למשרד מבקר המדינה כי בשנת 2018 קיבלו 145 עובדים, שהם 61% מעובדי התאגיד, תשלום עבור 160,642 שעות כוננות; לפי התאגיד הסתכמה עלותן בכ-7.6 מיליון ש"ח, שהם 12.5% מעלויות השכר בתאגיד באותה שנה. להלן התפלגות עובדי התאגיד בהתאם לכמות שעות הכוננות ששולמו להם בממוצע בחודש בשנת 2018:</w:t>
      </w:r>
    </w:p>
    <w:p w:rsidR="00A75367" w:rsidRPr="00BC57BC" w:rsidRDefault="00A75367" w:rsidP="00732EB5">
      <w:pPr>
        <w:pStyle w:val="a1"/>
        <w:rPr>
          <w:u w:val="single"/>
          <w:rtl/>
        </w:rPr>
      </w:pPr>
      <w:r w:rsidRPr="00732EB5">
        <w:rPr>
          <w:b w:val="0"/>
          <w:bCs w:val="0"/>
          <w:rtl/>
        </w:rPr>
        <w:lastRenderedPageBreak/>
        <w:t>תרשים 8:</w:t>
      </w:r>
      <w:r w:rsidRPr="00BC57BC">
        <w:rPr>
          <w:rtl/>
        </w:rPr>
        <w:t xml:space="preserve"> התפלגות עובדי הגיחון לפי מספר שעות הכוננות בחודש בשנת 2018 </w:t>
      </w:r>
    </w:p>
    <w:p w:rsidR="00E00398" w:rsidRPr="00D67126" w:rsidRDefault="00E00398" w:rsidP="00D67126">
      <w:pPr>
        <w:spacing w:after="120" w:line="240" w:lineRule="atLeast"/>
        <w:jc w:val="center"/>
        <w:rPr>
          <w:rFonts w:ascii="Tahoma" w:hAnsi="Tahoma" w:cs="Tahoma"/>
          <w:sz w:val="16"/>
          <w:szCs w:val="20"/>
          <w:rtl/>
        </w:rPr>
      </w:pPr>
      <w:r>
        <w:rPr>
          <w:rFonts w:ascii="Tahoma" w:hAnsi="Tahoma" w:cs="Tahoma"/>
          <w:noProof/>
          <w:sz w:val="16"/>
          <w:szCs w:val="20"/>
        </w:rPr>
        <w:drawing>
          <wp:inline distT="0" distB="0" distL="0" distR="0" wp14:anchorId="279C9146">
            <wp:extent cx="5218430" cy="2798445"/>
            <wp:effectExtent l="0" t="0" r="1270" b="1905"/>
            <wp:docPr id="27" name="Picture 27" descr="מהתרשים עולה כי בשנת 2018 קיבלו 145 עובדים תשלום חודשי עבור יותר מ-11 שעות כוננות בממוצע בחודש. 75 מעובדים אלה קיבלו תשלום עבור יותר מ-90 שעות כוננות בממוצע, ומהם קיבלו 48 עובדים תשלום עבור 120 עד 210 שעות כוננות בממוצע. 15 עובדים קיבלו תשלום עבור יותר מ-150 שעות כוננות בממוצע בחודש, מהם 6 עובדים שקיבלו תשלום עבור 180 שעות כוננות בממוצ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8430" cy="2798445"/>
                    </a:xfrm>
                    <a:prstGeom prst="rect">
                      <a:avLst/>
                    </a:prstGeom>
                    <a:noFill/>
                  </pic:spPr>
                </pic:pic>
              </a:graphicData>
            </a:graphic>
          </wp:inline>
        </w:drawing>
      </w:r>
    </w:p>
    <w:p w:rsidR="00A75367" w:rsidRPr="00732EB5" w:rsidRDefault="00A75367" w:rsidP="00732EB5">
      <w:pPr>
        <w:spacing w:before="120" w:after="120"/>
        <w:jc w:val="center"/>
        <w:rPr>
          <w:rFonts w:ascii="Tahoma" w:hAnsi="Tahoma" w:cs="Tahoma"/>
          <w:sz w:val="16"/>
          <w:szCs w:val="16"/>
          <w:lang w:eastAsia="he-IL"/>
        </w:rPr>
      </w:pPr>
      <w:r w:rsidRPr="00732EB5">
        <w:rPr>
          <w:rFonts w:ascii="Tahoma" w:hAnsi="Tahoma" w:cs="Tahoma"/>
          <w:sz w:val="16"/>
          <w:szCs w:val="16"/>
          <w:rtl/>
          <w:lang w:eastAsia="he-IL"/>
        </w:rPr>
        <w:t>על פי נתוני הגיחון, בעיבוד משרד מבקר המדינה.</w:t>
      </w:r>
    </w:p>
    <w:p w:rsidR="00A75367" w:rsidRPr="00BC57BC" w:rsidRDefault="00A75367" w:rsidP="00732EB5">
      <w:pPr>
        <w:pStyle w:val="BodyTextIndent2"/>
        <w:autoSpaceDE w:val="0"/>
        <w:autoSpaceDN w:val="0"/>
        <w:adjustRightInd w:val="0"/>
        <w:rPr>
          <w:rtl/>
        </w:rPr>
      </w:pPr>
      <w:r w:rsidRPr="00BC57BC">
        <w:rPr>
          <w:rtl/>
        </w:rPr>
        <w:t>מהתרשים עולה כי בשנת 2018 קיבלו 145 עובדים תשלום חודשי עבור יותר מ-11 שעות כוננות בממוצע, ומתוכם 75 קיבלו תשלום עבור יותר מ-90 שעות כוננות בחודש בממוצע, מבין אלה 48 עובדים קיבלו בין 120 ל-210 שעות כוננות בממוצע בחודש. 15 עובדים קיבלו מעל 150 שעות, מתוכם 6 עובדים שקיבלו מעל 180 שעות כוננות בממוצע בחודש. להלן הממוצע החודשי של שעות הכוננות של ששת העובדים שקיבלו את מספר שעות הכוננות הגבוה ביותר בשנת 2018:</w:t>
      </w:r>
    </w:p>
    <w:p w:rsidR="00A75367" w:rsidRPr="00BC57BC" w:rsidRDefault="00A75367" w:rsidP="00D67126">
      <w:pPr>
        <w:pStyle w:val="a1"/>
        <w:rPr>
          <w:rtl/>
        </w:rPr>
      </w:pPr>
      <w:r w:rsidRPr="00D67126">
        <w:rPr>
          <w:b w:val="0"/>
          <w:bCs w:val="0"/>
          <w:rtl/>
        </w:rPr>
        <w:t>לוח 9:</w:t>
      </w:r>
      <w:r w:rsidRPr="00BC57BC">
        <w:rPr>
          <w:rtl/>
        </w:rPr>
        <w:t xml:space="preserve"> שעות כוננות שהוקצו ב-2018 לעומת הקצאת שעות הכוננות וניצולן בשנת 2017</w:t>
      </w:r>
    </w:p>
    <w:tbl>
      <w:tblPr>
        <w:tblStyle w:val="TableGrid"/>
        <w:bidiVisual/>
        <w:tblW w:w="0" w:type="auto"/>
        <w:jc w:val="center"/>
        <w:tblLook w:val="04A0" w:firstRow="1" w:lastRow="0" w:firstColumn="1" w:lastColumn="0" w:noHBand="0" w:noVBand="1"/>
      </w:tblPr>
      <w:tblGrid>
        <w:gridCol w:w="946"/>
        <w:gridCol w:w="2274"/>
        <w:gridCol w:w="2201"/>
        <w:gridCol w:w="2199"/>
      </w:tblGrid>
      <w:tr w:rsidR="00A75367" w:rsidRPr="00BC57BC" w:rsidTr="00041F2A">
        <w:trPr>
          <w:jc w:val="center"/>
        </w:trPr>
        <w:tc>
          <w:tcPr>
            <w:tcW w:w="0" w:type="auto"/>
            <w:shd w:val="clear" w:color="auto" w:fill="C6D9F1"/>
            <w:vAlign w:val="bottom"/>
          </w:tcPr>
          <w:p w:rsidR="00A75367" w:rsidRPr="00D67126" w:rsidRDefault="00A75367" w:rsidP="00D67126">
            <w:pPr>
              <w:tabs>
                <w:tab w:val="left" w:pos="1148"/>
              </w:tabs>
              <w:spacing w:before="40" w:after="40"/>
              <w:jc w:val="left"/>
              <w:rPr>
                <w:rFonts w:ascii="Tahoma" w:eastAsiaTheme="minorEastAsia" w:hAnsi="Tahoma" w:cs="Tahoma"/>
                <w:b/>
                <w:bCs/>
                <w:sz w:val="18"/>
                <w:szCs w:val="18"/>
                <w:rtl/>
              </w:rPr>
            </w:pPr>
          </w:p>
        </w:tc>
        <w:tc>
          <w:tcPr>
            <w:tcW w:w="0" w:type="auto"/>
            <w:shd w:val="clear" w:color="auto" w:fill="C6D9F1"/>
            <w:vAlign w:val="bottom"/>
          </w:tcPr>
          <w:p w:rsidR="00A75367" w:rsidRPr="00D67126" w:rsidRDefault="00A75367" w:rsidP="00D67126">
            <w:pPr>
              <w:tabs>
                <w:tab w:val="left" w:pos="1148"/>
              </w:tabs>
              <w:spacing w:before="40" w:after="40"/>
              <w:jc w:val="left"/>
              <w:rPr>
                <w:rFonts w:ascii="Tahoma" w:eastAsiaTheme="minorEastAsia" w:hAnsi="Tahoma" w:cs="Tahoma"/>
                <w:b/>
                <w:bCs/>
                <w:sz w:val="18"/>
                <w:szCs w:val="18"/>
                <w:rtl/>
              </w:rPr>
            </w:pPr>
            <w:r w:rsidRPr="00D67126">
              <w:rPr>
                <w:rFonts w:ascii="Tahoma" w:eastAsiaTheme="minorEastAsia" w:hAnsi="Tahoma" w:cs="Tahoma"/>
                <w:b/>
                <w:bCs/>
                <w:sz w:val="18"/>
                <w:szCs w:val="18"/>
                <w:rtl/>
              </w:rPr>
              <w:t>הקצאת שעות הכוננות</w:t>
            </w:r>
            <w:r w:rsidR="00D67126" w:rsidRPr="00D67126">
              <w:rPr>
                <w:rFonts w:ascii="Tahoma" w:eastAsiaTheme="minorEastAsia" w:hAnsi="Tahoma" w:cs="Tahoma" w:hint="cs"/>
                <w:b/>
                <w:bCs/>
                <w:sz w:val="18"/>
                <w:szCs w:val="18"/>
                <w:rtl/>
              </w:rPr>
              <w:br/>
            </w:r>
            <w:r w:rsidRPr="00D67126">
              <w:rPr>
                <w:rFonts w:ascii="Tahoma" w:eastAsiaTheme="minorEastAsia" w:hAnsi="Tahoma" w:cs="Tahoma"/>
                <w:b/>
                <w:bCs/>
                <w:sz w:val="18"/>
                <w:szCs w:val="18"/>
                <w:rtl/>
              </w:rPr>
              <w:t>ב-2017 (ממוצע חודשי)</w:t>
            </w:r>
          </w:p>
        </w:tc>
        <w:tc>
          <w:tcPr>
            <w:tcW w:w="0" w:type="auto"/>
            <w:shd w:val="clear" w:color="auto" w:fill="C6D9F1"/>
            <w:vAlign w:val="bottom"/>
          </w:tcPr>
          <w:p w:rsidR="00A75367" w:rsidRPr="00D67126" w:rsidRDefault="00A75367" w:rsidP="00D67126">
            <w:pPr>
              <w:tabs>
                <w:tab w:val="left" w:pos="1148"/>
              </w:tabs>
              <w:spacing w:before="40" w:after="40"/>
              <w:jc w:val="left"/>
              <w:rPr>
                <w:rFonts w:ascii="Tahoma" w:eastAsiaTheme="minorEastAsia" w:hAnsi="Tahoma" w:cs="Tahoma"/>
                <w:b/>
                <w:bCs/>
                <w:sz w:val="18"/>
                <w:szCs w:val="18"/>
                <w:rtl/>
              </w:rPr>
            </w:pPr>
            <w:r w:rsidRPr="00D67126">
              <w:rPr>
                <w:rFonts w:ascii="Tahoma" w:eastAsiaTheme="minorEastAsia" w:hAnsi="Tahoma" w:cs="Tahoma"/>
                <w:b/>
                <w:bCs/>
                <w:sz w:val="18"/>
                <w:szCs w:val="18"/>
                <w:rtl/>
              </w:rPr>
              <w:t xml:space="preserve">מספר קריאות הכוננות </w:t>
            </w:r>
            <w:r w:rsidR="00D67126" w:rsidRPr="00D67126">
              <w:rPr>
                <w:rFonts w:ascii="Tahoma" w:eastAsiaTheme="minorEastAsia" w:hAnsi="Tahoma" w:cs="Tahoma" w:hint="cs"/>
                <w:b/>
                <w:bCs/>
                <w:sz w:val="18"/>
                <w:szCs w:val="18"/>
                <w:rtl/>
              </w:rPr>
              <w:br/>
            </w:r>
            <w:r w:rsidRPr="00D67126">
              <w:rPr>
                <w:rFonts w:ascii="Tahoma" w:eastAsiaTheme="minorEastAsia" w:hAnsi="Tahoma" w:cs="Tahoma"/>
                <w:b/>
                <w:bCs/>
                <w:sz w:val="18"/>
                <w:szCs w:val="18"/>
                <w:rtl/>
              </w:rPr>
              <w:t xml:space="preserve">בפועל בשנת 2017 </w:t>
            </w:r>
            <w:r w:rsidR="00D67126" w:rsidRPr="00D67126">
              <w:rPr>
                <w:rFonts w:ascii="Tahoma" w:eastAsiaTheme="minorEastAsia" w:hAnsi="Tahoma" w:cs="Tahoma" w:hint="cs"/>
                <w:b/>
                <w:bCs/>
                <w:sz w:val="18"/>
                <w:szCs w:val="18"/>
                <w:rtl/>
              </w:rPr>
              <w:br/>
            </w:r>
            <w:r w:rsidRPr="00D67126">
              <w:rPr>
                <w:rFonts w:ascii="Tahoma" w:eastAsiaTheme="minorEastAsia" w:hAnsi="Tahoma" w:cs="Tahoma"/>
                <w:b/>
                <w:bCs/>
                <w:sz w:val="18"/>
                <w:szCs w:val="18"/>
                <w:rtl/>
              </w:rPr>
              <w:t>(ממוצע חודשי)</w:t>
            </w:r>
          </w:p>
        </w:tc>
        <w:tc>
          <w:tcPr>
            <w:tcW w:w="0" w:type="auto"/>
            <w:shd w:val="clear" w:color="auto" w:fill="C6D9F1"/>
            <w:vAlign w:val="bottom"/>
          </w:tcPr>
          <w:p w:rsidR="00A75367" w:rsidRPr="00D67126" w:rsidRDefault="00A75367" w:rsidP="00D67126">
            <w:pPr>
              <w:tabs>
                <w:tab w:val="left" w:pos="1148"/>
              </w:tabs>
              <w:spacing w:before="40" w:after="40"/>
              <w:jc w:val="left"/>
              <w:rPr>
                <w:rFonts w:ascii="Tahoma" w:eastAsiaTheme="minorEastAsia" w:hAnsi="Tahoma" w:cs="Tahoma"/>
                <w:b/>
                <w:bCs/>
                <w:sz w:val="18"/>
                <w:szCs w:val="18"/>
                <w:rtl/>
              </w:rPr>
            </w:pPr>
            <w:r w:rsidRPr="00D67126">
              <w:rPr>
                <w:rFonts w:ascii="Tahoma" w:eastAsiaTheme="minorEastAsia" w:hAnsi="Tahoma" w:cs="Tahoma"/>
                <w:b/>
                <w:bCs/>
                <w:sz w:val="18"/>
                <w:szCs w:val="18"/>
                <w:rtl/>
              </w:rPr>
              <w:t xml:space="preserve">שעות הכוננות שהקצה </w:t>
            </w:r>
            <w:r w:rsidR="00D67126" w:rsidRPr="00D67126">
              <w:rPr>
                <w:rFonts w:ascii="Tahoma" w:eastAsiaTheme="minorEastAsia" w:hAnsi="Tahoma" w:cs="Tahoma" w:hint="cs"/>
                <w:b/>
                <w:bCs/>
                <w:sz w:val="18"/>
                <w:szCs w:val="18"/>
                <w:rtl/>
              </w:rPr>
              <w:br/>
            </w:r>
            <w:r w:rsidRPr="00D67126">
              <w:rPr>
                <w:rFonts w:ascii="Tahoma" w:eastAsiaTheme="minorEastAsia" w:hAnsi="Tahoma" w:cs="Tahoma"/>
                <w:b/>
                <w:bCs/>
                <w:sz w:val="18"/>
                <w:szCs w:val="18"/>
                <w:rtl/>
              </w:rPr>
              <w:t xml:space="preserve">התאגיד בשנת 2018 </w:t>
            </w:r>
            <w:r w:rsidR="00D67126" w:rsidRPr="00D67126">
              <w:rPr>
                <w:rFonts w:ascii="Tahoma" w:eastAsiaTheme="minorEastAsia" w:hAnsi="Tahoma" w:cs="Tahoma" w:hint="cs"/>
                <w:b/>
                <w:bCs/>
                <w:sz w:val="18"/>
                <w:szCs w:val="18"/>
                <w:rtl/>
              </w:rPr>
              <w:br/>
            </w:r>
            <w:r w:rsidRPr="00D67126">
              <w:rPr>
                <w:rFonts w:ascii="Tahoma" w:eastAsiaTheme="minorEastAsia" w:hAnsi="Tahoma" w:cs="Tahoma"/>
                <w:b/>
                <w:bCs/>
                <w:sz w:val="18"/>
                <w:szCs w:val="18"/>
                <w:rtl/>
              </w:rPr>
              <w:t>(ממוצע חודשי)</w:t>
            </w:r>
          </w:p>
        </w:tc>
      </w:tr>
      <w:tr w:rsidR="00A75367" w:rsidRPr="00BC57BC" w:rsidTr="00041F2A">
        <w:trPr>
          <w:jc w:val="center"/>
        </w:trPr>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עובד א'</w:t>
            </w: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Pr>
            </w:pPr>
            <w:r w:rsidRPr="00D67126">
              <w:rPr>
                <w:rFonts w:ascii="Tahoma" w:eastAsiaTheme="minorEastAsia" w:hAnsi="Tahoma" w:cs="Tahoma"/>
                <w:sz w:val="18"/>
                <w:szCs w:val="18"/>
                <w:rtl/>
              </w:rPr>
              <w:t>200</w:t>
            </w: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9.9*</w:t>
            </w: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203</w:t>
            </w:r>
          </w:p>
        </w:tc>
      </w:tr>
      <w:tr w:rsidR="00A75367" w:rsidRPr="00BC57BC" w:rsidTr="00041F2A">
        <w:trPr>
          <w:jc w:val="center"/>
        </w:trPr>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עובד ב'</w:t>
            </w: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186</w:t>
            </w: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0</w:t>
            </w: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191</w:t>
            </w:r>
          </w:p>
        </w:tc>
      </w:tr>
      <w:tr w:rsidR="00A75367" w:rsidRPr="00BC57BC" w:rsidTr="00041F2A">
        <w:trPr>
          <w:jc w:val="center"/>
        </w:trPr>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עובד ג'</w:t>
            </w: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200</w:t>
            </w: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13.7</w:t>
            </w: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190</w:t>
            </w:r>
          </w:p>
        </w:tc>
      </w:tr>
      <w:tr w:rsidR="00A75367" w:rsidRPr="00BC57BC" w:rsidTr="00041F2A">
        <w:trPr>
          <w:jc w:val="center"/>
        </w:trPr>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עובד ד'</w:t>
            </w: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200</w:t>
            </w: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35.7</w:t>
            </w: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183</w:t>
            </w:r>
          </w:p>
        </w:tc>
      </w:tr>
      <w:tr w:rsidR="00A75367" w:rsidRPr="00BC57BC" w:rsidTr="00041F2A">
        <w:trPr>
          <w:jc w:val="center"/>
        </w:trPr>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עובד ה'</w:t>
            </w: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175</w:t>
            </w: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14</w:t>
            </w: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180</w:t>
            </w:r>
          </w:p>
        </w:tc>
      </w:tr>
      <w:tr w:rsidR="00A75367" w:rsidRPr="00BC57BC" w:rsidTr="00041F2A">
        <w:trPr>
          <w:jc w:val="center"/>
        </w:trPr>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עובד ו'**</w:t>
            </w: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p>
        </w:tc>
        <w:tc>
          <w:tcPr>
            <w:tcW w:w="0" w:type="auto"/>
            <w:vAlign w:val="bottom"/>
          </w:tcPr>
          <w:p w:rsidR="00A75367" w:rsidRPr="00D67126" w:rsidRDefault="00A75367" w:rsidP="00D67126">
            <w:pPr>
              <w:tabs>
                <w:tab w:val="left" w:pos="1148"/>
              </w:tabs>
              <w:spacing w:before="40" w:after="40"/>
              <w:jc w:val="left"/>
              <w:rPr>
                <w:rFonts w:ascii="Tahoma" w:eastAsiaTheme="minorEastAsia" w:hAnsi="Tahoma" w:cs="Tahoma"/>
                <w:sz w:val="18"/>
                <w:szCs w:val="18"/>
                <w:rtl/>
              </w:rPr>
            </w:pPr>
            <w:r w:rsidRPr="00D67126">
              <w:rPr>
                <w:rFonts w:ascii="Tahoma" w:eastAsiaTheme="minorEastAsia" w:hAnsi="Tahoma" w:cs="Tahoma"/>
                <w:sz w:val="18"/>
                <w:szCs w:val="18"/>
                <w:rtl/>
              </w:rPr>
              <w:t>196</w:t>
            </w:r>
          </w:p>
        </w:tc>
      </w:tr>
    </w:tbl>
    <w:p w:rsidR="00A75367" w:rsidRPr="00D67126" w:rsidRDefault="00A75367" w:rsidP="00D67126">
      <w:pPr>
        <w:spacing w:before="120"/>
        <w:jc w:val="center"/>
        <w:rPr>
          <w:rFonts w:ascii="Tahoma" w:hAnsi="Tahoma" w:cs="Tahoma"/>
          <w:sz w:val="16"/>
          <w:szCs w:val="16"/>
          <w:rtl/>
          <w:lang w:eastAsia="he-IL"/>
        </w:rPr>
      </w:pPr>
      <w:r w:rsidRPr="00D67126">
        <w:rPr>
          <w:rFonts w:ascii="Tahoma" w:hAnsi="Tahoma" w:cs="Tahoma"/>
          <w:sz w:val="16"/>
          <w:szCs w:val="16"/>
          <w:rtl/>
          <w:lang w:eastAsia="he-IL"/>
        </w:rPr>
        <w:t>על פי נתוני הגיחון, בעיבוד משרד מבקר המדינה.</w:t>
      </w:r>
    </w:p>
    <w:p w:rsidR="00A75367" w:rsidRPr="00D67126" w:rsidRDefault="00A75367" w:rsidP="00D67126">
      <w:pPr>
        <w:jc w:val="center"/>
        <w:rPr>
          <w:rFonts w:ascii="Tahoma" w:hAnsi="Tahoma" w:cs="Tahoma"/>
          <w:sz w:val="16"/>
          <w:szCs w:val="16"/>
          <w:rtl/>
          <w:lang w:eastAsia="he-IL"/>
        </w:rPr>
      </w:pPr>
      <w:r w:rsidRPr="00D67126">
        <w:rPr>
          <w:rFonts w:ascii="Tahoma" w:hAnsi="Tahoma" w:cs="Tahoma"/>
          <w:sz w:val="16"/>
          <w:szCs w:val="16"/>
          <w:rtl/>
          <w:lang w:eastAsia="he-IL"/>
        </w:rPr>
        <w:t>* בחישוב לא נכללו 190 שעות כוננות שהוזעק בהן העובד ביולי 2017.</w:t>
      </w:r>
    </w:p>
    <w:p w:rsidR="00A75367" w:rsidRPr="00D67126" w:rsidRDefault="00A75367" w:rsidP="00D67126">
      <w:pPr>
        <w:jc w:val="center"/>
        <w:rPr>
          <w:rFonts w:ascii="Tahoma" w:hAnsi="Tahoma" w:cs="Tahoma"/>
          <w:sz w:val="16"/>
          <w:szCs w:val="16"/>
          <w:rtl/>
          <w:lang w:eastAsia="he-IL"/>
        </w:rPr>
      </w:pPr>
      <w:r w:rsidRPr="00D67126">
        <w:rPr>
          <w:rFonts w:ascii="Tahoma" w:hAnsi="Tahoma" w:cs="Tahoma"/>
          <w:sz w:val="16"/>
          <w:szCs w:val="16"/>
          <w:rtl/>
          <w:lang w:eastAsia="he-IL"/>
        </w:rPr>
        <w:t>** ממסמכי הגיחון עולה כי בשנת 2017 התאגיד לא הקצה לאותו עובד שעות כוננות.</w:t>
      </w:r>
    </w:p>
    <w:p w:rsidR="00A75367" w:rsidRPr="00BC57BC" w:rsidRDefault="00A75367" w:rsidP="00A75367">
      <w:pPr>
        <w:autoSpaceDE w:val="0"/>
        <w:autoSpaceDN w:val="0"/>
        <w:adjustRightInd w:val="0"/>
        <w:spacing w:after="120"/>
        <w:ind w:left="312"/>
        <w:rPr>
          <w:rFonts w:ascii="Tahoma" w:hAnsi="Tahoma" w:cs="Tahoma"/>
          <w:szCs w:val="20"/>
          <w:rtl/>
        </w:rPr>
      </w:pPr>
      <w:r w:rsidRPr="00BC57BC">
        <w:rPr>
          <w:rFonts w:ascii="Tahoma" w:hAnsi="Tahoma" w:cs="Tahoma"/>
          <w:szCs w:val="20"/>
          <w:rtl/>
        </w:rPr>
        <w:lastRenderedPageBreak/>
        <w:t>ממסמכי התאגיד עולה כי בשנת 2017 קיבל עובד ב' בממוצע חודשי תשלום עבור 198 שעות כוננות - 6% יותר מ-186 השעות שאושרו לו. העובד לא נקרא לשוב לעבודה בשעות הכוננות שהוקצו לו למעט בחודש פברואר 2017, שבו עבד בכוננות 8.7 שעות, וקיבל תשלום עבור 177.3 שעות כוננות. עוד עולה ממסמכי התאגיד כי באפריל 2017 עובד ג' קיבל שכר עבור 203.5 שעות כוננות, 3.5 שעות יותר ממה שהוקצה לו; באוקטובר 2017 קיבל עובד ד' שכר עבור 9 שעות יותר ממה שהוקצה לו; באפריל 2017 קיבלו עובד ה' תשלום עבור 16 שעות כוננות יותר ממה שהוקצה לו. התאגיד השיב למשרד מבקר המדינה באפריל 2019 כי "כיום כתוצאה משינויים תהליכיים, אין אפשרות מעשית לחרוג ממכסות הכוננות אלא באישור מיוחד בכתב ומראש".</w:t>
      </w:r>
    </w:p>
    <w:p w:rsidR="00A75367" w:rsidRPr="00BC57BC" w:rsidRDefault="00A75367" w:rsidP="00D6712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Cs w:val="20"/>
          <w:rtl/>
        </w:rPr>
      </w:pPr>
      <w:r w:rsidRPr="00BC57BC">
        <w:rPr>
          <w:rFonts w:ascii="Tahoma" w:hAnsi="Tahoma" w:cs="Tahoma"/>
          <w:b w:val="0"/>
          <w:bCs w:val="0"/>
          <w:szCs w:val="20"/>
          <w:rtl/>
        </w:rPr>
        <w:t xml:space="preserve">יוצא אפוא כי אף שהעובדים נקראו לשוב לעבודה רק ב-10% מהשעות שהם שהו בהן בכוננות שהוקצתה להם בשנת 2017, התאגיד לא הפיק לקחים וגם ב-2018 המשיך לשלם להם עבור היקף שעות כוננות דומה. </w:t>
      </w:r>
    </w:p>
    <w:p w:rsidR="00A75367" w:rsidRPr="00BC57BC" w:rsidRDefault="00A75367" w:rsidP="00D67126">
      <w:pPr>
        <w:autoSpaceDE w:val="0"/>
        <w:autoSpaceDN w:val="0"/>
        <w:adjustRightInd w:val="0"/>
        <w:spacing w:after="120"/>
        <w:ind w:left="397"/>
        <w:rPr>
          <w:rFonts w:ascii="Tahoma" w:hAnsi="Tahoma" w:cs="Tahoma"/>
          <w:szCs w:val="20"/>
          <w:rtl/>
        </w:rPr>
      </w:pPr>
      <w:r w:rsidRPr="00BC57BC">
        <w:rPr>
          <w:rFonts w:ascii="Tahoma" w:hAnsi="Tahoma" w:cs="Tahoma"/>
          <w:szCs w:val="20"/>
          <w:rtl/>
        </w:rPr>
        <w:t xml:space="preserve">הגיחון השיב למשרד מבקר המדינה באפריל 2019 כי פעילותו נפרסת על פני שטח גדול "נדרש להחזיק מספר צוותים בכוננות תמידית (24/7) בכדי </w:t>
      </w:r>
      <w:proofErr w:type="spellStart"/>
      <w:r w:rsidRPr="00BC57BC">
        <w:rPr>
          <w:rFonts w:ascii="Tahoma" w:hAnsi="Tahoma" w:cs="Tahoma"/>
          <w:szCs w:val="20"/>
          <w:rtl/>
        </w:rPr>
        <w:t>ליתן</w:t>
      </w:r>
      <w:proofErr w:type="spellEnd"/>
      <w:r w:rsidRPr="00BC57BC">
        <w:rPr>
          <w:rFonts w:ascii="Tahoma" w:hAnsi="Tahoma" w:cs="Tahoma"/>
          <w:szCs w:val="20"/>
          <w:rtl/>
        </w:rPr>
        <w:t xml:space="preserve"> פתרונות בזמן אמת" וכי הכוננות "הינה מלאכה בפועל - זאת כאשר העובד נדרש להיות דרוך לצורכי עבודתו, בהיותו כונן הוא אינו יכול להתרחק מתחום הפעילות של התאגיד והוא מחויב לו"; שעות הכוננות משולמות רק למי שמבצע כוננות בפועל</w:t>
      </w:r>
      <w:r w:rsidRPr="00BC57BC">
        <w:rPr>
          <w:rStyle w:val="FootnoteReference"/>
          <w:rFonts w:ascii="Tahoma" w:hAnsi="Tahoma" w:cs="Tahoma"/>
          <w:szCs w:val="20"/>
          <w:rtl/>
        </w:rPr>
        <w:footnoteReference w:id="30"/>
      </w:r>
      <w:r w:rsidRPr="00BC57BC">
        <w:rPr>
          <w:rFonts w:ascii="Tahoma" w:hAnsi="Tahoma" w:cs="Tahoma"/>
          <w:szCs w:val="20"/>
          <w:rtl/>
        </w:rPr>
        <w:t xml:space="preserve">, ומבחינה זו תפקידו מחייבו לעשות כן; בחוזה האישי העובד מוגבל במספר שעות הכוננות וקיימת תקרה ברורה. </w:t>
      </w:r>
    </w:p>
    <w:p w:rsidR="00A75367" w:rsidRPr="00BC57BC" w:rsidRDefault="00A75367" w:rsidP="00D6712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Cs w:val="20"/>
          <w:rtl/>
        </w:rPr>
      </w:pPr>
      <w:r w:rsidRPr="00BC57BC">
        <w:rPr>
          <w:rFonts w:ascii="Tahoma" w:hAnsi="Tahoma" w:cs="Tahoma"/>
          <w:b w:val="0"/>
          <w:bCs w:val="0"/>
          <w:szCs w:val="20"/>
          <w:rtl/>
        </w:rPr>
        <w:t>משרד מבקר המדינה מעיר לתאגיד כי הניצול המזערי של שעות הכוננות שהוקצו בשנת 2017 מעלה ספק לגבי נחיצותן של שעות הכוננות המשולמות לעובדים. על הנהלת התאגיד לבחון את הקצאת שעות הכוננות ואת התשלום עבורן ב-2018, וכן לבחון אחת לתקופה את היקף שעות הכוננות הנדרש בפועל.</w:t>
      </w:r>
    </w:p>
    <w:p w:rsidR="00A75367" w:rsidRPr="00BC57BC" w:rsidRDefault="00A75367" w:rsidP="00D67126">
      <w:pPr>
        <w:autoSpaceDE w:val="0"/>
        <w:autoSpaceDN w:val="0"/>
        <w:adjustRightInd w:val="0"/>
        <w:spacing w:after="120"/>
        <w:ind w:left="397"/>
        <w:rPr>
          <w:rFonts w:ascii="Tahoma" w:hAnsi="Tahoma" w:cs="Tahoma"/>
          <w:szCs w:val="20"/>
          <w:rtl/>
        </w:rPr>
      </w:pPr>
      <w:r w:rsidRPr="00BC57BC">
        <w:rPr>
          <w:rFonts w:ascii="Tahoma" w:hAnsi="Tahoma" w:cs="Tahoma"/>
          <w:szCs w:val="20"/>
          <w:rtl/>
        </w:rPr>
        <w:t xml:space="preserve">מבדיקה שערך משרד מבקר המדינה עלה כי ל-16 מנהלי מדורים ומנהלי מחלקות ביחידות הבאות: הדרכה, </w:t>
      </w:r>
      <w:proofErr w:type="spellStart"/>
      <w:r w:rsidRPr="00BC57BC">
        <w:rPr>
          <w:rFonts w:ascii="Tahoma" w:hAnsi="Tahoma" w:cs="Tahoma"/>
          <w:szCs w:val="20"/>
          <w:rtl/>
        </w:rPr>
        <w:t>חשבות</w:t>
      </w:r>
      <w:proofErr w:type="spellEnd"/>
      <w:r w:rsidRPr="00BC57BC">
        <w:rPr>
          <w:rFonts w:ascii="Tahoma" w:hAnsi="Tahoma" w:cs="Tahoma"/>
          <w:szCs w:val="20"/>
          <w:rtl/>
        </w:rPr>
        <w:t>, משאבי אנוש, כספים, רכש, מטה גבייה, מערכות מידע</w:t>
      </w:r>
      <w:r w:rsidRPr="00BC57BC">
        <w:rPr>
          <w:rStyle w:val="FootnoteReference"/>
          <w:rFonts w:ascii="Tahoma" w:hAnsi="Tahoma" w:cs="Tahoma"/>
          <w:szCs w:val="20"/>
          <w:rtl/>
        </w:rPr>
        <w:footnoteReference w:id="31"/>
      </w:r>
      <w:r w:rsidRPr="00BC57BC">
        <w:rPr>
          <w:rFonts w:ascii="Tahoma" w:hAnsi="Tahoma" w:cs="Tahoma"/>
          <w:szCs w:val="20"/>
          <w:rtl/>
        </w:rPr>
        <w:t xml:space="preserve"> ותוכנית עבודה שולמו שעות כוננות אף שתפקידיהם אינם מחייבים שעות עבודה לא-שגרתיות. לעובדים אלה שולמו בין 15 ל-106 שעות כוננות בממוצע לחודש, שהסתכמו ב-2018 בכ-440,000 ש"ח. הגיחון השיב למשרד מבקר המדינה באפריל 2019 כי "שעות הכוננות משולמות רק למי שמבצע כוננות בפועל ומבחינה זו תפקידו מחייבו לעשות כן".</w:t>
      </w:r>
    </w:p>
    <w:p w:rsidR="00A75367" w:rsidRPr="00BC57BC" w:rsidRDefault="00A75367" w:rsidP="00D67126">
      <w:pPr>
        <w:spacing w:after="120"/>
        <w:ind w:left="397"/>
        <w:rPr>
          <w:rFonts w:ascii="Tahoma" w:hAnsi="Tahoma" w:cs="Tahoma"/>
          <w:szCs w:val="20"/>
          <w:rtl/>
        </w:rPr>
      </w:pPr>
      <w:r w:rsidRPr="00BC57BC">
        <w:rPr>
          <w:rFonts w:ascii="Tahoma" w:hAnsi="Tahoma" w:cs="Tahoma"/>
          <w:szCs w:val="20"/>
          <w:rtl/>
        </w:rPr>
        <w:t>באוגוסט 2016 אישר הממונה על השכר במשרד האוצר הסכם שכר לעובדים שלא הושאלו מהעירייה ושלא חל עליהם ההסכם הקיבוצי של התאגיד (להלן - הסכם השכר 2016). ההסכם נכנס לתוקף ביולי 2016. בדצמבר 2018 היה מניינם 95. בהסכם השכר צוין</w:t>
      </w:r>
      <w:r w:rsidRPr="00BC57BC">
        <w:rPr>
          <w:rFonts w:ascii="Tahoma" w:hAnsi="Tahoma" w:cs="Tahoma"/>
          <w:b/>
          <w:bCs/>
          <w:szCs w:val="20"/>
          <w:rtl/>
        </w:rPr>
        <w:t xml:space="preserve"> </w:t>
      </w:r>
      <w:r w:rsidRPr="00BC57BC">
        <w:rPr>
          <w:rFonts w:ascii="Tahoma" w:hAnsi="Tahoma" w:cs="Tahoma"/>
          <w:szCs w:val="20"/>
          <w:rtl/>
        </w:rPr>
        <w:t xml:space="preserve">כי שכר העובדים הבכירים הינו שכר כולל כפי שנקבע בהסכם, ועובדים בתפקידים אלו לא יהיו זכאים לשום תמורה עבור עבודה נוספת. לגבי עובדים שאינם בכירים ושתנאי </w:t>
      </w:r>
      <w:r w:rsidRPr="00BC57BC">
        <w:rPr>
          <w:rFonts w:ascii="Tahoma" w:hAnsi="Tahoma" w:cs="Tahoma"/>
          <w:szCs w:val="20"/>
          <w:rtl/>
        </w:rPr>
        <w:lastRenderedPageBreak/>
        <w:t>עבודתם נקבעו בהסכם אישי, נקבע כי הללו יהיו זכאים לתגמול עבור עבודה נוספת על פי דיווח וביצוע בפועל, ובכפוף למכסה שיגדיר התאגיד.</w:t>
      </w:r>
    </w:p>
    <w:p w:rsidR="00A75367" w:rsidRPr="007900AC" w:rsidRDefault="00A75367" w:rsidP="00D67126">
      <w:pPr>
        <w:spacing w:after="120"/>
        <w:ind w:left="397"/>
        <w:rPr>
          <w:rFonts w:ascii="Tahoma" w:hAnsi="Tahoma" w:cs="Tahoma"/>
          <w:szCs w:val="20"/>
          <w:rtl/>
        </w:rPr>
      </w:pPr>
      <w:r w:rsidRPr="007900AC">
        <w:rPr>
          <w:rFonts w:ascii="Tahoma" w:hAnsi="Tahoma" w:cs="Tahoma"/>
          <w:szCs w:val="20"/>
          <w:rtl/>
        </w:rPr>
        <w:t>התאגיד השיב למבקר המדינה באפריל 2019 כי שעות הכוננות הללו שולמו לעובדי שטח מדרג בינוני וזוטר לפי שעות בפועל וכי הדבר נעשה בהתאם לסיכום עם הממונה על השכר.</w:t>
      </w:r>
    </w:p>
    <w:p w:rsidR="00A75367" w:rsidRPr="00BC57BC" w:rsidRDefault="00A75367" w:rsidP="00D67126">
      <w:pPr>
        <w:spacing w:after="120"/>
        <w:ind w:left="397"/>
        <w:rPr>
          <w:rFonts w:ascii="Tahoma" w:hAnsi="Tahoma" w:cs="Tahoma"/>
          <w:sz w:val="16"/>
          <w:szCs w:val="20"/>
          <w:rtl/>
        </w:rPr>
      </w:pPr>
      <w:r w:rsidRPr="00BC57BC">
        <w:rPr>
          <w:rFonts w:ascii="Tahoma" w:hAnsi="Tahoma" w:cs="Tahoma"/>
          <w:sz w:val="16"/>
          <w:szCs w:val="20"/>
          <w:rtl/>
        </w:rPr>
        <w:t xml:space="preserve">הממונה </w:t>
      </w:r>
      <w:r w:rsidRPr="00BC57BC">
        <w:rPr>
          <w:rFonts w:ascii="Tahoma" w:hAnsi="Tahoma" w:cs="Tahoma"/>
          <w:sz w:val="24"/>
          <w:szCs w:val="20"/>
          <w:rtl/>
        </w:rPr>
        <w:t>על השכר השיב למשרד מבקר המדינה באפריל 2019 כי במודל השכר מאוגוסט 2016 שאישר לעובדים המועסקים בחוזים אישיים בחברת הגיחון, לא הייתה התייחסות ספציפית לתשלום עבור כוננויות.</w:t>
      </w:r>
    </w:p>
    <w:p w:rsidR="00A75367" w:rsidRPr="00BC57BC" w:rsidRDefault="00A75367" w:rsidP="00D6712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Cs w:val="20"/>
          <w:rtl/>
        </w:rPr>
      </w:pPr>
      <w:r w:rsidRPr="00BC57BC">
        <w:rPr>
          <w:rFonts w:ascii="Tahoma" w:hAnsi="Tahoma" w:cs="Tahoma"/>
          <w:b w:val="0"/>
          <w:bCs w:val="0"/>
          <w:szCs w:val="20"/>
          <w:rtl/>
        </w:rPr>
        <w:t>מבדיקת משרד מבקר המדינה עולה כי בניגוד להסכם שאישר הממונה על השכר, בשנת 2018 קיבלו 37 עובדים בהסכם עבודה אישי תשלום</w:t>
      </w:r>
      <w:r w:rsidRPr="00BC57BC">
        <w:rPr>
          <w:rFonts w:ascii="Tahoma" w:hAnsi="Tahoma" w:cs="Tahoma"/>
          <w:szCs w:val="20"/>
          <w:rtl/>
        </w:rPr>
        <w:t xml:space="preserve"> </w:t>
      </w:r>
      <w:r w:rsidRPr="00BC57BC">
        <w:rPr>
          <w:rFonts w:ascii="Tahoma" w:hAnsi="Tahoma" w:cs="Tahoma"/>
          <w:b w:val="0"/>
          <w:bCs w:val="0"/>
          <w:szCs w:val="20"/>
          <w:rtl/>
        </w:rPr>
        <w:t xml:space="preserve">עבור שעות כוננות. על הנהלת התאגיד להסדיר הנושא למול הממונה על השכר. </w:t>
      </w:r>
    </w:p>
    <w:p w:rsidR="00A75367" w:rsidRPr="00BC57BC" w:rsidRDefault="00A75367" w:rsidP="00D67126">
      <w:pPr>
        <w:spacing w:after="120"/>
        <w:ind w:left="397"/>
        <w:rPr>
          <w:rFonts w:ascii="Tahoma" w:hAnsi="Tahoma" w:cs="Tahoma"/>
          <w:sz w:val="16"/>
          <w:szCs w:val="20"/>
          <w:rtl/>
        </w:rPr>
      </w:pPr>
      <w:r w:rsidRPr="00BC57BC">
        <w:rPr>
          <w:rFonts w:ascii="Tahoma" w:hAnsi="Tahoma" w:cs="Tahoma"/>
          <w:sz w:val="16"/>
          <w:szCs w:val="20"/>
          <w:rtl/>
        </w:rPr>
        <w:t>הממונה על השכר הוסיף כי הוא מקבל את הערת משרד מבקר המדינה שיש להסדיר את מתן הכוננויות לעובדים בחוזים אישיים וכי יפעל להסדיר את הנושא.</w:t>
      </w:r>
    </w:p>
    <w:p w:rsidR="00A75367" w:rsidRPr="00BC57BC" w:rsidRDefault="00A75367" w:rsidP="00D6712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Cs w:val="20"/>
          <w:rtl/>
        </w:rPr>
      </w:pPr>
      <w:r w:rsidRPr="00BC57BC">
        <w:rPr>
          <w:rFonts w:ascii="Tahoma" w:hAnsi="Tahoma" w:cs="Tahoma"/>
          <w:b w:val="0"/>
          <w:bCs w:val="0"/>
          <w:szCs w:val="20"/>
          <w:rtl/>
        </w:rPr>
        <w:t xml:space="preserve">אספקת המים על ידי התאגיד הינה שירות חיוני המצריך מעת לעת עבודה דחופה בשעות שאינן שגרתיות באמצעות עובדים כוננים בכדי לתת מענה דחוף לבעיה בלתי צפויה שאינה סובלת דיחוי העלולה לגרום נזק מהותי או סיכון מהותי. עלות שעת כוננות נמוכה מעלות שעת עבודה רגילה, אולם עלותן המצטברת של שעות אלה משמעותית, וכאמור היא הסתכמה בתאגיד הגיחון בשנת 2018 בכ-7.6 מיליון ש"ח. משרד מבקר המדינה מעיר לגיחון כי הוא הקצה שעות כוננות לעובדים שעולה ספק בדבר נחיצות הקצאת שעות הכוננות לעובדים אלה. מתן תשלום עבור שעות כוננות אלה משמעו תוספת שכר. על הגיחון להתייחס לשעות כוננות כאל משאב ייעודי ולהקפיד </w:t>
      </w:r>
      <w:proofErr w:type="spellStart"/>
      <w:r w:rsidRPr="00BC57BC">
        <w:rPr>
          <w:rFonts w:ascii="Tahoma" w:hAnsi="Tahoma" w:cs="Tahoma"/>
          <w:b w:val="0"/>
          <w:bCs w:val="0"/>
          <w:szCs w:val="20"/>
          <w:rtl/>
        </w:rPr>
        <w:t>להקצותן</w:t>
      </w:r>
      <w:proofErr w:type="spellEnd"/>
      <w:r w:rsidRPr="00BC57BC">
        <w:rPr>
          <w:rFonts w:ascii="Tahoma" w:hAnsi="Tahoma" w:cs="Tahoma"/>
          <w:b w:val="0"/>
          <w:bCs w:val="0"/>
          <w:szCs w:val="20"/>
          <w:rtl/>
        </w:rPr>
        <w:t>, על פי צורכי העבודה בפועל ולעובדים שאכן נדרשים לשהות בכוננות בהתאם להגדרת תפקידם. כמו כן עליו לצמצם את השימוש בהן אך ורק למקרים הכרחיים, לאחר שנבחנו כל החלופות האחרות</w:t>
      </w:r>
      <w:r w:rsidRPr="00BC57BC">
        <w:rPr>
          <w:rStyle w:val="FootnoteReference"/>
          <w:rFonts w:ascii="Tahoma" w:hAnsi="Tahoma" w:cs="Tahoma"/>
          <w:b w:val="0"/>
          <w:bCs w:val="0"/>
          <w:szCs w:val="20"/>
          <w:rtl/>
        </w:rPr>
        <w:footnoteReference w:id="32"/>
      </w:r>
      <w:r w:rsidRPr="00BC57BC">
        <w:rPr>
          <w:rFonts w:ascii="Tahoma" w:hAnsi="Tahoma" w:cs="Tahoma"/>
          <w:b w:val="0"/>
          <w:bCs w:val="0"/>
          <w:szCs w:val="20"/>
          <w:rtl/>
        </w:rPr>
        <w:t xml:space="preserve">. הקצאה שעות כוננות בהתאם לצורכי התאגיד כפי שעולה מביצוע שעות הכוננות בפועל, תאפשר לתאגיד לצמצם את עלויותיו, </w:t>
      </w:r>
      <w:r w:rsidRPr="00BC57BC">
        <w:rPr>
          <w:rFonts w:ascii="Tahoma" w:hAnsi="Tahoma" w:cs="Tahoma"/>
          <w:b w:val="0"/>
          <w:bCs w:val="0"/>
          <w:sz w:val="16"/>
          <w:szCs w:val="20"/>
          <w:rtl/>
        </w:rPr>
        <w:t>והתאגיד יוכל להשקיע את הכסף הזה בתשתיות לרווחת הצרכנים</w:t>
      </w:r>
      <w:r w:rsidRPr="00BC57BC">
        <w:rPr>
          <w:rFonts w:ascii="Tahoma" w:hAnsi="Tahoma" w:cs="Tahoma"/>
          <w:b w:val="0"/>
          <w:bCs w:val="0"/>
          <w:szCs w:val="20"/>
          <w:rtl/>
        </w:rPr>
        <w:t xml:space="preserve">. </w:t>
      </w:r>
    </w:p>
    <w:p w:rsidR="00A75367" w:rsidRPr="00BC57BC" w:rsidRDefault="00A75367" w:rsidP="00D67126">
      <w:pPr>
        <w:pStyle w:val="21"/>
        <w:rPr>
          <w:rtl/>
        </w:rPr>
      </w:pPr>
      <w:bookmarkStart w:id="20" w:name="_Toc17268277"/>
      <w:bookmarkStart w:id="21" w:name="_Toc32167114"/>
      <w:r w:rsidRPr="00BC57BC">
        <w:rPr>
          <w:rtl/>
        </w:rPr>
        <w:t>מכרזים והתקשרויות</w:t>
      </w:r>
      <w:bookmarkEnd w:id="20"/>
      <w:bookmarkEnd w:id="21"/>
    </w:p>
    <w:p w:rsidR="00A75367" w:rsidRPr="00BC57BC" w:rsidRDefault="00A75367" w:rsidP="00A75367">
      <w:pPr>
        <w:spacing w:after="120"/>
        <w:rPr>
          <w:rFonts w:ascii="Tahoma" w:hAnsi="Tahoma" w:cs="Tahoma"/>
          <w:szCs w:val="20"/>
          <w:rtl/>
        </w:rPr>
      </w:pPr>
      <w:r w:rsidRPr="00BC57BC">
        <w:rPr>
          <w:rFonts w:ascii="Tahoma" w:hAnsi="Tahoma" w:cs="Tahoma"/>
          <w:szCs w:val="20"/>
          <w:rtl/>
        </w:rPr>
        <w:t>ברישיון שהעניק הממונה על התאגידים לתאגיד ב-2010 נקבע כי "בעל הרישיון לא יתקשר עם כל אדם שאינו עובד החברה או עם תאגיד, אלא בהתאם לדיני המכרזים [</w:t>
      </w:r>
      <w:proofErr w:type="spellStart"/>
      <w:r w:rsidRPr="00BC57BC">
        <w:rPr>
          <w:rFonts w:ascii="Tahoma" w:hAnsi="Tahoma" w:cs="Tahoma"/>
          <w:szCs w:val="20"/>
          <w:rtl/>
        </w:rPr>
        <w:t>ול</w:t>
      </w:r>
      <w:proofErr w:type="spellEnd"/>
      <w:r w:rsidRPr="00BC57BC">
        <w:rPr>
          <w:rFonts w:ascii="Tahoma" w:hAnsi="Tahoma" w:cs="Tahoma"/>
          <w:szCs w:val="20"/>
          <w:rtl/>
        </w:rPr>
        <w:t xml:space="preserve">]הוראות חוק חובת המכרזים ותקנותיו בשינויים המחויבים שיאושרו על ידי הממונה". גם בתקנון התאגיד הוחלו חוק </w:t>
      </w:r>
      <w:r w:rsidRPr="00BC57BC">
        <w:rPr>
          <w:rFonts w:ascii="Tahoma" w:hAnsi="Tahoma" w:cs="Tahoma"/>
          <w:szCs w:val="20"/>
          <w:rtl/>
        </w:rPr>
        <w:lastRenderedPageBreak/>
        <w:t xml:space="preserve">חובת המכרזים ותקנותיו על התקשרויות התאגיד, ובהתאם לכך כתב התאגיד נוהל התקשרויות. משרד מבקר המדינה בדק כמה התקשרויות של התאגיד בשנים 2016 עד 2018. </w:t>
      </w:r>
    </w:p>
    <w:p w:rsidR="00A75367" w:rsidRPr="00BC57BC" w:rsidRDefault="00A75367" w:rsidP="007900AC">
      <w:pPr>
        <w:spacing w:after="120"/>
        <w:ind w:hanging="2"/>
        <w:rPr>
          <w:rFonts w:ascii="Tahoma" w:hAnsi="Tahoma" w:cs="Tahoma"/>
          <w:szCs w:val="20"/>
          <w:rtl/>
        </w:rPr>
      </w:pPr>
      <w:r w:rsidRPr="00BC57BC">
        <w:rPr>
          <w:rFonts w:ascii="Tahoma" w:hAnsi="Tahoma" w:cs="Tahoma"/>
          <w:szCs w:val="20"/>
          <w:rtl/>
        </w:rPr>
        <w:t>משרד מבקר המדינה בחן את הפרוטוקולים של וועדות המכרזים של תאגיד הגיחון שהתקיימו בשנים 201</w:t>
      </w:r>
      <w:r w:rsidR="007900AC">
        <w:rPr>
          <w:rFonts w:ascii="Tahoma" w:hAnsi="Tahoma" w:cs="Tahoma" w:hint="cs"/>
          <w:szCs w:val="20"/>
          <w:rtl/>
        </w:rPr>
        <w:t>8</w:t>
      </w:r>
      <w:r w:rsidRPr="00BC57BC">
        <w:rPr>
          <w:rFonts w:ascii="Tahoma" w:hAnsi="Tahoma" w:cs="Tahoma"/>
          <w:szCs w:val="20"/>
          <w:rtl/>
        </w:rPr>
        <w:t>-201</w:t>
      </w:r>
      <w:r w:rsidR="007900AC">
        <w:rPr>
          <w:rFonts w:ascii="Tahoma" w:hAnsi="Tahoma" w:cs="Tahoma" w:hint="cs"/>
          <w:szCs w:val="20"/>
          <w:rtl/>
        </w:rPr>
        <w:t>6</w:t>
      </w:r>
      <w:r w:rsidRPr="00BC57BC">
        <w:rPr>
          <w:rFonts w:ascii="Tahoma" w:hAnsi="Tahoma" w:cs="Tahoma"/>
          <w:szCs w:val="20"/>
          <w:rtl/>
        </w:rPr>
        <w:t>, סה"כ 32 פרוטוקולים. מסקירת כלל הפרוטוקולים עלו לכאורה סוגיות חוזרות במספר רב של התקשרויות. נוכח ממצאים אלה החליט צוות הביקורת לבחון 23 התקשרויות מהותיות בהיקפן הכספי, מתוכן נמצאו ליקויים ב-18 התקשרויות (78%). בחינת התקשרויות אלה כללה את הנושאים הבאים: הגדלת התקשרויות, הגדלה מצטברת של התקשרויות, הכנת אומדנים עצמיים להערכת סכום ההתקשרות. להלן דוגמאות על ליקויים שהעלה משרד מבקר המדינה.</w:t>
      </w:r>
    </w:p>
    <w:p w:rsidR="00A75367" w:rsidRPr="00A75367" w:rsidRDefault="00A75367" w:rsidP="00A75367">
      <w:pPr>
        <w:pStyle w:val="31"/>
        <w:rPr>
          <w:rtl/>
        </w:rPr>
      </w:pPr>
      <w:bookmarkStart w:id="22" w:name="_Toc17268278"/>
      <w:bookmarkStart w:id="23" w:name="_Toc32167115"/>
      <w:r w:rsidRPr="00A75367">
        <w:rPr>
          <w:rtl/>
        </w:rPr>
        <w:t>הגדלת התקשרויות</w:t>
      </w:r>
      <w:bookmarkEnd w:id="22"/>
      <w:bookmarkEnd w:id="23"/>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את גרסתו האחרונה של נוהל ההתקשרויות של התאגיד אישר הדירקטוריון באוקטובר 2017</w:t>
      </w:r>
      <w:r w:rsidRPr="00BC57BC">
        <w:rPr>
          <w:rStyle w:val="FootnoteReference"/>
          <w:rFonts w:ascii="Tahoma" w:hAnsi="Tahoma" w:cs="Tahoma"/>
          <w:szCs w:val="20"/>
          <w:rtl/>
        </w:rPr>
        <w:footnoteReference w:id="33"/>
      </w:r>
      <w:r w:rsidRPr="00BC57BC">
        <w:rPr>
          <w:rFonts w:ascii="Tahoma" w:hAnsi="Tahoma" w:cs="Tahoma"/>
          <w:sz w:val="16"/>
          <w:szCs w:val="20"/>
          <w:rtl/>
        </w:rPr>
        <w:t>. על פי הנוהל, ועדת המכרזים של התאגיד מוסמכת להגדיל הסכם או הזמנה ללא הוספת פריטים חריגים</w:t>
      </w:r>
      <w:r w:rsidRPr="00BC57BC">
        <w:rPr>
          <w:rStyle w:val="FootnoteReference"/>
          <w:rFonts w:ascii="Tahoma" w:hAnsi="Tahoma" w:cs="Tahoma"/>
          <w:szCs w:val="20"/>
          <w:rtl/>
        </w:rPr>
        <w:footnoteReference w:id="34"/>
      </w:r>
      <w:r w:rsidRPr="00BC57BC">
        <w:rPr>
          <w:rFonts w:ascii="Tahoma" w:hAnsi="Tahoma" w:cs="Tahoma"/>
          <w:sz w:val="16"/>
          <w:szCs w:val="20"/>
          <w:rtl/>
        </w:rPr>
        <w:t xml:space="preserve"> עד להיקף כספי של 2.5 מיליון ש"ח, או שווה ערך ל-50% מהיקף הכספי המקורי של ההסכם או ההזמנה (הנמוך </w:t>
      </w:r>
      <w:proofErr w:type="spellStart"/>
      <w:r w:rsidRPr="00BC57BC">
        <w:rPr>
          <w:rFonts w:ascii="Tahoma" w:hAnsi="Tahoma" w:cs="Tahoma"/>
          <w:sz w:val="16"/>
          <w:szCs w:val="20"/>
          <w:rtl/>
        </w:rPr>
        <w:t>מביניהם</w:t>
      </w:r>
      <w:proofErr w:type="spellEnd"/>
      <w:r w:rsidRPr="00BC57BC">
        <w:rPr>
          <w:rFonts w:ascii="Tahoma" w:hAnsi="Tahoma" w:cs="Tahoma"/>
          <w:sz w:val="16"/>
          <w:szCs w:val="20"/>
          <w:rtl/>
        </w:rPr>
        <w:t xml:space="preserve">). הוועדה יכולה גם להגדיל הסכם או הזמנה באמצעות הוספת פריטים חריגים בשלושה תנאים: סך ההגדלה אינו עולה על 1.25 מיליון ש"ח או על 25% מההיקף הכספי המקורי של ההסכם או ההזמנה (הנמוך </w:t>
      </w:r>
      <w:proofErr w:type="spellStart"/>
      <w:r w:rsidRPr="00BC57BC">
        <w:rPr>
          <w:rFonts w:ascii="Tahoma" w:hAnsi="Tahoma" w:cs="Tahoma"/>
          <w:sz w:val="16"/>
          <w:szCs w:val="20"/>
          <w:rtl/>
        </w:rPr>
        <w:t>מביניהם</w:t>
      </w:r>
      <w:proofErr w:type="spellEnd"/>
      <w:r w:rsidRPr="00BC57BC">
        <w:rPr>
          <w:rFonts w:ascii="Tahoma" w:hAnsi="Tahoma" w:cs="Tahoma"/>
          <w:sz w:val="16"/>
          <w:szCs w:val="20"/>
          <w:rtl/>
        </w:rPr>
        <w:t>); ההגדלה נדרשת לביצוע תכולת העבודה המקורית של ההסכם או ההזמנה; וההגדלה אינה מהווה מסירה של "יחידת עבודה" חדשה לספק. עוד נקבע בנוהל הגדלת הסכמים והזמנות משנת 2012 שהיה בתוקף עד אוקטובר 2017, כי הוועדה אינה מוסמכת לדון בדיעבד בהגדלת הסכם שביצועו החל לפני שהובא לפני הוועדה, פרט למקרים שקיבלו אישור</w:t>
      </w:r>
      <w:r>
        <w:rPr>
          <w:rFonts w:ascii="Tahoma" w:hAnsi="Tahoma" w:cs="Tahoma"/>
          <w:sz w:val="16"/>
          <w:szCs w:val="20"/>
          <w:rtl/>
        </w:rPr>
        <w:t xml:space="preserve"> </w:t>
      </w:r>
      <w:r w:rsidRPr="00BC57BC">
        <w:rPr>
          <w:rFonts w:ascii="Tahoma" w:hAnsi="Tahoma" w:cs="Tahoma"/>
          <w:sz w:val="16"/>
          <w:szCs w:val="20"/>
          <w:rtl/>
        </w:rPr>
        <w:t>מנכ"ל התאגיד.</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 xml:space="preserve">משרד מבקר המדינה מצא כי ועדת המכרזים של התאגיד אישרה הגדלה של התקשרויות באופן שאינו עולה בקנה אחד עם נוהל ההתקשרויות. להלן דוגמאות: </w:t>
      </w:r>
    </w:p>
    <w:p w:rsidR="00A75367" w:rsidRPr="00BC57BC" w:rsidRDefault="00A75367" w:rsidP="00D67126">
      <w:pPr>
        <w:pStyle w:val="41"/>
        <w:rPr>
          <w:rtl/>
        </w:rPr>
      </w:pPr>
      <w:bookmarkStart w:id="24" w:name="_Toc17268279"/>
      <w:r w:rsidRPr="00BC57BC">
        <w:rPr>
          <w:rtl/>
        </w:rPr>
        <w:t>התקנת מערכות לניטור שפכים</w:t>
      </w:r>
      <w:bookmarkEnd w:id="24"/>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 xml:space="preserve">ביוני 2016 התקשר התאגיד עם ספק א' להתקנת 20 מערכות לניטור שפכים בהיקף כולל של כמיליון ש"ח. בפברואר 2017 העבירה מחלקת שפכי תעשייה בתאגיד לוועדת המכרזים בקשה להגדלת ההסכם בהיקף של 99.9%, כלומר תוספת של כמיליון ש"ח, לשם רכישה של 30 מערכות נוספות. בנימוקים לבקשת ההגדלה ציינה מחלקת שפכי תעשייה כי המערכות שהותקנו הוכיחו את יעילותן ואת יכולתן להפחית את העומס במערכת הביוב העירונית. עוד צוין כי התקנת המערכות מספקת לתאגיד מידע על עסקים מזהמים ומאפשרות אכיפה מוגברת </w:t>
      </w:r>
      <w:r w:rsidRPr="00BC57BC">
        <w:rPr>
          <w:rFonts w:ascii="Tahoma" w:hAnsi="Tahoma" w:cs="Tahoma"/>
          <w:sz w:val="16"/>
          <w:szCs w:val="20"/>
          <w:rtl/>
        </w:rPr>
        <w:lastRenderedPageBreak/>
        <w:t xml:space="preserve">נגד עסקים אלו ופיקוח על שלל אזורים. יצוין כי על אף היתרונות שמנתה מחלקת שפכי תעשייה, היא לא הציגה לוועדת המכרזים חישובי עלות-תועלת או תימוכין הכוללים פרמטרים איכותיים המעידים על החיסכון בעקבות התקנת המערכות האמורות. בהיות התאגיד גוף עסקי, ראוי שבקשה להגדלת עסקה בכמיליון ש"ח יובאו לה תימוכין כאמור. </w:t>
      </w:r>
    </w:p>
    <w:p w:rsidR="00A75367" w:rsidRPr="00BC57BC" w:rsidRDefault="00A75367" w:rsidP="00D6712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C57BC">
        <w:rPr>
          <w:rFonts w:ascii="Tahoma" w:hAnsi="Tahoma" w:cs="Tahoma"/>
          <w:b w:val="0"/>
          <w:bCs w:val="0"/>
          <w:sz w:val="16"/>
          <w:szCs w:val="20"/>
          <w:rtl/>
        </w:rPr>
        <w:t xml:space="preserve">על פי נוהל "הגדלת הסכמים והזמנות" שהיה בתוקף באותה עת, ניתן היה להגדיל הסכם ללא הוספת פריטים חריגים עד לסך 2.5 מיליון ש"ח או עד 50% מסכום ההסכם המקורי, כ-500,000 ש"ח, (הנמוך </w:t>
      </w:r>
      <w:proofErr w:type="spellStart"/>
      <w:r w:rsidRPr="00BC57BC">
        <w:rPr>
          <w:rFonts w:ascii="Tahoma" w:hAnsi="Tahoma" w:cs="Tahoma"/>
          <w:b w:val="0"/>
          <w:bCs w:val="0"/>
          <w:sz w:val="16"/>
          <w:szCs w:val="20"/>
          <w:rtl/>
        </w:rPr>
        <w:t>מביניהם</w:t>
      </w:r>
      <w:proofErr w:type="spellEnd"/>
      <w:r w:rsidRPr="00BC57BC">
        <w:rPr>
          <w:rFonts w:ascii="Tahoma" w:hAnsi="Tahoma" w:cs="Tahoma"/>
          <w:b w:val="0"/>
          <w:bCs w:val="0"/>
          <w:sz w:val="16"/>
          <w:szCs w:val="20"/>
          <w:rtl/>
        </w:rPr>
        <w:t xml:space="preserve">). ועדת המכרזים אישרה באותו חודש את הגדלת ההתקשרות, שלא על פי הנוהל. </w:t>
      </w:r>
    </w:p>
    <w:p w:rsidR="00A75367" w:rsidRPr="00BC57BC" w:rsidRDefault="00A75367" w:rsidP="00041F2A">
      <w:pPr>
        <w:pStyle w:val="41"/>
        <w:rPr>
          <w:rtl/>
        </w:rPr>
      </w:pPr>
      <w:bookmarkStart w:id="25" w:name="_Toc17268280"/>
      <w:r w:rsidRPr="00BC57BC">
        <w:rPr>
          <w:rtl/>
        </w:rPr>
        <w:t>מתן שירותי ניהול פרויקטים ברשת המים</w:t>
      </w:r>
      <w:bookmarkEnd w:id="25"/>
    </w:p>
    <w:p w:rsidR="00A75367" w:rsidRPr="00BC57BC" w:rsidRDefault="00A75367" w:rsidP="00A75367">
      <w:pPr>
        <w:spacing w:after="120"/>
        <w:ind w:left="-2"/>
        <w:rPr>
          <w:rFonts w:ascii="Tahoma" w:hAnsi="Tahoma" w:cs="Tahoma"/>
          <w:szCs w:val="20"/>
          <w:rtl/>
        </w:rPr>
      </w:pPr>
      <w:r w:rsidRPr="00BC57BC">
        <w:rPr>
          <w:rFonts w:ascii="Tahoma" w:hAnsi="Tahoma" w:cs="Tahoma"/>
          <w:szCs w:val="20"/>
          <w:rtl/>
        </w:rPr>
        <w:t>ביולי 2015</w:t>
      </w:r>
      <w:r w:rsidRPr="00BC57BC">
        <w:rPr>
          <w:rFonts w:ascii="Tahoma" w:hAnsi="Tahoma" w:cs="Tahoma"/>
          <w:b/>
          <w:bCs/>
          <w:szCs w:val="20"/>
          <w:rtl/>
        </w:rPr>
        <w:t xml:space="preserve"> </w:t>
      </w:r>
      <w:r w:rsidRPr="00BC57BC">
        <w:rPr>
          <w:rFonts w:ascii="Tahoma" w:hAnsi="Tahoma" w:cs="Tahoma"/>
          <w:szCs w:val="20"/>
          <w:rtl/>
        </w:rPr>
        <w:t>אישרה ועדת המכרזים התקשרות מסגרת עם ארבעה ספקים למתן שירותי ניהול פרויקטים ברשת המים. ההסכמים קבעו את פריטי העבודה הניתנת לביצוע ואת הסכום המרבי להתקשרות. תוקף ההסכמים היה לשנה החל מ-1.9.15, כשלחברה הייתה אופציה להאריך את תוקפם בשתי תקופות רצופות ונפרדות בנות שנה כל אחת. עוד נקבע בהסכמים כי הספקים ימשיכו לספק את השירותים לכל פרויקט שההזמנה</w:t>
      </w:r>
      <w:r w:rsidRPr="00BC57BC" w:rsidDel="00A71F14">
        <w:rPr>
          <w:rFonts w:ascii="Tahoma" w:hAnsi="Tahoma" w:cs="Tahoma"/>
          <w:szCs w:val="20"/>
          <w:rtl/>
        </w:rPr>
        <w:t xml:space="preserve"> </w:t>
      </w:r>
      <w:r w:rsidRPr="00BC57BC">
        <w:rPr>
          <w:rFonts w:ascii="Tahoma" w:hAnsi="Tahoma" w:cs="Tahoma"/>
          <w:szCs w:val="20"/>
          <w:rtl/>
        </w:rPr>
        <w:t xml:space="preserve">עבורו ניתנה במהלך קיום ההסכם, גם אם זמן ביצוע השירותים בפועל חורג מתקופת ההסכם. </w:t>
      </w:r>
    </w:p>
    <w:p w:rsidR="00A75367" w:rsidRPr="00BC57BC" w:rsidRDefault="00A75367" w:rsidP="00A75367">
      <w:pPr>
        <w:pStyle w:val="BodyText21"/>
        <w:rPr>
          <w:rtl/>
        </w:rPr>
      </w:pPr>
      <w:r w:rsidRPr="00BC57BC">
        <w:rPr>
          <w:rtl/>
        </w:rPr>
        <w:t>בספטמבר 2016, לאחר תום ההתקשרות, פנה אגף המים של התאגיד לוועדת המכרזים בבקשה להגדלת כמה התקשרויות, כמפורט להלן:</w:t>
      </w:r>
    </w:p>
    <w:p w:rsidR="00A75367" w:rsidRPr="00BC57BC" w:rsidRDefault="00A75367" w:rsidP="00041F2A">
      <w:pPr>
        <w:pStyle w:val="a1"/>
        <w:rPr>
          <w:u w:val="single"/>
          <w:rtl/>
        </w:rPr>
      </w:pPr>
      <w:r w:rsidRPr="00041F2A">
        <w:rPr>
          <w:b w:val="0"/>
          <w:bCs w:val="0"/>
          <w:rtl/>
        </w:rPr>
        <w:t>לוח 10:</w:t>
      </w:r>
      <w:r w:rsidRPr="00BC57BC">
        <w:rPr>
          <w:rtl/>
        </w:rPr>
        <w:t xml:space="preserve"> הגדלת התקשרויות של אגף המים בגיחון</w:t>
      </w:r>
    </w:p>
    <w:tbl>
      <w:tblPr>
        <w:tblStyle w:val="TableGrid"/>
        <w:bidiVisual/>
        <w:tblW w:w="0" w:type="auto"/>
        <w:jc w:val="center"/>
        <w:tblLook w:val="04A0" w:firstRow="1" w:lastRow="0" w:firstColumn="1" w:lastColumn="0" w:noHBand="0" w:noVBand="1"/>
      </w:tblPr>
      <w:tblGrid>
        <w:gridCol w:w="805"/>
        <w:gridCol w:w="1650"/>
        <w:gridCol w:w="1955"/>
        <w:gridCol w:w="1543"/>
        <w:gridCol w:w="1785"/>
      </w:tblGrid>
      <w:tr w:rsidR="00A75367" w:rsidRPr="00BC57BC" w:rsidTr="00041F2A">
        <w:trPr>
          <w:tblHeader/>
          <w:jc w:val="center"/>
        </w:trPr>
        <w:tc>
          <w:tcPr>
            <w:tcW w:w="0" w:type="auto"/>
            <w:shd w:val="clear" w:color="auto" w:fill="C6D9F1"/>
            <w:vAlign w:val="bottom"/>
          </w:tcPr>
          <w:p w:rsidR="00A75367" w:rsidRPr="00041F2A" w:rsidRDefault="00A75367" w:rsidP="00041F2A">
            <w:pPr>
              <w:tabs>
                <w:tab w:val="left" w:pos="1148"/>
              </w:tabs>
              <w:spacing w:before="40" w:after="40"/>
              <w:jc w:val="left"/>
              <w:rPr>
                <w:rFonts w:ascii="Tahoma" w:eastAsiaTheme="minorEastAsia" w:hAnsi="Tahoma" w:cs="Tahoma"/>
                <w:b/>
                <w:bCs/>
                <w:sz w:val="18"/>
                <w:szCs w:val="18"/>
                <w:rtl/>
              </w:rPr>
            </w:pPr>
            <w:r w:rsidRPr="00041F2A">
              <w:rPr>
                <w:rFonts w:ascii="Tahoma" w:eastAsiaTheme="minorEastAsia" w:hAnsi="Tahoma" w:cs="Tahoma"/>
                <w:b/>
                <w:bCs/>
                <w:sz w:val="18"/>
                <w:szCs w:val="18"/>
                <w:rtl/>
              </w:rPr>
              <w:t>הספק</w:t>
            </w:r>
          </w:p>
        </w:tc>
        <w:tc>
          <w:tcPr>
            <w:tcW w:w="0" w:type="auto"/>
            <w:shd w:val="clear" w:color="auto" w:fill="C6D9F1"/>
            <w:vAlign w:val="bottom"/>
          </w:tcPr>
          <w:p w:rsidR="00A75367" w:rsidRPr="00041F2A" w:rsidRDefault="00A75367" w:rsidP="00041F2A">
            <w:pPr>
              <w:tabs>
                <w:tab w:val="left" w:pos="1148"/>
              </w:tabs>
              <w:spacing w:before="40" w:after="40"/>
              <w:jc w:val="left"/>
              <w:rPr>
                <w:rFonts w:ascii="Tahoma" w:eastAsiaTheme="minorEastAsia" w:hAnsi="Tahoma" w:cs="Tahoma"/>
                <w:b/>
                <w:bCs/>
                <w:sz w:val="18"/>
                <w:szCs w:val="18"/>
                <w:rtl/>
              </w:rPr>
            </w:pPr>
            <w:r w:rsidRPr="00041F2A">
              <w:rPr>
                <w:rFonts w:ascii="Tahoma" w:eastAsiaTheme="minorEastAsia" w:hAnsi="Tahoma" w:cs="Tahoma"/>
                <w:b/>
                <w:bCs/>
                <w:sz w:val="18"/>
                <w:szCs w:val="18"/>
                <w:rtl/>
              </w:rPr>
              <w:t xml:space="preserve">הסכום המרבי </w:t>
            </w:r>
            <w:r w:rsidR="00041F2A">
              <w:rPr>
                <w:rFonts w:ascii="Tahoma" w:eastAsiaTheme="minorEastAsia" w:hAnsi="Tahoma" w:cs="Tahoma" w:hint="cs"/>
                <w:b/>
                <w:bCs/>
                <w:sz w:val="18"/>
                <w:szCs w:val="18"/>
                <w:rtl/>
              </w:rPr>
              <w:br/>
            </w:r>
            <w:r w:rsidRPr="00041F2A">
              <w:rPr>
                <w:rFonts w:ascii="Tahoma" w:eastAsiaTheme="minorEastAsia" w:hAnsi="Tahoma" w:cs="Tahoma"/>
                <w:b/>
                <w:bCs/>
                <w:sz w:val="18"/>
                <w:szCs w:val="18"/>
                <w:rtl/>
              </w:rPr>
              <w:t xml:space="preserve">להתקשרות כפי </w:t>
            </w:r>
            <w:r w:rsidR="00041F2A">
              <w:rPr>
                <w:rFonts w:ascii="Tahoma" w:eastAsiaTheme="minorEastAsia" w:hAnsi="Tahoma" w:cs="Tahoma" w:hint="cs"/>
                <w:b/>
                <w:bCs/>
                <w:sz w:val="18"/>
                <w:szCs w:val="18"/>
                <w:rtl/>
              </w:rPr>
              <w:br/>
            </w:r>
            <w:r w:rsidRPr="00041F2A">
              <w:rPr>
                <w:rFonts w:ascii="Tahoma" w:eastAsiaTheme="minorEastAsia" w:hAnsi="Tahoma" w:cs="Tahoma"/>
                <w:b/>
                <w:bCs/>
                <w:sz w:val="18"/>
                <w:szCs w:val="18"/>
                <w:rtl/>
              </w:rPr>
              <w:t xml:space="preserve">שנקבע בהסכם </w:t>
            </w:r>
            <w:r w:rsidR="00041F2A">
              <w:rPr>
                <w:rFonts w:ascii="Tahoma" w:eastAsiaTheme="minorEastAsia" w:hAnsi="Tahoma" w:cs="Tahoma" w:hint="cs"/>
                <w:b/>
                <w:bCs/>
                <w:sz w:val="18"/>
                <w:szCs w:val="18"/>
                <w:rtl/>
              </w:rPr>
              <w:br/>
            </w:r>
            <w:r w:rsidRPr="00041F2A">
              <w:rPr>
                <w:rFonts w:ascii="Tahoma" w:eastAsiaTheme="minorEastAsia" w:hAnsi="Tahoma" w:cs="Tahoma"/>
                <w:b/>
                <w:bCs/>
                <w:sz w:val="18"/>
                <w:szCs w:val="18"/>
                <w:rtl/>
              </w:rPr>
              <w:t xml:space="preserve">מספטמבר 2015 </w:t>
            </w:r>
            <w:r w:rsidR="00041F2A">
              <w:rPr>
                <w:rFonts w:ascii="Tahoma" w:eastAsiaTheme="minorEastAsia" w:hAnsi="Tahoma" w:cs="Tahoma" w:hint="cs"/>
                <w:b/>
                <w:bCs/>
                <w:sz w:val="18"/>
                <w:szCs w:val="18"/>
                <w:rtl/>
              </w:rPr>
              <w:br/>
            </w:r>
            <w:r w:rsidRPr="00041F2A">
              <w:rPr>
                <w:rFonts w:ascii="Tahoma" w:eastAsiaTheme="minorEastAsia" w:hAnsi="Tahoma" w:cs="Tahoma"/>
                <w:b/>
                <w:bCs/>
                <w:sz w:val="18"/>
                <w:szCs w:val="18"/>
                <w:rtl/>
              </w:rPr>
              <w:t>(ש"ח)</w:t>
            </w:r>
          </w:p>
        </w:tc>
        <w:tc>
          <w:tcPr>
            <w:tcW w:w="0" w:type="auto"/>
            <w:shd w:val="clear" w:color="auto" w:fill="C6D9F1"/>
            <w:vAlign w:val="bottom"/>
          </w:tcPr>
          <w:p w:rsidR="00A75367" w:rsidRPr="00041F2A" w:rsidRDefault="00A75367" w:rsidP="00041F2A">
            <w:pPr>
              <w:tabs>
                <w:tab w:val="left" w:pos="1148"/>
              </w:tabs>
              <w:spacing w:before="40" w:after="40"/>
              <w:jc w:val="left"/>
              <w:rPr>
                <w:rFonts w:ascii="Tahoma" w:eastAsiaTheme="minorEastAsia" w:hAnsi="Tahoma" w:cs="Tahoma"/>
                <w:b/>
                <w:bCs/>
                <w:sz w:val="18"/>
                <w:szCs w:val="18"/>
                <w:rtl/>
              </w:rPr>
            </w:pPr>
            <w:r w:rsidRPr="00041F2A">
              <w:rPr>
                <w:rFonts w:ascii="Tahoma" w:eastAsiaTheme="minorEastAsia" w:hAnsi="Tahoma" w:cs="Tahoma"/>
                <w:b/>
                <w:bCs/>
                <w:sz w:val="18"/>
                <w:szCs w:val="18"/>
                <w:rtl/>
              </w:rPr>
              <w:t xml:space="preserve">סכום הזמנות הרכש </w:t>
            </w:r>
            <w:r w:rsidR="00041F2A">
              <w:rPr>
                <w:rFonts w:ascii="Tahoma" w:eastAsiaTheme="minorEastAsia" w:hAnsi="Tahoma" w:cs="Tahoma" w:hint="cs"/>
                <w:b/>
                <w:bCs/>
                <w:sz w:val="18"/>
                <w:szCs w:val="18"/>
                <w:rtl/>
              </w:rPr>
              <w:br/>
            </w:r>
            <w:r w:rsidRPr="00041F2A">
              <w:rPr>
                <w:rFonts w:ascii="Tahoma" w:eastAsiaTheme="minorEastAsia" w:hAnsi="Tahoma" w:cs="Tahoma"/>
                <w:b/>
                <w:bCs/>
                <w:sz w:val="18"/>
                <w:szCs w:val="18"/>
                <w:rtl/>
              </w:rPr>
              <w:t>בפועל (ש"ח)</w:t>
            </w:r>
          </w:p>
        </w:tc>
        <w:tc>
          <w:tcPr>
            <w:tcW w:w="0" w:type="auto"/>
            <w:shd w:val="clear" w:color="auto" w:fill="C6D9F1"/>
            <w:vAlign w:val="bottom"/>
          </w:tcPr>
          <w:p w:rsidR="00A75367" w:rsidRPr="00041F2A" w:rsidRDefault="00A75367" w:rsidP="00041F2A">
            <w:pPr>
              <w:tabs>
                <w:tab w:val="left" w:pos="1148"/>
              </w:tabs>
              <w:spacing w:before="40" w:after="40"/>
              <w:jc w:val="left"/>
              <w:rPr>
                <w:rFonts w:ascii="Tahoma" w:eastAsiaTheme="minorEastAsia" w:hAnsi="Tahoma" w:cs="Tahoma"/>
                <w:b/>
                <w:bCs/>
                <w:sz w:val="18"/>
                <w:szCs w:val="18"/>
                <w:rtl/>
              </w:rPr>
            </w:pPr>
            <w:r w:rsidRPr="00041F2A">
              <w:rPr>
                <w:rFonts w:ascii="Tahoma" w:eastAsiaTheme="minorEastAsia" w:hAnsi="Tahoma" w:cs="Tahoma"/>
                <w:b/>
                <w:bCs/>
                <w:sz w:val="18"/>
                <w:szCs w:val="18"/>
                <w:rtl/>
              </w:rPr>
              <w:t xml:space="preserve">שיעור ההגדלה </w:t>
            </w:r>
            <w:r w:rsidR="00041F2A">
              <w:rPr>
                <w:rFonts w:ascii="Tahoma" w:eastAsiaTheme="minorEastAsia" w:hAnsi="Tahoma" w:cs="Tahoma" w:hint="cs"/>
                <w:b/>
                <w:bCs/>
                <w:sz w:val="18"/>
                <w:szCs w:val="18"/>
                <w:rtl/>
              </w:rPr>
              <w:br/>
            </w:r>
            <w:r w:rsidRPr="00041F2A">
              <w:rPr>
                <w:rFonts w:ascii="Tahoma" w:eastAsiaTheme="minorEastAsia" w:hAnsi="Tahoma" w:cs="Tahoma"/>
                <w:b/>
                <w:bCs/>
                <w:sz w:val="18"/>
                <w:szCs w:val="18"/>
                <w:rtl/>
              </w:rPr>
              <w:t>המצטבר</w:t>
            </w:r>
          </w:p>
        </w:tc>
        <w:tc>
          <w:tcPr>
            <w:tcW w:w="0" w:type="auto"/>
            <w:shd w:val="clear" w:color="auto" w:fill="C6D9F1"/>
            <w:vAlign w:val="bottom"/>
          </w:tcPr>
          <w:p w:rsidR="00A75367" w:rsidRPr="00041F2A" w:rsidRDefault="00A75367" w:rsidP="00041F2A">
            <w:pPr>
              <w:tabs>
                <w:tab w:val="left" w:pos="1148"/>
              </w:tabs>
              <w:spacing w:before="40" w:after="40"/>
              <w:jc w:val="left"/>
              <w:rPr>
                <w:rFonts w:ascii="Tahoma" w:eastAsiaTheme="minorEastAsia" w:hAnsi="Tahoma" w:cs="Tahoma"/>
                <w:b/>
                <w:bCs/>
                <w:sz w:val="18"/>
                <w:szCs w:val="18"/>
                <w:rtl/>
              </w:rPr>
            </w:pPr>
            <w:r w:rsidRPr="00041F2A">
              <w:rPr>
                <w:rFonts w:ascii="Tahoma" w:eastAsiaTheme="minorEastAsia" w:hAnsi="Tahoma" w:cs="Tahoma"/>
                <w:b/>
                <w:bCs/>
                <w:sz w:val="18"/>
                <w:szCs w:val="18"/>
                <w:rtl/>
              </w:rPr>
              <w:t xml:space="preserve">המועד שהחלה בו </w:t>
            </w:r>
            <w:r w:rsidR="00041F2A">
              <w:rPr>
                <w:rFonts w:ascii="Tahoma" w:eastAsiaTheme="minorEastAsia" w:hAnsi="Tahoma" w:cs="Tahoma" w:hint="cs"/>
                <w:b/>
                <w:bCs/>
                <w:sz w:val="18"/>
                <w:szCs w:val="18"/>
                <w:rtl/>
              </w:rPr>
              <w:br/>
            </w:r>
            <w:r w:rsidRPr="00041F2A">
              <w:rPr>
                <w:rFonts w:ascii="Tahoma" w:eastAsiaTheme="minorEastAsia" w:hAnsi="Tahoma" w:cs="Tahoma"/>
                <w:b/>
                <w:bCs/>
                <w:sz w:val="18"/>
                <w:szCs w:val="18"/>
                <w:rtl/>
              </w:rPr>
              <w:t xml:space="preserve">החריגה </w:t>
            </w:r>
            <w:r w:rsidR="00041F2A">
              <w:rPr>
                <w:rFonts w:ascii="Tahoma" w:eastAsiaTheme="minorEastAsia" w:hAnsi="Tahoma" w:cs="Tahoma" w:hint="cs"/>
                <w:b/>
                <w:bCs/>
                <w:sz w:val="18"/>
                <w:szCs w:val="18"/>
                <w:rtl/>
              </w:rPr>
              <w:br/>
            </w:r>
            <w:r w:rsidRPr="00041F2A">
              <w:rPr>
                <w:rFonts w:ascii="Tahoma" w:eastAsiaTheme="minorEastAsia" w:hAnsi="Tahoma" w:cs="Tahoma"/>
                <w:b/>
                <w:bCs/>
                <w:sz w:val="18"/>
                <w:szCs w:val="18"/>
                <w:rtl/>
              </w:rPr>
              <w:t>מהסכם המסגרת</w:t>
            </w:r>
          </w:p>
        </w:tc>
      </w:tr>
      <w:tr w:rsidR="00A75367" w:rsidRPr="00BC57BC" w:rsidTr="00041F2A">
        <w:trPr>
          <w:trHeight w:val="322"/>
          <w:jc w:val="center"/>
        </w:trPr>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ספק ב'</w:t>
            </w:r>
          </w:p>
        </w:tc>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295,000</w:t>
            </w:r>
          </w:p>
        </w:tc>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 xml:space="preserve">703,052 </w:t>
            </w:r>
          </w:p>
        </w:tc>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138%</w:t>
            </w:r>
          </w:p>
        </w:tc>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מרץ 2016</w:t>
            </w:r>
          </w:p>
        </w:tc>
      </w:tr>
      <w:tr w:rsidR="00A75367" w:rsidRPr="00BC57BC" w:rsidTr="00041F2A">
        <w:trPr>
          <w:jc w:val="center"/>
        </w:trPr>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ספק ג'</w:t>
            </w:r>
          </w:p>
        </w:tc>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309,962</w:t>
            </w:r>
          </w:p>
        </w:tc>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544,903</w:t>
            </w:r>
          </w:p>
        </w:tc>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76%</w:t>
            </w:r>
          </w:p>
        </w:tc>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מאי 2016</w:t>
            </w:r>
          </w:p>
        </w:tc>
      </w:tr>
      <w:tr w:rsidR="00A75367" w:rsidRPr="00BC57BC" w:rsidTr="00041F2A">
        <w:trPr>
          <w:jc w:val="center"/>
        </w:trPr>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ספק ד'</w:t>
            </w:r>
          </w:p>
        </w:tc>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309,962</w:t>
            </w:r>
          </w:p>
        </w:tc>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337,844</w:t>
            </w:r>
          </w:p>
        </w:tc>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9%</w:t>
            </w:r>
          </w:p>
        </w:tc>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יולי 2016</w:t>
            </w:r>
          </w:p>
        </w:tc>
      </w:tr>
      <w:tr w:rsidR="00A75367" w:rsidRPr="00BC57BC" w:rsidTr="00041F2A">
        <w:trPr>
          <w:jc w:val="center"/>
        </w:trPr>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ספק ה'</w:t>
            </w:r>
          </w:p>
        </w:tc>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289,931</w:t>
            </w:r>
          </w:p>
        </w:tc>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357,105</w:t>
            </w:r>
          </w:p>
        </w:tc>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23%</w:t>
            </w:r>
          </w:p>
        </w:tc>
        <w:tc>
          <w:tcPr>
            <w:tcW w:w="0" w:type="auto"/>
            <w:vAlign w:val="bottom"/>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אפריל 2016</w:t>
            </w:r>
          </w:p>
        </w:tc>
      </w:tr>
    </w:tbl>
    <w:p w:rsidR="00A75367" w:rsidRPr="00041F2A" w:rsidRDefault="00A75367" w:rsidP="00041F2A">
      <w:pPr>
        <w:spacing w:before="120" w:after="120"/>
        <w:jc w:val="center"/>
        <w:rPr>
          <w:rFonts w:ascii="Tahoma" w:hAnsi="Tahoma" w:cs="Tahoma"/>
          <w:sz w:val="16"/>
          <w:szCs w:val="16"/>
          <w:rtl/>
          <w:lang w:eastAsia="he-IL"/>
        </w:rPr>
      </w:pPr>
      <w:r w:rsidRPr="00041F2A">
        <w:rPr>
          <w:rFonts w:ascii="Tahoma" w:hAnsi="Tahoma" w:cs="Tahoma"/>
          <w:sz w:val="16"/>
          <w:szCs w:val="16"/>
          <w:rtl/>
          <w:lang w:eastAsia="he-IL"/>
        </w:rPr>
        <w:t>על פי נתוני תאגיד הגיחון.</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 xml:space="preserve">בפרוטוקול הוועדה נכתב כי כל ההגדלות הובאו לדיון בדיעבד, לאחר שהזמנות הועברו לספקים, וכמה חודשים לאחר שנרשמה חריגה ממסגרת ההסכמים. בנימוקים לוועדת המכרזים הסביר אגף המים כי "ההיקף הכספי של הסכמי המסגרת [נחתם] על פי צפי העבודות של השנים הקרובות. בפועל היקף העבודה גדל משמעותית מהצפוי ולכן אנו צריכים להגדיל את הסכמי המסגרת ולא רק </w:t>
      </w:r>
      <w:proofErr w:type="spellStart"/>
      <w:r w:rsidRPr="00BC57BC">
        <w:rPr>
          <w:rFonts w:ascii="Tahoma" w:hAnsi="Tahoma" w:cs="Tahoma"/>
          <w:sz w:val="16"/>
          <w:szCs w:val="20"/>
          <w:rtl/>
        </w:rPr>
        <w:t>להאריכם</w:t>
      </w:r>
      <w:proofErr w:type="spellEnd"/>
      <w:r w:rsidRPr="00BC57BC">
        <w:rPr>
          <w:rFonts w:ascii="Tahoma" w:hAnsi="Tahoma" w:cs="Tahoma"/>
          <w:sz w:val="16"/>
          <w:szCs w:val="20"/>
          <w:rtl/>
        </w:rPr>
        <w:t xml:space="preserve">". </w:t>
      </w:r>
    </w:p>
    <w:p w:rsidR="00A75367" w:rsidRPr="00BC57BC" w:rsidRDefault="00A75367" w:rsidP="00041F2A">
      <w:pPr>
        <w:pStyle w:val="41"/>
      </w:pPr>
      <w:bookmarkStart w:id="26" w:name="_Toc17268281"/>
      <w:r w:rsidRPr="00BC57BC">
        <w:rPr>
          <w:rtl/>
        </w:rPr>
        <w:lastRenderedPageBreak/>
        <w:t>התקשרויות במחלקת לוגיסטיקה</w:t>
      </w:r>
      <w:bookmarkEnd w:id="26"/>
    </w:p>
    <w:p w:rsidR="00A75367" w:rsidRPr="00BC57BC" w:rsidRDefault="00A75367" w:rsidP="00A75367">
      <w:pPr>
        <w:autoSpaceDE w:val="0"/>
        <w:autoSpaceDN w:val="0"/>
        <w:adjustRightInd w:val="0"/>
        <w:spacing w:after="120"/>
        <w:rPr>
          <w:rFonts w:ascii="Tahoma" w:hAnsi="Tahoma" w:cs="Tahoma"/>
          <w:szCs w:val="20"/>
          <w:rtl/>
        </w:rPr>
      </w:pPr>
      <w:r w:rsidRPr="00BC57BC">
        <w:rPr>
          <w:rFonts w:ascii="Tahoma" w:hAnsi="Tahoma" w:cs="Tahoma"/>
          <w:szCs w:val="20"/>
          <w:rtl/>
        </w:rPr>
        <w:t xml:space="preserve">על פי נוהל "הגדלת הסכמים והזמנות", יחידה בתאגיד האחראית לביצוע הסכם מסגרת לפיתוח תשתיות מים, קולחים, ביוב או ניקוז, רשאית להגדיל הזמנה מתוך הסכם המסגרת בעד 50% מהיקף ההזמנה המקורית (במצטבר), ובתנאי שהפריטים נכללו בהסכם המקורי, שהסכום אינו עולה על 500,000 ש"ח ושאין בהגדלה חריגה מהסכום הכולל של הסכם המסגרת. </w:t>
      </w:r>
    </w:p>
    <w:p w:rsidR="00A75367" w:rsidRPr="00BC57BC" w:rsidRDefault="00A75367" w:rsidP="00A75367">
      <w:pPr>
        <w:autoSpaceDE w:val="0"/>
        <w:autoSpaceDN w:val="0"/>
        <w:adjustRightInd w:val="0"/>
        <w:spacing w:after="120"/>
        <w:rPr>
          <w:rFonts w:ascii="Tahoma" w:hAnsi="Tahoma" w:cs="Tahoma"/>
          <w:szCs w:val="20"/>
          <w:rtl/>
        </w:rPr>
      </w:pPr>
      <w:r w:rsidRPr="00BC57BC">
        <w:rPr>
          <w:rFonts w:ascii="Tahoma" w:hAnsi="Tahoma" w:cs="Tahoma"/>
          <w:szCs w:val="20"/>
          <w:rtl/>
        </w:rPr>
        <w:t>ביולי 2017 אישרה ועדת המכרזים הגדלת הסכמי מסגרת לאספקת טובין עבור מחלקת הלוגיסטיקה, כמפורט בלוח להלן:</w:t>
      </w:r>
    </w:p>
    <w:p w:rsidR="00A75367" w:rsidRPr="00041F2A" w:rsidRDefault="00A75367" w:rsidP="00041F2A">
      <w:pPr>
        <w:pStyle w:val="a1"/>
        <w:rPr>
          <w:rtl/>
        </w:rPr>
      </w:pPr>
      <w:r w:rsidRPr="00041F2A">
        <w:rPr>
          <w:b w:val="0"/>
          <w:bCs w:val="0"/>
          <w:rtl/>
        </w:rPr>
        <w:t>לוח 11:</w:t>
      </w:r>
      <w:r w:rsidRPr="00041F2A">
        <w:rPr>
          <w:rtl/>
        </w:rPr>
        <w:t xml:space="preserve"> הגדלת הסכמי מסגרת של מחלקת הלוגיסטיקה</w:t>
      </w:r>
    </w:p>
    <w:tbl>
      <w:tblPr>
        <w:tblStyle w:val="TableGrid"/>
        <w:bidiVisual/>
        <w:tblW w:w="0" w:type="auto"/>
        <w:jc w:val="center"/>
        <w:tblLook w:val="04A0" w:firstRow="1" w:lastRow="0" w:firstColumn="1" w:lastColumn="0" w:noHBand="0" w:noVBand="1"/>
      </w:tblPr>
      <w:tblGrid>
        <w:gridCol w:w="932"/>
        <w:gridCol w:w="2702"/>
        <w:gridCol w:w="1242"/>
        <w:gridCol w:w="1701"/>
        <w:gridCol w:w="1417"/>
      </w:tblGrid>
      <w:tr w:rsidR="00A75367" w:rsidRPr="00BC57BC" w:rsidTr="00041F2A">
        <w:trPr>
          <w:tblHeader/>
          <w:jc w:val="center"/>
        </w:trPr>
        <w:tc>
          <w:tcPr>
            <w:tcW w:w="932" w:type="dxa"/>
            <w:shd w:val="clear" w:color="auto" w:fill="C6D9F1"/>
            <w:vAlign w:val="bottom"/>
          </w:tcPr>
          <w:p w:rsidR="00A75367" w:rsidRPr="00041F2A" w:rsidRDefault="00A75367" w:rsidP="00041F2A">
            <w:pPr>
              <w:tabs>
                <w:tab w:val="left" w:pos="1148"/>
              </w:tabs>
              <w:spacing w:before="40" w:after="40"/>
              <w:jc w:val="left"/>
              <w:rPr>
                <w:rFonts w:ascii="Tahoma" w:eastAsiaTheme="minorEastAsia" w:hAnsi="Tahoma" w:cs="Tahoma"/>
                <w:b/>
                <w:bCs/>
                <w:sz w:val="18"/>
                <w:szCs w:val="18"/>
                <w:rtl/>
              </w:rPr>
            </w:pPr>
            <w:r w:rsidRPr="00041F2A">
              <w:rPr>
                <w:rFonts w:ascii="Tahoma" w:eastAsiaTheme="minorEastAsia" w:hAnsi="Tahoma" w:cs="Tahoma"/>
                <w:b/>
                <w:bCs/>
                <w:sz w:val="18"/>
                <w:szCs w:val="18"/>
                <w:rtl/>
              </w:rPr>
              <w:t>הספק</w:t>
            </w:r>
          </w:p>
        </w:tc>
        <w:tc>
          <w:tcPr>
            <w:tcW w:w="0" w:type="auto"/>
            <w:shd w:val="clear" w:color="auto" w:fill="C6D9F1"/>
            <w:vAlign w:val="bottom"/>
          </w:tcPr>
          <w:p w:rsidR="00A75367" w:rsidRPr="00041F2A" w:rsidRDefault="00A75367" w:rsidP="00041F2A">
            <w:pPr>
              <w:tabs>
                <w:tab w:val="left" w:pos="1148"/>
              </w:tabs>
              <w:spacing w:before="40" w:after="40"/>
              <w:jc w:val="left"/>
              <w:rPr>
                <w:rFonts w:ascii="Tahoma" w:eastAsiaTheme="minorEastAsia" w:hAnsi="Tahoma" w:cs="Tahoma"/>
                <w:b/>
                <w:bCs/>
                <w:sz w:val="18"/>
                <w:szCs w:val="18"/>
                <w:rtl/>
              </w:rPr>
            </w:pPr>
            <w:r w:rsidRPr="00041F2A">
              <w:rPr>
                <w:rFonts w:ascii="Tahoma" w:eastAsiaTheme="minorEastAsia" w:hAnsi="Tahoma" w:cs="Tahoma"/>
                <w:b/>
                <w:bCs/>
                <w:sz w:val="18"/>
                <w:szCs w:val="18"/>
                <w:rtl/>
              </w:rPr>
              <w:t>תיאור</w:t>
            </w:r>
          </w:p>
        </w:tc>
        <w:tc>
          <w:tcPr>
            <w:tcW w:w="1242" w:type="dxa"/>
            <w:shd w:val="clear" w:color="auto" w:fill="C6D9F1"/>
            <w:vAlign w:val="bottom"/>
          </w:tcPr>
          <w:p w:rsidR="00A75367" w:rsidRPr="00041F2A" w:rsidRDefault="00A75367" w:rsidP="00041F2A">
            <w:pPr>
              <w:tabs>
                <w:tab w:val="left" w:pos="1148"/>
              </w:tabs>
              <w:spacing w:before="40" w:after="40"/>
              <w:jc w:val="left"/>
              <w:rPr>
                <w:rFonts w:ascii="Tahoma" w:eastAsiaTheme="minorEastAsia" w:hAnsi="Tahoma" w:cs="Tahoma"/>
                <w:b/>
                <w:bCs/>
                <w:sz w:val="18"/>
                <w:szCs w:val="18"/>
                <w:rtl/>
              </w:rPr>
            </w:pPr>
            <w:r w:rsidRPr="00041F2A">
              <w:rPr>
                <w:rFonts w:ascii="Tahoma" w:eastAsiaTheme="minorEastAsia" w:hAnsi="Tahoma" w:cs="Tahoma"/>
                <w:b/>
                <w:bCs/>
                <w:sz w:val="18"/>
                <w:szCs w:val="18"/>
                <w:rtl/>
              </w:rPr>
              <w:t>סכום הסכם המסגרת</w:t>
            </w:r>
          </w:p>
        </w:tc>
        <w:tc>
          <w:tcPr>
            <w:tcW w:w="1701" w:type="dxa"/>
            <w:shd w:val="clear" w:color="auto" w:fill="C6D9F1"/>
            <w:vAlign w:val="bottom"/>
          </w:tcPr>
          <w:p w:rsidR="00A75367" w:rsidRPr="00041F2A" w:rsidRDefault="00A75367" w:rsidP="00041F2A">
            <w:pPr>
              <w:tabs>
                <w:tab w:val="left" w:pos="1148"/>
              </w:tabs>
              <w:spacing w:before="40" w:after="40"/>
              <w:jc w:val="left"/>
              <w:rPr>
                <w:rFonts w:ascii="Tahoma" w:eastAsiaTheme="minorEastAsia" w:hAnsi="Tahoma" w:cs="Tahoma"/>
                <w:b/>
                <w:bCs/>
                <w:sz w:val="18"/>
                <w:szCs w:val="18"/>
                <w:rtl/>
              </w:rPr>
            </w:pPr>
            <w:r w:rsidRPr="00041F2A">
              <w:rPr>
                <w:rFonts w:ascii="Tahoma" w:eastAsiaTheme="minorEastAsia" w:hAnsi="Tahoma" w:cs="Tahoma"/>
                <w:b/>
                <w:bCs/>
                <w:sz w:val="18"/>
                <w:szCs w:val="18"/>
                <w:rtl/>
              </w:rPr>
              <w:t>תקופת ההתקשרות</w:t>
            </w:r>
          </w:p>
        </w:tc>
        <w:tc>
          <w:tcPr>
            <w:tcW w:w="1417" w:type="dxa"/>
            <w:shd w:val="clear" w:color="auto" w:fill="C6D9F1"/>
            <w:vAlign w:val="bottom"/>
          </w:tcPr>
          <w:p w:rsidR="00A75367" w:rsidRPr="00041F2A" w:rsidRDefault="00A75367" w:rsidP="00041F2A">
            <w:pPr>
              <w:tabs>
                <w:tab w:val="left" w:pos="1148"/>
              </w:tabs>
              <w:spacing w:before="40" w:after="40"/>
              <w:jc w:val="left"/>
              <w:rPr>
                <w:rFonts w:ascii="Tahoma" w:eastAsiaTheme="minorEastAsia" w:hAnsi="Tahoma" w:cs="Tahoma"/>
                <w:b/>
                <w:bCs/>
                <w:sz w:val="18"/>
                <w:szCs w:val="18"/>
                <w:rtl/>
              </w:rPr>
            </w:pPr>
            <w:r w:rsidRPr="00041F2A">
              <w:rPr>
                <w:rFonts w:ascii="Tahoma" w:eastAsiaTheme="minorEastAsia" w:hAnsi="Tahoma" w:cs="Tahoma"/>
                <w:b/>
                <w:bCs/>
                <w:sz w:val="18"/>
                <w:szCs w:val="18"/>
                <w:rtl/>
              </w:rPr>
              <w:t>סכום הגדלת ההתקשרות בש"ח</w:t>
            </w:r>
          </w:p>
        </w:tc>
      </w:tr>
      <w:tr w:rsidR="00A75367" w:rsidRPr="00BC57BC" w:rsidTr="00C150CA">
        <w:trPr>
          <w:jc w:val="center"/>
        </w:trPr>
        <w:tc>
          <w:tcPr>
            <w:tcW w:w="932" w:type="dxa"/>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ספק ו'</w:t>
            </w:r>
          </w:p>
        </w:tc>
        <w:tc>
          <w:tcPr>
            <w:tcW w:w="0" w:type="auto"/>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אספקת מכסים ורשתות לתאי בקרה</w:t>
            </w:r>
          </w:p>
        </w:tc>
        <w:tc>
          <w:tcPr>
            <w:tcW w:w="1242" w:type="dxa"/>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712,500</w:t>
            </w:r>
          </w:p>
        </w:tc>
        <w:tc>
          <w:tcPr>
            <w:tcW w:w="1701" w:type="dxa"/>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1.9.16 – 31.8.17</w:t>
            </w:r>
          </w:p>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(אופציה ראשונה)</w:t>
            </w:r>
          </w:p>
        </w:tc>
        <w:tc>
          <w:tcPr>
            <w:tcW w:w="1417" w:type="dxa"/>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2,005,230</w:t>
            </w:r>
          </w:p>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(281.44%)</w:t>
            </w:r>
          </w:p>
        </w:tc>
      </w:tr>
      <w:tr w:rsidR="00A75367" w:rsidRPr="00BC57BC" w:rsidTr="00C150CA">
        <w:trPr>
          <w:jc w:val="center"/>
        </w:trPr>
        <w:tc>
          <w:tcPr>
            <w:tcW w:w="932" w:type="dxa"/>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ספק ז'</w:t>
            </w:r>
          </w:p>
        </w:tc>
        <w:tc>
          <w:tcPr>
            <w:tcW w:w="0" w:type="auto"/>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 xml:space="preserve">חידוש ושיפוץ מדי מים </w:t>
            </w:r>
          </w:p>
        </w:tc>
        <w:tc>
          <w:tcPr>
            <w:tcW w:w="1242" w:type="dxa"/>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666,895</w:t>
            </w:r>
          </w:p>
        </w:tc>
        <w:tc>
          <w:tcPr>
            <w:tcW w:w="1701" w:type="dxa"/>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1.10.16 – 30.9.17</w:t>
            </w:r>
          </w:p>
        </w:tc>
        <w:tc>
          <w:tcPr>
            <w:tcW w:w="1417" w:type="dxa"/>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336,440</w:t>
            </w:r>
          </w:p>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(50.45%)</w:t>
            </w:r>
          </w:p>
        </w:tc>
      </w:tr>
      <w:tr w:rsidR="00A75367" w:rsidRPr="00BC57BC" w:rsidTr="00C150CA">
        <w:trPr>
          <w:jc w:val="center"/>
        </w:trPr>
        <w:tc>
          <w:tcPr>
            <w:tcW w:w="932" w:type="dxa"/>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ספק ח'</w:t>
            </w:r>
          </w:p>
        </w:tc>
        <w:tc>
          <w:tcPr>
            <w:tcW w:w="0" w:type="auto"/>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 xml:space="preserve">אספקת מכסים ורשתות לתאי בקרה </w:t>
            </w:r>
          </w:p>
        </w:tc>
        <w:tc>
          <w:tcPr>
            <w:tcW w:w="1242" w:type="dxa"/>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558,730</w:t>
            </w:r>
          </w:p>
        </w:tc>
        <w:tc>
          <w:tcPr>
            <w:tcW w:w="1701" w:type="dxa"/>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1.9.16 – 31.8.17</w:t>
            </w:r>
          </w:p>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(אופציה ראשונה)</w:t>
            </w:r>
          </w:p>
        </w:tc>
        <w:tc>
          <w:tcPr>
            <w:tcW w:w="1417" w:type="dxa"/>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441,956</w:t>
            </w:r>
          </w:p>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(79.1%)</w:t>
            </w:r>
          </w:p>
        </w:tc>
      </w:tr>
      <w:tr w:rsidR="00A75367" w:rsidRPr="00BC57BC" w:rsidTr="00C150CA">
        <w:trPr>
          <w:jc w:val="center"/>
        </w:trPr>
        <w:tc>
          <w:tcPr>
            <w:tcW w:w="932" w:type="dxa"/>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ספק ט'</w:t>
            </w:r>
          </w:p>
        </w:tc>
        <w:tc>
          <w:tcPr>
            <w:tcW w:w="0" w:type="auto"/>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 xml:space="preserve">אספקת צינורות לתשתיות מים וביוב </w:t>
            </w:r>
          </w:p>
        </w:tc>
        <w:tc>
          <w:tcPr>
            <w:tcW w:w="1242" w:type="dxa"/>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3,002,775</w:t>
            </w:r>
          </w:p>
        </w:tc>
        <w:tc>
          <w:tcPr>
            <w:tcW w:w="1701" w:type="dxa"/>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1.1.17-31.12.18 (אופציה ראשונה)</w:t>
            </w:r>
          </w:p>
        </w:tc>
        <w:tc>
          <w:tcPr>
            <w:tcW w:w="1417" w:type="dxa"/>
          </w:tcPr>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4,002,418</w:t>
            </w:r>
          </w:p>
          <w:p w:rsidR="00A75367" w:rsidRPr="00BB7AE0" w:rsidRDefault="00A75367" w:rsidP="00041F2A">
            <w:pPr>
              <w:tabs>
                <w:tab w:val="left" w:pos="1148"/>
              </w:tabs>
              <w:spacing w:before="40" w:after="40"/>
              <w:jc w:val="left"/>
              <w:rPr>
                <w:rFonts w:ascii="Tahoma" w:eastAsiaTheme="minorEastAsia" w:hAnsi="Tahoma" w:cs="Tahoma"/>
                <w:spacing w:val="-2"/>
                <w:sz w:val="16"/>
                <w:szCs w:val="16"/>
                <w:rtl/>
              </w:rPr>
            </w:pPr>
            <w:r w:rsidRPr="00BB7AE0">
              <w:rPr>
                <w:rFonts w:ascii="Tahoma" w:eastAsiaTheme="minorEastAsia" w:hAnsi="Tahoma" w:cs="Tahoma"/>
                <w:spacing w:val="-2"/>
                <w:sz w:val="16"/>
                <w:szCs w:val="16"/>
                <w:rtl/>
              </w:rPr>
              <w:t>(133.3%)</w:t>
            </w:r>
          </w:p>
        </w:tc>
      </w:tr>
    </w:tbl>
    <w:p w:rsidR="00A75367" w:rsidRPr="00041F2A" w:rsidRDefault="00A75367" w:rsidP="00041F2A">
      <w:pPr>
        <w:spacing w:before="120" w:after="120"/>
        <w:jc w:val="center"/>
        <w:rPr>
          <w:rFonts w:ascii="Tahoma" w:hAnsi="Tahoma" w:cs="Tahoma"/>
          <w:sz w:val="16"/>
          <w:szCs w:val="16"/>
          <w:rtl/>
          <w:lang w:eastAsia="he-IL"/>
        </w:rPr>
      </w:pPr>
      <w:r w:rsidRPr="00041F2A">
        <w:rPr>
          <w:rFonts w:ascii="Tahoma" w:hAnsi="Tahoma" w:cs="Tahoma"/>
          <w:sz w:val="16"/>
          <w:szCs w:val="16"/>
          <w:rtl/>
          <w:lang w:eastAsia="he-IL"/>
        </w:rPr>
        <w:t>על פי נתוני הגיחון.</w:t>
      </w:r>
    </w:p>
    <w:p w:rsidR="00A75367" w:rsidRPr="00BC57BC" w:rsidRDefault="00A75367" w:rsidP="00A75367">
      <w:pPr>
        <w:autoSpaceDE w:val="0"/>
        <w:autoSpaceDN w:val="0"/>
        <w:adjustRightInd w:val="0"/>
        <w:spacing w:after="120"/>
        <w:rPr>
          <w:rFonts w:ascii="Tahoma" w:hAnsi="Tahoma" w:cs="Tahoma"/>
          <w:szCs w:val="20"/>
          <w:rtl/>
        </w:rPr>
      </w:pPr>
      <w:r w:rsidRPr="00BC57BC">
        <w:rPr>
          <w:rFonts w:ascii="Tahoma" w:hAnsi="Tahoma" w:cs="Tahoma"/>
          <w:szCs w:val="20"/>
          <w:rtl/>
        </w:rPr>
        <w:t xml:space="preserve">כפי שעולה מהלוח, ההגדלות שאושרו היו גבוהות באופן ניכר מסכום הסכם המסגרת המקורי, וחרגו מנוהל הגדלות הסכמים והזמנות. הנימוק לוועדת המכרזים היה כי ניצול ההסכמים עלה על ההיקף שאושר עקב דרישותיהן של מחלקות הביצוע. מפרוטוקול ועדת המכרזים מאותו מועד עולה כי כל ההגדלות התבקשו בדיעבד, לאחר שנמסרו הזמנות לספקים. בפרוטוקול נכתב כי ועדת המכרזים הנחתה לבצע שינויים במערכות המחשב של התאגיד לצורך הגברת הבקרה על הזמנות ועל הסכמים. </w:t>
      </w:r>
    </w:p>
    <w:p w:rsidR="00A75367" w:rsidRPr="00BC57BC" w:rsidRDefault="00A75367" w:rsidP="00A75367">
      <w:pPr>
        <w:autoSpaceDE w:val="0"/>
        <w:autoSpaceDN w:val="0"/>
        <w:adjustRightInd w:val="0"/>
        <w:spacing w:after="120"/>
        <w:rPr>
          <w:rFonts w:ascii="Tahoma" w:hAnsi="Tahoma" w:cs="Tahoma"/>
          <w:szCs w:val="20"/>
          <w:rtl/>
        </w:rPr>
      </w:pPr>
      <w:r w:rsidRPr="00BC57BC">
        <w:rPr>
          <w:rFonts w:ascii="Tahoma" w:hAnsi="Tahoma" w:cs="Tahoma"/>
          <w:szCs w:val="20"/>
          <w:rtl/>
        </w:rPr>
        <w:t>התאגיד השיב למשרד מבקר המדינה באפריל 2019, כי היום אין כל אפשרות טכנית להגדיל את ההתקשרות בדיעבד מבלי לקבל את אישורה של ועדת המכרזים להגדלה.</w:t>
      </w:r>
    </w:p>
    <w:p w:rsidR="00A75367" w:rsidRPr="00BC57BC" w:rsidRDefault="00A75367" w:rsidP="00041F2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C57BC">
        <w:rPr>
          <w:rFonts w:ascii="Tahoma" w:hAnsi="Tahoma" w:cs="Tahoma"/>
          <w:b w:val="0"/>
          <w:bCs w:val="0"/>
          <w:sz w:val="16"/>
          <w:szCs w:val="20"/>
          <w:rtl/>
        </w:rPr>
        <w:lastRenderedPageBreak/>
        <w:t xml:space="preserve">משרד מבקר המדינה מעיר לתאגיד כי החריגות מהסכמי המסגרת בהתקשרויות בנושא מתן שירותי ניהול פרויקטים ברשת המים ובהתקשרויות במחלקת לוגיסטיקה מצביעות על תכנון לקוי ועל תקצוב שגוי של </w:t>
      </w:r>
      <w:proofErr w:type="spellStart"/>
      <w:r w:rsidRPr="00BC57BC">
        <w:rPr>
          <w:rFonts w:ascii="Tahoma" w:hAnsi="Tahoma" w:cs="Tahoma"/>
          <w:b w:val="0"/>
          <w:bCs w:val="0"/>
          <w:sz w:val="16"/>
          <w:szCs w:val="20"/>
          <w:rtl/>
        </w:rPr>
        <w:t>תוכנית</w:t>
      </w:r>
      <w:proofErr w:type="spellEnd"/>
      <w:r w:rsidRPr="00BC57BC">
        <w:rPr>
          <w:rFonts w:ascii="Tahoma" w:hAnsi="Tahoma" w:cs="Tahoma"/>
          <w:b w:val="0"/>
          <w:bCs w:val="0"/>
          <w:sz w:val="16"/>
          <w:szCs w:val="20"/>
          <w:rtl/>
        </w:rPr>
        <w:t xml:space="preserve"> העבודה. על התאגיד להקפיד שיחידותיו המקצועיות יבצעו הזמנותיהן בהתאם להיקפים הכספיים שנקבעו בהסכמים ויפנו לוועדת המכרזים בבקשה להגדיל את ההתקשרות </w:t>
      </w:r>
      <w:proofErr w:type="spellStart"/>
      <w:r w:rsidRPr="00BC57BC">
        <w:rPr>
          <w:rFonts w:ascii="Tahoma" w:hAnsi="Tahoma" w:cs="Tahoma"/>
          <w:b w:val="0"/>
          <w:bCs w:val="0"/>
          <w:sz w:val="16"/>
          <w:szCs w:val="20"/>
          <w:rtl/>
        </w:rPr>
        <w:t>מייד</w:t>
      </w:r>
      <w:proofErr w:type="spellEnd"/>
      <w:r w:rsidRPr="00BC57BC">
        <w:rPr>
          <w:rFonts w:ascii="Tahoma" w:hAnsi="Tahoma" w:cs="Tahoma"/>
          <w:b w:val="0"/>
          <w:bCs w:val="0"/>
          <w:sz w:val="16"/>
          <w:szCs w:val="20"/>
          <w:rtl/>
        </w:rPr>
        <w:t xml:space="preserve"> כשיתברר להן כי צפויה חריגה ממנה. עוד מעיר משרד מבקר המדינה לוועדת המכרזים כי החריגות שאישרה לספקים ואשר גבוהות ביותר מ-50% מהיקף ההתקשרויות המקוריות, אינן עולות בקנה אחד עם נוהל "הגדלת הסכמים והזמנות" של התאגיד שהיה בתוקף באותה עת. עם זאת, משרד מבקר המדינה רואה בחיוב את תגובת המבוקר על הסדרת הנושא.</w:t>
      </w:r>
    </w:p>
    <w:p w:rsidR="00A75367" w:rsidRPr="00A75367" w:rsidRDefault="00A75367" w:rsidP="00A75367">
      <w:pPr>
        <w:pStyle w:val="31"/>
        <w:rPr>
          <w:rtl/>
        </w:rPr>
      </w:pPr>
      <w:bookmarkStart w:id="27" w:name="_Toc17268282"/>
      <w:bookmarkStart w:id="28" w:name="_Toc32167116"/>
      <w:r w:rsidRPr="00A75367">
        <w:rPr>
          <w:rtl/>
        </w:rPr>
        <w:t>הגדלות מצטברות</w:t>
      </w:r>
      <w:bookmarkEnd w:id="27"/>
      <w:bookmarkEnd w:id="28"/>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משרד מבקר המדינה מצא כי כמה התקשרויות הוגדלו פעמים מספר, וההגדלה המצטברת חרגה מהמגבלות שנקבעו בנוהל ההתקשרויות. להלן דוגמאות:</w:t>
      </w:r>
    </w:p>
    <w:p w:rsidR="00A75367" w:rsidRPr="00BC57BC" w:rsidRDefault="00A75367" w:rsidP="00041F2A">
      <w:pPr>
        <w:pStyle w:val="41"/>
        <w:rPr>
          <w:rtl/>
        </w:rPr>
      </w:pPr>
      <w:r w:rsidRPr="00BC57BC">
        <w:rPr>
          <w:rtl/>
        </w:rPr>
        <w:t>שירות להקטנת פחת המים</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במאי 2015, בעקבות מכרז פומבי, אישרה ועדת המכרזים התקשרות עם ספק י'</w:t>
      </w:r>
      <w:r w:rsidRPr="00BC57BC">
        <w:rPr>
          <w:rFonts w:ascii="Tahoma" w:hAnsi="Tahoma" w:cs="Tahoma"/>
          <w:sz w:val="16"/>
          <w:szCs w:val="20"/>
          <w:vertAlign w:val="superscript"/>
          <w:rtl/>
        </w:rPr>
        <w:footnoteReference w:id="35"/>
      </w:r>
      <w:r w:rsidRPr="00BC57BC">
        <w:rPr>
          <w:rFonts w:ascii="Tahoma" w:hAnsi="Tahoma" w:cs="Tahoma"/>
          <w:sz w:val="16"/>
          <w:szCs w:val="20"/>
          <w:rtl/>
        </w:rPr>
        <w:t xml:space="preserve"> לצורך מתן שירות להקטנת פחת המים. הצעתו של הספק הייתה נמוכה ב-25% מהאומדן העצמי של התאגיד, ועמדה על 336,000 ש"ח לשנה. בהסכם</w:t>
      </w:r>
      <w:r>
        <w:rPr>
          <w:rFonts w:ascii="Tahoma" w:hAnsi="Tahoma" w:cs="Tahoma"/>
          <w:sz w:val="16"/>
          <w:szCs w:val="20"/>
          <w:rtl/>
        </w:rPr>
        <w:t xml:space="preserve"> </w:t>
      </w:r>
      <w:r w:rsidRPr="00BC57BC">
        <w:rPr>
          <w:rFonts w:ascii="Tahoma" w:hAnsi="Tahoma" w:cs="Tahoma"/>
          <w:sz w:val="16"/>
          <w:szCs w:val="20"/>
          <w:rtl/>
        </w:rPr>
        <w:t>נקבע כי ההתקשרות תהיה בתוקף למשך 36 חודשים לכל היותר, מיום 1.8.15.</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 xml:space="preserve">ב-27.7.15, טרם כניסת ההסכם לתוקף, ביקש התאגיד להגדיל את ההתקשרות ב-112,000 ש"ח, המהווים כ-33% מסכום ההסכם. התאגיד נימק את הבקשה בצורך להציב למשך ארבעה חודשים עוד צוות עובדים באזור אחר, במקביל לצוות הקיים, כדי לצמצם את ההפסדים הנגרמים לו עקב פחת מים. לוועדה לא הוגש תחשיב המעריך את התועלת מהצבת הצוות הנוסף במקביל. ב-5.8.15, ארבעה ימים לאחר כניסת ההסכם לתוקף, אישרה הוועדה להגדלת הסכמים והזמנות בתאגיד את הבקשה. </w:t>
      </w:r>
    </w:p>
    <w:p w:rsidR="00A75367" w:rsidRPr="00BC57BC" w:rsidRDefault="00A75367" w:rsidP="00041F2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C57BC">
        <w:rPr>
          <w:rFonts w:ascii="Tahoma" w:hAnsi="Tahoma" w:cs="Tahoma"/>
          <w:b w:val="0"/>
          <w:bCs w:val="0"/>
          <w:sz w:val="16"/>
          <w:szCs w:val="20"/>
          <w:rtl/>
        </w:rPr>
        <w:t>משרד מבקר המדינה מעיר לתאגיד כי על אף שההגדלה הינה במסגרת 50%,</w:t>
      </w:r>
      <w:r>
        <w:rPr>
          <w:rFonts w:ascii="Tahoma" w:hAnsi="Tahoma" w:cs="Tahoma"/>
          <w:b w:val="0"/>
          <w:bCs w:val="0"/>
          <w:sz w:val="16"/>
          <w:szCs w:val="20"/>
          <w:rtl/>
        </w:rPr>
        <w:t xml:space="preserve"> </w:t>
      </w:r>
      <w:r w:rsidRPr="00BC57BC">
        <w:rPr>
          <w:rFonts w:ascii="Tahoma" w:hAnsi="Tahoma" w:cs="Tahoma"/>
          <w:b w:val="0"/>
          <w:bCs w:val="0"/>
          <w:sz w:val="16"/>
          <w:szCs w:val="20"/>
          <w:rtl/>
        </w:rPr>
        <w:t>תכנון מיטבי של תחולת ההסכם היה מביא לעריכת מכרז מראש בהיקף הנדרש וללא צורך בשינוי. עוד מעיר משרד מבקר המדינה לתאגיד, כי היה עליו להציג את אומדן החיסכון הצפוי בעקבות צמצום הפחת לעומת עלות הגדלת ההתקשרות. משרד מבקר המדינה מעיר גם לוועדת המכרזים, שהיה עליה לדרוש קבלת אומדן, כאמור, על מנת שתקבל החלטות באופן מיטבי.</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lastRenderedPageBreak/>
        <w:t xml:space="preserve">במאי 2016 ביקש התאגיד הגדלה נוספת בסך 168,000 ש"ח - 50% מערך ההתקשרות המקורית. ההגדלה נדרשה לצורך הצבת צוות עבודה נוסף שיעבוד במקביל באזור אחר במשך שישה חודשים. התאגיד הסביר לחברי ועדת המכרזים כי שיטת עבודה של שני צוותים במקביל מאפשרת לצמצם את ההפסדים הנגרמים לגיחון בגלל הפחת, אולם גם הפעם, הוא לא הציג נתונים כמותיים הכוללים חישובי עלות-תועלת של החיסכון הנגרם לה הודות לעבודת הצוותים. </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סך ההגדלות בהתקשרות זו היה כ-83% מסכום ההסכם המקורי, דבר שאינו תואם את נוהל "הגדלת הסכמים והזמנות".</w:t>
      </w:r>
    </w:p>
    <w:p w:rsidR="00A75367" w:rsidRPr="00BC57BC" w:rsidRDefault="00A75367" w:rsidP="00041F2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Cs w:val="20"/>
          <w:rtl/>
        </w:rPr>
      </w:pPr>
      <w:r w:rsidRPr="00BC57BC">
        <w:rPr>
          <w:rFonts w:ascii="Tahoma" w:hAnsi="Tahoma" w:cs="Tahoma"/>
          <w:b w:val="0"/>
          <w:bCs w:val="0"/>
          <w:szCs w:val="20"/>
          <w:rtl/>
        </w:rPr>
        <w:t>משרד מבקר המדינה מעיר לתאגיד כי הגיש לוועדה בקשה להרחבת ההסכם, לאחר שכבר נוסף צוות עובדים, וזאת בלי להוכיח את כדאיותה הכלכלית של ההרחבה, ואף שאמורים היו להיות בידיו הנתונים, הודות להגדלת ההתקשרות הקודמת באוגוסט 2015. עוד מעיר משרד מבקר המדינה לוועדת המכרזים, כי הגדלת ההתקשרות ב-280,000 ש"ח - 83% מהיקף ההתקשרות המקורית - נוגדת את נוהל "הגדלת הסכמים והזמנות". על ועדת המכרזים לדרוש שיוצגו לפניה תחשיבי עלות-תועלת ובדיקות כדאיות טרם אישור הרחבת התקשרויות, תוך התחשבות בהפסדי פחת המים העלולים להיגרם בעקבות ביצוע הליך התקשרות מחדש.</w:t>
      </w:r>
    </w:p>
    <w:p w:rsidR="00A75367" w:rsidRPr="00A75367" w:rsidRDefault="00A75367" w:rsidP="00BB7AE0">
      <w:pPr>
        <w:pStyle w:val="41"/>
        <w:rPr>
          <w:rtl/>
        </w:rPr>
      </w:pPr>
      <w:bookmarkStart w:id="29" w:name="_Toc17268283"/>
      <w:bookmarkStart w:id="30" w:name="_Toc32167117"/>
      <w:r w:rsidRPr="00BB7AE0">
        <w:rPr>
          <w:rtl/>
        </w:rPr>
        <w:t>הסכם למתן שירותי הפקת חשבונות ומוצרי דיוור ישיר</w:t>
      </w:r>
      <w:bookmarkEnd w:id="29"/>
      <w:bookmarkEnd w:id="30"/>
    </w:p>
    <w:p w:rsidR="00A75367" w:rsidRPr="00BC57BC" w:rsidRDefault="00A75367" w:rsidP="00A75367">
      <w:pPr>
        <w:autoSpaceDE w:val="0"/>
        <w:autoSpaceDN w:val="0"/>
        <w:adjustRightInd w:val="0"/>
        <w:spacing w:after="120"/>
        <w:ind w:left="-2"/>
        <w:rPr>
          <w:rFonts w:ascii="Tahoma" w:hAnsi="Tahoma" w:cs="Tahoma"/>
          <w:szCs w:val="20"/>
          <w:rtl/>
        </w:rPr>
      </w:pPr>
      <w:r w:rsidRPr="00BC57BC">
        <w:rPr>
          <w:rFonts w:ascii="Tahoma" w:hAnsi="Tahoma" w:cs="Tahoma"/>
          <w:szCs w:val="20"/>
          <w:rtl/>
        </w:rPr>
        <w:t>על</w:t>
      </w:r>
      <w:r w:rsidRPr="00BC57BC">
        <w:rPr>
          <w:rFonts w:ascii="Tahoma" w:hAnsi="Tahoma" w:cs="Tahoma"/>
          <w:szCs w:val="20"/>
        </w:rPr>
        <w:t xml:space="preserve"> </w:t>
      </w:r>
      <w:r w:rsidRPr="00BC57BC">
        <w:rPr>
          <w:rFonts w:ascii="Tahoma" w:hAnsi="Tahoma" w:cs="Tahoma"/>
          <w:szCs w:val="20"/>
          <w:rtl/>
        </w:rPr>
        <w:t>פי</w:t>
      </w:r>
      <w:r w:rsidRPr="00BC57BC">
        <w:rPr>
          <w:rFonts w:ascii="Tahoma" w:hAnsi="Tahoma" w:cs="Tahoma"/>
          <w:szCs w:val="20"/>
        </w:rPr>
        <w:t xml:space="preserve"> </w:t>
      </w:r>
      <w:r w:rsidRPr="00BC57BC">
        <w:rPr>
          <w:rFonts w:ascii="Tahoma" w:hAnsi="Tahoma" w:cs="Tahoma"/>
          <w:szCs w:val="20"/>
          <w:rtl/>
        </w:rPr>
        <w:t>תקנה</w:t>
      </w:r>
      <w:r w:rsidRPr="00BC57BC">
        <w:rPr>
          <w:rFonts w:ascii="Tahoma" w:hAnsi="Tahoma" w:cs="Tahoma"/>
          <w:szCs w:val="20"/>
        </w:rPr>
        <w:t xml:space="preserve"> </w:t>
      </w:r>
      <w:r w:rsidRPr="00BC57BC">
        <w:rPr>
          <w:rFonts w:ascii="Tahoma" w:hAnsi="Tahoma" w:cs="Tahoma"/>
          <w:szCs w:val="20"/>
          <w:rtl/>
        </w:rPr>
        <w:t>9</w:t>
      </w:r>
      <w:r w:rsidRPr="00BC57BC">
        <w:rPr>
          <w:rFonts w:ascii="Tahoma" w:hAnsi="Tahoma" w:cs="Tahoma"/>
          <w:szCs w:val="20"/>
        </w:rPr>
        <w:t xml:space="preserve"> </w:t>
      </w:r>
      <w:r w:rsidRPr="00BC57BC">
        <w:rPr>
          <w:rFonts w:ascii="Tahoma" w:hAnsi="Tahoma" w:cs="Tahoma"/>
          <w:szCs w:val="20"/>
          <w:rtl/>
        </w:rPr>
        <w:t>לתקנות</w:t>
      </w:r>
      <w:r w:rsidRPr="00BC57BC">
        <w:rPr>
          <w:rFonts w:ascii="Tahoma" w:hAnsi="Tahoma" w:cs="Tahoma"/>
          <w:szCs w:val="20"/>
        </w:rPr>
        <w:t xml:space="preserve"> </w:t>
      </w:r>
      <w:r w:rsidRPr="00BC57BC">
        <w:rPr>
          <w:rFonts w:ascii="Tahoma" w:hAnsi="Tahoma" w:cs="Tahoma"/>
          <w:szCs w:val="20"/>
          <w:rtl/>
        </w:rPr>
        <w:t>חובת</w:t>
      </w:r>
      <w:r w:rsidRPr="00BC57BC">
        <w:rPr>
          <w:rFonts w:ascii="Tahoma" w:hAnsi="Tahoma" w:cs="Tahoma"/>
          <w:szCs w:val="20"/>
        </w:rPr>
        <w:t xml:space="preserve"> </w:t>
      </w:r>
      <w:r w:rsidRPr="00BC57BC">
        <w:rPr>
          <w:rFonts w:ascii="Tahoma" w:hAnsi="Tahoma" w:cs="Tahoma"/>
          <w:szCs w:val="20"/>
          <w:rtl/>
        </w:rPr>
        <w:t>המכרזים,</w:t>
      </w:r>
      <w:r w:rsidRPr="00BC57BC">
        <w:rPr>
          <w:rFonts w:ascii="Tahoma" w:hAnsi="Tahoma" w:cs="Tahoma"/>
          <w:szCs w:val="20"/>
        </w:rPr>
        <w:t xml:space="preserve"> </w:t>
      </w:r>
      <w:r w:rsidRPr="00BC57BC">
        <w:rPr>
          <w:rFonts w:ascii="Tahoma" w:hAnsi="Tahoma" w:cs="Tahoma"/>
          <w:szCs w:val="20"/>
          <w:rtl/>
        </w:rPr>
        <w:t>המבקש</w:t>
      </w:r>
      <w:r w:rsidRPr="00BC57BC">
        <w:rPr>
          <w:rFonts w:ascii="Tahoma" w:hAnsi="Tahoma" w:cs="Tahoma"/>
          <w:szCs w:val="20"/>
        </w:rPr>
        <w:t xml:space="preserve"> </w:t>
      </w:r>
      <w:r w:rsidRPr="00BC57BC">
        <w:rPr>
          <w:rFonts w:ascii="Tahoma" w:hAnsi="Tahoma" w:cs="Tahoma"/>
          <w:szCs w:val="20"/>
          <w:rtl/>
        </w:rPr>
        <w:t>לבצע</w:t>
      </w:r>
      <w:r w:rsidRPr="00BC57BC">
        <w:rPr>
          <w:rFonts w:ascii="Tahoma" w:hAnsi="Tahoma" w:cs="Tahoma"/>
          <w:szCs w:val="20"/>
        </w:rPr>
        <w:t xml:space="preserve"> </w:t>
      </w:r>
      <w:r w:rsidRPr="00BC57BC">
        <w:rPr>
          <w:rFonts w:ascii="Tahoma" w:hAnsi="Tahoma" w:cs="Tahoma"/>
          <w:szCs w:val="20"/>
          <w:rtl/>
        </w:rPr>
        <w:t>התקשרות</w:t>
      </w:r>
      <w:r w:rsidRPr="00BC57BC">
        <w:rPr>
          <w:rFonts w:ascii="Tahoma" w:hAnsi="Tahoma" w:cs="Tahoma"/>
          <w:szCs w:val="20"/>
        </w:rPr>
        <w:t xml:space="preserve"> </w:t>
      </w:r>
      <w:r w:rsidRPr="00BC57BC">
        <w:rPr>
          <w:rFonts w:ascii="Tahoma" w:hAnsi="Tahoma" w:cs="Tahoma"/>
          <w:szCs w:val="20"/>
          <w:rtl/>
        </w:rPr>
        <w:t>שלא באמצעות</w:t>
      </w:r>
      <w:r w:rsidRPr="00BC57BC">
        <w:rPr>
          <w:rFonts w:ascii="Tahoma" w:hAnsi="Tahoma" w:cs="Tahoma"/>
          <w:szCs w:val="20"/>
        </w:rPr>
        <w:t xml:space="preserve"> </w:t>
      </w:r>
      <w:r w:rsidRPr="00BC57BC">
        <w:rPr>
          <w:rFonts w:ascii="Tahoma" w:hAnsi="Tahoma" w:cs="Tahoma"/>
          <w:szCs w:val="20"/>
          <w:rtl/>
        </w:rPr>
        <w:t>מכרז</w:t>
      </w:r>
      <w:r w:rsidRPr="00BC57BC">
        <w:rPr>
          <w:rFonts w:ascii="Tahoma" w:hAnsi="Tahoma" w:cs="Tahoma"/>
          <w:szCs w:val="20"/>
        </w:rPr>
        <w:t xml:space="preserve"> </w:t>
      </w:r>
      <w:r w:rsidRPr="00BC57BC">
        <w:rPr>
          <w:rFonts w:ascii="Tahoma" w:hAnsi="Tahoma" w:cs="Tahoma"/>
          <w:szCs w:val="20"/>
          <w:rtl/>
        </w:rPr>
        <w:t>פומבי</w:t>
      </w:r>
      <w:r w:rsidRPr="00BC57BC">
        <w:rPr>
          <w:rFonts w:ascii="Tahoma" w:hAnsi="Tahoma" w:cs="Tahoma"/>
          <w:szCs w:val="20"/>
        </w:rPr>
        <w:t xml:space="preserve"> </w:t>
      </w:r>
      <w:r w:rsidRPr="00BC57BC">
        <w:rPr>
          <w:rFonts w:ascii="Tahoma" w:hAnsi="Tahoma" w:cs="Tahoma"/>
          <w:szCs w:val="20"/>
          <w:rtl/>
        </w:rPr>
        <w:t>רגיל</w:t>
      </w:r>
      <w:r w:rsidRPr="00BC57BC">
        <w:rPr>
          <w:rFonts w:ascii="Tahoma" w:hAnsi="Tahoma" w:cs="Tahoma"/>
          <w:szCs w:val="20"/>
        </w:rPr>
        <w:t xml:space="preserve"> </w:t>
      </w:r>
      <w:r w:rsidRPr="00BC57BC">
        <w:rPr>
          <w:rFonts w:ascii="Tahoma" w:hAnsi="Tahoma" w:cs="Tahoma"/>
          <w:szCs w:val="20"/>
          <w:rtl/>
        </w:rPr>
        <w:t>נדרש לפנות</w:t>
      </w:r>
      <w:r w:rsidRPr="00BC57BC">
        <w:rPr>
          <w:rFonts w:ascii="Tahoma" w:hAnsi="Tahoma" w:cs="Tahoma"/>
          <w:szCs w:val="20"/>
        </w:rPr>
        <w:t xml:space="preserve"> </w:t>
      </w:r>
      <w:r w:rsidRPr="00BC57BC">
        <w:rPr>
          <w:rFonts w:ascii="Tahoma" w:hAnsi="Tahoma" w:cs="Tahoma"/>
          <w:szCs w:val="20"/>
          <w:rtl/>
        </w:rPr>
        <w:t>לוועדת</w:t>
      </w:r>
      <w:r w:rsidRPr="00BC57BC">
        <w:rPr>
          <w:rFonts w:ascii="Tahoma" w:hAnsi="Tahoma" w:cs="Tahoma"/>
          <w:szCs w:val="20"/>
        </w:rPr>
        <w:t xml:space="preserve"> </w:t>
      </w:r>
      <w:r w:rsidRPr="00BC57BC">
        <w:rPr>
          <w:rFonts w:ascii="Tahoma" w:hAnsi="Tahoma" w:cs="Tahoma"/>
          <w:szCs w:val="20"/>
          <w:rtl/>
        </w:rPr>
        <w:t>המכרזים,</w:t>
      </w:r>
      <w:r w:rsidRPr="00BC57BC">
        <w:rPr>
          <w:rFonts w:ascii="Tahoma" w:hAnsi="Tahoma" w:cs="Tahoma"/>
          <w:szCs w:val="20"/>
        </w:rPr>
        <w:t xml:space="preserve"> </w:t>
      </w:r>
      <w:r w:rsidRPr="00BC57BC">
        <w:rPr>
          <w:rFonts w:ascii="Tahoma" w:hAnsi="Tahoma" w:cs="Tahoma"/>
          <w:szCs w:val="20"/>
          <w:rtl/>
        </w:rPr>
        <w:t>ועל</w:t>
      </w:r>
      <w:r w:rsidRPr="00BC57BC">
        <w:rPr>
          <w:rFonts w:ascii="Tahoma" w:hAnsi="Tahoma" w:cs="Tahoma"/>
          <w:szCs w:val="20"/>
        </w:rPr>
        <w:t xml:space="preserve"> </w:t>
      </w:r>
      <w:r w:rsidRPr="00BC57BC">
        <w:rPr>
          <w:rFonts w:ascii="Tahoma" w:hAnsi="Tahoma" w:cs="Tahoma"/>
          <w:szCs w:val="20"/>
          <w:rtl/>
        </w:rPr>
        <w:t>הוועדה</w:t>
      </w:r>
      <w:r w:rsidRPr="00BC57BC">
        <w:rPr>
          <w:rFonts w:ascii="Tahoma" w:hAnsi="Tahoma" w:cs="Tahoma"/>
          <w:szCs w:val="20"/>
        </w:rPr>
        <w:t xml:space="preserve"> </w:t>
      </w:r>
      <w:r w:rsidRPr="00BC57BC">
        <w:rPr>
          <w:rFonts w:ascii="Tahoma" w:hAnsi="Tahoma" w:cs="Tahoma"/>
          <w:szCs w:val="20"/>
          <w:rtl/>
        </w:rPr>
        <w:t>לסווג</w:t>
      </w:r>
      <w:r w:rsidRPr="00BC57BC">
        <w:rPr>
          <w:rFonts w:ascii="Tahoma" w:hAnsi="Tahoma" w:cs="Tahoma"/>
          <w:szCs w:val="20"/>
        </w:rPr>
        <w:t xml:space="preserve"> </w:t>
      </w:r>
      <w:r w:rsidRPr="00BC57BC">
        <w:rPr>
          <w:rFonts w:ascii="Tahoma" w:hAnsi="Tahoma" w:cs="Tahoma"/>
          <w:szCs w:val="20"/>
          <w:rtl/>
        </w:rPr>
        <w:t>את ההתקשרות להליך</w:t>
      </w:r>
      <w:r w:rsidRPr="00BC57BC">
        <w:rPr>
          <w:rFonts w:ascii="Tahoma" w:hAnsi="Tahoma" w:cs="Tahoma"/>
          <w:szCs w:val="20"/>
        </w:rPr>
        <w:t xml:space="preserve"> </w:t>
      </w:r>
      <w:r w:rsidRPr="00BC57BC">
        <w:rPr>
          <w:rFonts w:ascii="Tahoma" w:hAnsi="Tahoma" w:cs="Tahoma"/>
          <w:szCs w:val="20"/>
          <w:rtl/>
        </w:rPr>
        <w:t>המתאים</w:t>
      </w:r>
      <w:r w:rsidRPr="00BC57BC">
        <w:rPr>
          <w:rFonts w:ascii="Tahoma" w:hAnsi="Tahoma" w:cs="Tahoma"/>
          <w:szCs w:val="20"/>
        </w:rPr>
        <w:t xml:space="preserve"> </w:t>
      </w:r>
      <w:r w:rsidRPr="00BC57BC">
        <w:rPr>
          <w:rFonts w:ascii="Tahoma" w:hAnsi="Tahoma" w:cs="Tahoma"/>
          <w:szCs w:val="20"/>
          <w:rtl/>
        </w:rPr>
        <w:t>ולקבוע</w:t>
      </w:r>
      <w:r w:rsidRPr="00BC57BC">
        <w:rPr>
          <w:rFonts w:ascii="Tahoma" w:hAnsi="Tahoma" w:cs="Tahoma"/>
          <w:szCs w:val="20"/>
        </w:rPr>
        <w:t xml:space="preserve"> </w:t>
      </w:r>
      <w:r w:rsidRPr="00BC57BC">
        <w:rPr>
          <w:rFonts w:ascii="Tahoma" w:hAnsi="Tahoma" w:cs="Tahoma"/>
          <w:szCs w:val="20"/>
          <w:rtl/>
        </w:rPr>
        <w:t>אם</w:t>
      </w:r>
      <w:r w:rsidRPr="00BC57BC">
        <w:rPr>
          <w:rFonts w:ascii="Tahoma" w:hAnsi="Tahoma" w:cs="Tahoma"/>
          <w:szCs w:val="20"/>
        </w:rPr>
        <w:t xml:space="preserve"> </w:t>
      </w:r>
      <w:r w:rsidRPr="00BC57BC">
        <w:rPr>
          <w:rFonts w:ascii="Tahoma" w:hAnsi="Tahoma" w:cs="Tahoma"/>
          <w:szCs w:val="20"/>
          <w:rtl/>
        </w:rPr>
        <w:t>לאשרה</w:t>
      </w:r>
      <w:r w:rsidRPr="00BC57BC">
        <w:rPr>
          <w:rFonts w:ascii="Tahoma" w:hAnsi="Tahoma" w:cs="Tahoma"/>
          <w:szCs w:val="20"/>
        </w:rPr>
        <w:t>.</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על פי נוהל "הגדלת הסכמים והזמנות", שהיה בתוקף מינואר 2012, אם הגדלת היקף ההתקשרות כרוך במסירת "יחידת עבודה" חדשה לספק אשר לא נכללה בהסכם או בהזמנה המקוריים, תובא בקשת ההגדלה לפני ועדת המכרזים. הוועדה אינה מוסמכת לדון בדיעבד בהגדלת הסכם שביצועו החל לפני שהובא לפניה, פרט למקרים שקיבלו אישורו של מנכ"ל התאגיד.</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 xml:space="preserve">בפברואר 2013 אישרה ועדת המכרזים של התאגיד התקשרות למתן שירותי הפקת חשבונות ומוצרי דיוור ישיר עם ספק כ', שהצעתו במכרז פומבי הייתה נמוכה מאומדן התאגיד ב-44%. ההתקשרות הייתה ל-12 חודשים, מיום 1.5.13, וכללה אופציה להארכה ארבע פעמים, שנה בכל פעם. ב-8.7.15 התבקשה ועדת המכרזים להגדיל את ההתקשרות ב-198,500 ש"ח - 24.3% מהיקף ההתקשרות המקורי, שהיה 815,000 ש"ח. הנימוק להגדלה היה כי במהלך שנת 2014 ביצעו התאגיד והספק מיזמים לשיפור תהליכי השירות לצרכן ולהתייעלות עסקית. בקשת ההגדלה הובאה בדיעבד. הנימוק של נציגי היחידה הדורשת כפי שצוין בפרוטוקול ועדת המכרזים היה כי "לא היו מודעים לצורך באישור פורמלי להגדלת ההתקשרות". </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 xml:space="preserve">ב-29.11.15 ביקש התאגיד מוועדת המכרזים להגדיל את ההתקשרות ב-280,000 ש"ח - הגדלה של 34.3% - לשם הפקת חשבונית המים "בהדפסה דיגיטלית מלאה </w:t>
      </w:r>
      <w:proofErr w:type="spellStart"/>
      <w:r w:rsidRPr="00BC57BC">
        <w:rPr>
          <w:rFonts w:ascii="Tahoma" w:hAnsi="Tahoma" w:cs="Tahoma"/>
          <w:sz w:val="16"/>
          <w:szCs w:val="20"/>
          <w:rtl/>
        </w:rPr>
        <w:t>כמעטפית</w:t>
      </w:r>
      <w:proofErr w:type="spellEnd"/>
      <w:r w:rsidRPr="00BC57BC">
        <w:rPr>
          <w:rFonts w:ascii="Tahoma" w:hAnsi="Tahoma" w:cs="Tahoma"/>
          <w:sz w:val="16"/>
          <w:szCs w:val="20"/>
          <w:rtl/>
        </w:rPr>
        <w:t xml:space="preserve"> מולטי". </w:t>
      </w:r>
      <w:r w:rsidRPr="00BC57BC">
        <w:rPr>
          <w:rFonts w:ascii="Tahoma" w:hAnsi="Tahoma" w:cs="Tahoma"/>
          <w:sz w:val="16"/>
          <w:szCs w:val="20"/>
          <w:rtl/>
        </w:rPr>
        <w:lastRenderedPageBreak/>
        <w:t xml:space="preserve">מפרוטוקול ועדת המכרזים עולה כי היחידה המזמינה לא בחנה את כדאיות הפעולה שעבורה נדרשה הגדלת ההתקשרות. </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ב-17.2.16 התבקשה ועדת המכרזים לאשר הגדלה של ההתקשרות בסך 184,000 ש"ח - 22% מהיקף ההתקשרות המקורי - לצורך הכנסת שיפורים חדשים בשירות. מנהל מחלקת ההתקשרויות בתאגיד העיר לפרוטוקול הוועדה כי לדעתו עלויות הפיתוח של הספק גבוהות. ועדת המכרזים אישרה את הגדלת ההתקשרות.</w:t>
      </w:r>
      <w:r w:rsidRPr="00BC57BC">
        <w:rPr>
          <w:rFonts w:ascii="Tahoma" w:hAnsi="Tahoma" w:cs="Tahoma"/>
          <w:b/>
          <w:bCs/>
          <w:sz w:val="16"/>
          <w:szCs w:val="20"/>
          <w:rtl/>
        </w:rPr>
        <w:t xml:space="preserve"> </w:t>
      </w:r>
      <w:r w:rsidRPr="00BC57BC">
        <w:rPr>
          <w:rFonts w:ascii="Tahoma" w:hAnsi="Tahoma" w:cs="Tahoma"/>
          <w:sz w:val="16"/>
          <w:szCs w:val="20"/>
          <w:rtl/>
        </w:rPr>
        <w:t xml:space="preserve">יוצא אפוא כי במהלך ההתקשרות אישרה ועדת המכרזים של התאגיד להגדיל את ההתקשרות שלוש פעמים, בהיקף מצטבר של 662,500 ש"ח, כ-81%. </w:t>
      </w:r>
    </w:p>
    <w:p w:rsidR="00A75367" w:rsidRPr="00BC57BC" w:rsidRDefault="00A75367" w:rsidP="00041F2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C57BC">
        <w:rPr>
          <w:rFonts w:ascii="Tahoma" w:hAnsi="Tahoma" w:cs="Tahoma"/>
          <w:b w:val="0"/>
          <w:bCs w:val="0"/>
          <w:sz w:val="16"/>
          <w:szCs w:val="20"/>
          <w:rtl/>
        </w:rPr>
        <w:t>משרד מבקר המדינה מעיר לתאגיד כי ההגדלות המצטברות של ההתקשרות, בשיעור של כ-81% מההיקף המקורי, מנוגדות לנוהל הגדלת הסכמים והזמנות. עוד מעיר משרד מבקר המדינה לוועדת המכרזים, כי הגדלות חוזרות ונשנות של התקשרות הנובעות מהרחבת תכולת העבודה, ראוי שתיבדק התועלת הנובעת מהן ביחס לעלותן, וראוי שהתאגיד יערוך סקר שוק טרם הבקשה להגדלת ההתקשרות ויציג אותו בפני ועדת המכרזים.</w:t>
      </w:r>
    </w:p>
    <w:p w:rsidR="00A75367" w:rsidRPr="00BC57BC" w:rsidRDefault="00A75367" w:rsidP="00041F2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BC57BC">
        <w:rPr>
          <w:rFonts w:ascii="Tahoma" w:hAnsi="Tahoma" w:cs="Tahoma"/>
          <w:b w:val="0"/>
          <w:bCs w:val="0"/>
          <w:szCs w:val="20"/>
          <w:rtl/>
        </w:rPr>
        <w:t>משרד מבקר המדינה מעיר לתאגיד כי שיטה זו של הגדלת ההזמנות באופן מצטבר אינה ראויה שכן היא עוקפת את הכללים המגבילים את הגדלת ההתקשרות המותרת. זאת ועוד, הוספת פריטים להתקשרות הראשונית, יש בה בכדי להצביע על שינויים בתנאי המכרז הראשוני.</w:t>
      </w:r>
    </w:p>
    <w:p w:rsidR="00A75367" w:rsidRPr="00BC57BC" w:rsidRDefault="00A75367" w:rsidP="00A75367">
      <w:pPr>
        <w:spacing w:after="120"/>
        <w:rPr>
          <w:rFonts w:ascii="Tahoma" w:hAnsi="Tahoma" w:cs="Tahoma"/>
          <w:szCs w:val="20"/>
          <w:rtl/>
        </w:rPr>
      </w:pPr>
      <w:r w:rsidRPr="00BC57BC">
        <w:rPr>
          <w:rFonts w:ascii="Tahoma" w:hAnsi="Tahoma" w:cs="Tahoma"/>
          <w:szCs w:val="20"/>
          <w:rtl/>
        </w:rPr>
        <w:t xml:space="preserve">התאגיד השיב למשרד מבקר המדינה באפריל 2019 כי הוא כפוף לשינויים תכופים ולא צפויים ברגולציה, והדבר מחייב את התאגיד לבצע שינויים כגון נוסח ההודעות לצרכנים או נוסח החשבון החודשי. עוד הוסיף הגיחון כי הוא "מפיק לקחים ומטמיע בחוזים ובמכרזים המאוחרים הוראות שיבטיחו עד כמה שאפשר ודאות בהתקשרויות". </w:t>
      </w:r>
    </w:p>
    <w:p w:rsidR="00A75367" w:rsidRPr="00BC57BC" w:rsidRDefault="00A75367" w:rsidP="00041F2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C57BC">
        <w:rPr>
          <w:rFonts w:ascii="Tahoma" w:hAnsi="Tahoma" w:cs="Tahoma"/>
          <w:b w:val="0"/>
          <w:bCs w:val="0"/>
          <w:szCs w:val="20"/>
          <w:rtl/>
        </w:rPr>
        <w:t xml:space="preserve">משרד מבקר המדינה מעיר ליחידה המזמינה בתאגיד כי היה עליה לפנות לוועדת המכרזים ולקבל את אישורה טרם ביצוע המיזמים לשיפור תהליכי השירות לצרכן ולהתייעלות העסקית. עוד מעיר משרד מבקר המדינה לוועדת המכרזים של התאגיד, כי בניגוד לקבוע בנוהל "הגדלת הסכמים והזמנות" שהיה בתוקף באותה עת, ועדת המכרזים דנה בהגדלת הסכם בדיעבד, לאחר שכבר נמסרה העבודה החדשה לספק. </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משרד מבקר המדינה רואה בחיוב את תשובת התאגיד מאפריל 2019, לפיה "מעבר לבדיקות הכלכליות שהתבצעו בעבר ומתבצעות גם היום, הרי שמסמך כלכלי שיתמוך בהמלצות הועדה יהיה חלק בלתי נפרד מהחומר שמונח בפני ועדת המכרזים בעת קבלת החלטה שעניינה ביתרון כלכלי כאמור, על מנת שחברי הועדה יחשפו לחומר ויבטיחו קבלת החלטה מושכלת". עוד השיב התאגיד כי "הדרישה תוטמע בנוהל ההתקשרויות".</w:t>
      </w:r>
    </w:p>
    <w:p w:rsidR="00A75367" w:rsidRPr="00A75367" w:rsidRDefault="00A75367" w:rsidP="00A75367">
      <w:pPr>
        <w:pStyle w:val="31"/>
        <w:rPr>
          <w:rtl/>
        </w:rPr>
      </w:pPr>
      <w:bookmarkStart w:id="31" w:name="_Toc17268284"/>
      <w:bookmarkStart w:id="32" w:name="_Toc32167118"/>
      <w:r w:rsidRPr="00A75367">
        <w:rPr>
          <w:rtl/>
        </w:rPr>
        <w:lastRenderedPageBreak/>
        <w:t>הכנת אומדנים עצמיים להערכת סכום ההתקשרות</w:t>
      </w:r>
      <w:bookmarkEnd w:id="31"/>
      <w:bookmarkEnd w:id="32"/>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בנוהל המכרזים של הגיחון נקבע כי אומדן המחיר במכרז יכול להיות גלוי או חסוי</w:t>
      </w:r>
      <w:r w:rsidRPr="00BC57BC">
        <w:rPr>
          <w:rStyle w:val="FootnoteReference"/>
          <w:rFonts w:ascii="Tahoma" w:hAnsi="Tahoma" w:cs="Tahoma"/>
          <w:sz w:val="16"/>
          <w:szCs w:val="20"/>
          <w:rtl/>
        </w:rPr>
        <w:footnoteReference w:id="36"/>
      </w:r>
      <w:r w:rsidRPr="00BC57BC">
        <w:rPr>
          <w:rFonts w:ascii="Tahoma" w:hAnsi="Tahoma" w:cs="Tahoma"/>
          <w:sz w:val="16"/>
          <w:szCs w:val="20"/>
          <w:rtl/>
        </w:rPr>
        <w:t>, על פי החלטת היחידה היוזמת את המכרז ובהתאם למדיניות שתקבע הנהלת התאגיד מפעם לפעם. עוד נקבע בנוהל, כי במכרז שאומדנו חסוי ימסור מנהל היחידה לממונה - לפחות שבוע ימים לפני המועד האחרון להגשת הצעות במכרז - אומדן החתום בידי הגורם המקצועי שהכינוֹ, וכן בידי הסמנכ"ל</w:t>
      </w:r>
      <w:r w:rsidRPr="00BC57BC">
        <w:rPr>
          <w:rFonts w:ascii="Tahoma" w:hAnsi="Tahoma" w:cs="Tahoma"/>
          <w:sz w:val="16"/>
          <w:szCs w:val="20"/>
          <w:u w:val="single"/>
          <w:rtl/>
        </w:rPr>
        <w:t xml:space="preserve"> </w:t>
      </w:r>
      <w:r w:rsidRPr="00BC57BC">
        <w:rPr>
          <w:rFonts w:ascii="Tahoma" w:hAnsi="Tahoma" w:cs="Tahoma"/>
          <w:sz w:val="16"/>
          <w:szCs w:val="20"/>
          <w:rtl/>
        </w:rPr>
        <w:t>הממונה על היחידה. כן מצוין בנוהל המכרזים כי טרם כתיבת האומדן הסופי אחראית היחידה היוזמת להתייעץ עם אגף הכספים. בנוהל המכרזים לא נקבעו הוראות לעניין אופן ההכנה של אומדן עצמי.</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האומדן העצמי נועד להעריך את מחיר השירות המבוקש ולשמש כלי עזר לבדיקת הצעות מחיר של ספקים. לשם הכנת אומדן עצמי ניתן להיעזר, בין היתר, בנתונים היסטוריים, כגון מחיר הזמנות קודמות, מחירים בהזמנות של התאגיד בתחומים דומים ובמידע על המחירים הנהוגים בשוק, למשל באמצעות עיון במחירונים ענפיים ובמחירונים של ספקים.</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 xml:space="preserve">להכנת אומדן עצמי ריאלי ומדויק ככל האפשר חשיבות רבה, שכן אומדן נמוך מדי עשוי להביא לידי פסילת הצעות המשקפות את מחירי השוק ולגרום לתאגיד עלויות מיותרות עקב פתיחת הליכים נוספים לשם התקשרות; ואילו אומדן עצמי גבוה מדי עשוי לגרום לתאגיד לקבל הצעות גבוהות ממחירי השוק בלי שיפעל להורדת המחיר. משרד מבקר המדינה בדק כמה התקשרויות שנרשמה בהן חריגה מהאומדן העצמי, כמפורט בלוח להלן: </w:t>
      </w:r>
    </w:p>
    <w:p w:rsidR="00A75367" w:rsidRPr="00BC57BC" w:rsidRDefault="00A75367" w:rsidP="00041F2A">
      <w:pPr>
        <w:pStyle w:val="a1"/>
        <w:rPr>
          <w:sz w:val="16"/>
          <w:rtl/>
        </w:rPr>
      </w:pPr>
      <w:r w:rsidRPr="00041F2A">
        <w:rPr>
          <w:b w:val="0"/>
          <w:bCs w:val="0"/>
          <w:rtl/>
        </w:rPr>
        <w:t>לוח 12:</w:t>
      </w:r>
      <w:r w:rsidRPr="00BC57BC">
        <w:rPr>
          <w:rtl/>
        </w:rPr>
        <w:t xml:space="preserve"> ביטול מכרזים בשל חריגה מהאומדן העצמי של מחיר ההתקשרויות</w:t>
      </w:r>
    </w:p>
    <w:tbl>
      <w:tblPr>
        <w:tblStyle w:val="TableGrid"/>
        <w:bidiVisual/>
        <w:tblW w:w="8222" w:type="dxa"/>
        <w:jc w:val="center"/>
        <w:tblLook w:val="04A0" w:firstRow="1" w:lastRow="0" w:firstColumn="1" w:lastColumn="0" w:noHBand="0" w:noVBand="1"/>
      </w:tblPr>
      <w:tblGrid>
        <w:gridCol w:w="875"/>
        <w:gridCol w:w="1220"/>
        <w:gridCol w:w="1013"/>
        <w:gridCol w:w="1235"/>
        <w:gridCol w:w="1122"/>
        <w:gridCol w:w="2757"/>
      </w:tblGrid>
      <w:tr w:rsidR="00A75367" w:rsidRPr="00BC57BC" w:rsidTr="00041F2A">
        <w:trPr>
          <w:cantSplit/>
          <w:tblHeader/>
          <w:jc w:val="center"/>
        </w:trPr>
        <w:tc>
          <w:tcPr>
            <w:tcW w:w="0" w:type="auto"/>
            <w:shd w:val="clear" w:color="auto" w:fill="C6D9F1"/>
            <w:vAlign w:val="bottom"/>
          </w:tcPr>
          <w:p w:rsidR="00A75367" w:rsidRPr="00041F2A" w:rsidRDefault="00A75367" w:rsidP="00041F2A">
            <w:pPr>
              <w:tabs>
                <w:tab w:val="left" w:pos="1148"/>
              </w:tabs>
              <w:spacing w:before="40" w:after="40"/>
              <w:jc w:val="left"/>
              <w:rPr>
                <w:rFonts w:ascii="Tahoma" w:eastAsiaTheme="minorEastAsia" w:hAnsi="Tahoma" w:cs="Tahoma"/>
                <w:b/>
                <w:bCs/>
                <w:sz w:val="18"/>
                <w:szCs w:val="18"/>
                <w:rtl/>
              </w:rPr>
            </w:pPr>
            <w:r w:rsidRPr="00041F2A">
              <w:rPr>
                <w:rFonts w:ascii="Tahoma" w:eastAsiaTheme="minorEastAsia" w:hAnsi="Tahoma" w:cs="Tahoma"/>
                <w:b/>
                <w:bCs/>
                <w:sz w:val="18"/>
                <w:szCs w:val="18"/>
                <w:rtl/>
              </w:rPr>
              <w:t>מספר המכרז</w:t>
            </w:r>
          </w:p>
        </w:tc>
        <w:tc>
          <w:tcPr>
            <w:tcW w:w="0" w:type="auto"/>
            <w:shd w:val="clear" w:color="auto" w:fill="C6D9F1"/>
            <w:vAlign w:val="bottom"/>
          </w:tcPr>
          <w:p w:rsidR="00A75367" w:rsidRPr="00041F2A" w:rsidRDefault="00A75367" w:rsidP="00041F2A">
            <w:pPr>
              <w:tabs>
                <w:tab w:val="left" w:pos="1148"/>
              </w:tabs>
              <w:spacing w:before="40" w:after="40"/>
              <w:jc w:val="left"/>
              <w:rPr>
                <w:rFonts w:ascii="Tahoma" w:eastAsiaTheme="minorEastAsia" w:hAnsi="Tahoma" w:cs="Tahoma"/>
                <w:b/>
                <w:bCs/>
                <w:sz w:val="18"/>
                <w:szCs w:val="18"/>
                <w:rtl/>
              </w:rPr>
            </w:pPr>
            <w:r w:rsidRPr="00041F2A">
              <w:rPr>
                <w:rFonts w:ascii="Tahoma" w:eastAsiaTheme="minorEastAsia" w:hAnsi="Tahoma" w:cs="Tahoma"/>
                <w:b/>
                <w:bCs/>
                <w:sz w:val="18"/>
                <w:szCs w:val="18"/>
                <w:rtl/>
              </w:rPr>
              <w:t>תיאור</w:t>
            </w:r>
          </w:p>
        </w:tc>
        <w:tc>
          <w:tcPr>
            <w:tcW w:w="0" w:type="auto"/>
            <w:shd w:val="clear" w:color="auto" w:fill="C6D9F1"/>
            <w:vAlign w:val="bottom"/>
          </w:tcPr>
          <w:p w:rsidR="00A75367" w:rsidRPr="00041F2A" w:rsidRDefault="00A75367" w:rsidP="00041F2A">
            <w:pPr>
              <w:tabs>
                <w:tab w:val="left" w:pos="1148"/>
              </w:tabs>
              <w:spacing w:before="40" w:after="40"/>
              <w:jc w:val="left"/>
              <w:rPr>
                <w:rFonts w:ascii="Tahoma" w:eastAsiaTheme="minorEastAsia" w:hAnsi="Tahoma" w:cs="Tahoma"/>
                <w:b/>
                <w:bCs/>
                <w:sz w:val="18"/>
                <w:szCs w:val="18"/>
              </w:rPr>
            </w:pPr>
            <w:r w:rsidRPr="00041F2A">
              <w:rPr>
                <w:rFonts w:ascii="Tahoma" w:eastAsiaTheme="minorEastAsia" w:hAnsi="Tahoma" w:cs="Tahoma"/>
                <w:b/>
                <w:bCs/>
                <w:sz w:val="18"/>
                <w:szCs w:val="18"/>
                <w:rtl/>
              </w:rPr>
              <w:t>האומדן העצמי (ש"ח)</w:t>
            </w:r>
          </w:p>
        </w:tc>
        <w:tc>
          <w:tcPr>
            <w:tcW w:w="1247" w:type="dxa"/>
            <w:shd w:val="clear" w:color="auto" w:fill="C6D9F1"/>
            <w:vAlign w:val="bottom"/>
          </w:tcPr>
          <w:p w:rsidR="00A75367" w:rsidRPr="00041F2A" w:rsidRDefault="00A75367" w:rsidP="00041F2A">
            <w:pPr>
              <w:tabs>
                <w:tab w:val="left" w:pos="1148"/>
              </w:tabs>
              <w:spacing w:before="40" w:after="40"/>
              <w:jc w:val="left"/>
              <w:rPr>
                <w:rFonts w:ascii="Tahoma" w:eastAsiaTheme="minorEastAsia" w:hAnsi="Tahoma" w:cs="Tahoma"/>
                <w:b/>
                <w:bCs/>
                <w:sz w:val="18"/>
                <w:szCs w:val="18"/>
                <w:rtl/>
              </w:rPr>
            </w:pPr>
            <w:r w:rsidRPr="00041F2A">
              <w:rPr>
                <w:rFonts w:ascii="Tahoma" w:eastAsiaTheme="minorEastAsia" w:hAnsi="Tahoma" w:cs="Tahoma"/>
                <w:b/>
                <w:bCs/>
                <w:sz w:val="18"/>
                <w:szCs w:val="18"/>
                <w:rtl/>
              </w:rPr>
              <w:t>ההצעה הנמוכה ביותר (ש"ח)</w:t>
            </w:r>
          </w:p>
        </w:tc>
        <w:tc>
          <w:tcPr>
            <w:tcW w:w="1134" w:type="dxa"/>
            <w:shd w:val="clear" w:color="auto" w:fill="C6D9F1"/>
            <w:vAlign w:val="bottom"/>
          </w:tcPr>
          <w:p w:rsidR="00A75367" w:rsidRPr="00041F2A" w:rsidRDefault="00A75367" w:rsidP="00041F2A">
            <w:pPr>
              <w:tabs>
                <w:tab w:val="left" w:pos="1148"/>
              </w:tabs>
              <w:spacing w:before="40" w:after="40"/>
              <w:jc w:val="left"/>
              <w:rPr>
                <w:rFonts w:ascii="Tahoma" w:eastAsiaTheme="minorEastAsia" w:hAnsi="Tahoma" w:cs="Tahoma"/>
                <w:b/>
                <w:bCs/>
                <w:sz w:val="18"/>
                <w:szCs w:val="18"/>
                <w:rtl/>
              </w:rPr>
            </w:pPr>
            <w:r w:rsidRPr="00041F2A">
              <w:rPr>
                <w:rFonts w:ascii="Tahoma" w:eastAsiaTheme="minorEastAsia" w:hAnsi="Tahoma" w:cs="Tahoma"/>
                <w:b/>
                <w:bCs/>
                <w:sz w:val="18"/>
                <w:szCs w:val="18"/>
                <w:rtl/>
              </w:rPr>
              <w:t>הפער לעומת האומדן</w:t>
            </w:r>
          </w:p>
        </w:tc>
        <w:tc>
          <w:tcPr>
            <w:tcW w:w="2846" w:type="dxa"/>
            <w:shd w:val="clear" w:color="auto" w:fill="C6D9F1"/>
            <w:vAlign w:val="bottom"/>
          </w:tcPr>
          <w:p w:rsidR="00A75367" w:rsidRPr="00041F2A" w:rsidRDefault="00A75367" w:rsidP="00041F2A">
            <w:pPr>
              <w:tabs>
                <w:tab w:val="left" w:pos="1148"/>
              </w:tabs>
              <w:spacing w:before="40" w:after="40"/>
              <w:jc w:val="left"/>
              <w:rPr>
                <w:rFonts w:ascii="Tahoma" w:eastAsiaTheme="minorEastAsia" w:hAnsi="Tahoma" w:cs="Tahoma"/>
                <w:b/>
                <w:bCs/>
                <w:sz w:val="18"/>
                <w:szCs w:val="18"/>
                <w:rtl/>
              </w:rPr>
            </w:pPr>
            <w:r w:rsidRPr="00041F2A">
              <w:rPr>
                <w:rFonts w:ascii="Tahoma" w:eastAsiaTheme="minorEastAsia" w:hAnsi="Tahoma" w:cs="Tahoma"/>
                <w:b/>
                <w:bCs/>
                <w:sz w:val="18"/>
                <w:szCs w:val="18"/>
                <w:rtl/>
              </w:rPr>
              <w:t xml:space="preserve">הערות </w:t>
            </w:r>
          </w:p>
        </w:tc>
      </w:tr>
      <w:tr w:rsidR="00A75367" w:rsidRPr="00BC57BC" w:rsidTr="00041F2A">
        <w:trPr>
          <w:jc w:val="center"/>
        </w:trPr>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17/2018</w:t>
            </w:r>
          </w:p>
        </w:tc>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 xml:space="preserve">אספקת מגופי פרפר </w:t>
            </w:r>
            <w:proofErr w:type="spellStart"/>
            <w:r w:rsidRPr="00041F2A">
              <w:rPr>
                <w:rFonts w:ascii="Tahoma" w:eastAsiaTheme="minorEastAsia" w:hAnsi="Tahoma" w:cs="Tahoma"/>
                <w:sz w:val="18"/>
                <w:szCs w:val="18"/>
                <w:rtl/>
              </w:rPr>
              <w:t>טריפל</w:t>
            </w:r>
            <w:proofErr w:type="spellEnd"/>
            <w:r w:rsidRPr="00041F2A">
              <w:rPr>
                <w:rFonts w:ascii="Tahoma" w:eastAsiaTheme="minorEastAsia" w:hAnsi="Tahoma" w:cs="Tahoma"/>
                <w:sz w:val="18"/>
                <w:szCs w:val="18"/>
                <w:rtl/>
              </w:rPr>
              <w:t>-אקסצנטריים</w:t>
            </w:r>
          </w:p>
        </w:tc>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280,000</w:t>
            </w:r>
          </w:p>
        </w:tc>
        <w:tc>
          <w:tcPr>
            <w:tcW w:w="1247"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509,100</w:t>
            </w:r>
          </w:p>
        </w:tc>
        <w:tc>
          <w:tcPr>
            <w:tcW w:w="1134"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82%</w:t>
            </w:r>
          </w:p>
        </w:tc>
        <w:tc>
          <w:tcPr>
            <w:tcW w:w="2846"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המכרז בוטל עקב הפער בין ההצעות לאומדן.</w:t>
            </w:r>
            <w:r w:rsidRPr="00041F2A">
              <w:rPr>
                <w:rFonts w:ascii="Tahoma" w:eastAsiaTheme="minorEastAsia" w:hAnsi="Tahoma" w:cs="Tahoma"/>
                <w:sz w:val="18"/>
                <w:szCs w:val="18"/>
              </w:rPr>
              <w:t xml:space="preserve"> </w:t>
            </w:r>
            <w:r w:rsidRPr="00041F2A">
              <w:rPr>
                <w:rFonts w:ascii="Tahoma" w:eastAsiaTheme="minorEastAsia" w:hAnsi="Tahoma" w:cs="Tahoma"/>
                <w:sz w:val="18"/>
                <w:szCs w:val="18"/>
                <w:rtl/>
              </w:rPr>
              <w:t>הוזמנו ארבעה ספקים להגיש הצעות מחיר, מתוך שלוש הצעות שהתקבלו, נבחרה ההצעה הנמוכה ביותר בסך 203,197 ש"ח מספק שלא השתתף במכרז המקורי.</w:t>
            </w:r>
          </w:p>
        </w:tc>
      </w:tr>
      <w:tr w:rsidR="00A75367" w:rsidRPr="00BC57BC" w:rsidTr="00041F2A">
        <w:trPr>
          <w:jc w:val="center"/>
        </w:trPr>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20/2018</w:t>
            </w:r>
          </w:p>
        </w:tc>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חיבור צרכנים לרשת הביוב העירונית (מסגרת)</w:t>
            </w:r>
          </w:p>
        </w:tc>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2,453,040</w:t>
            </w:r>
          </w:p>
        </w:tc>
        <w:tc>
          <w:tcPr>
            <w:tcW w:w="1247"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3,333,000</w:t>
            </w:r>
          </w:p>
        </w:tc>
        <w:tc>
          <w:tcPr>
            <w:tcW w:w="1134"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36%</w:t>
            </w:r>
          </w:p>
        </w:tc>
        <w:tc>
          <w:tcPr>
            <w:tcW w:w="2846"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המכרז בוטל. פורסם מכרז חדש, במועד סיום הביקורת לא ידועות תוצאותיו.</w:t>
            </w:r>
          </w:p>
        </w:tc>
      </w:tr>
      <w:tr w:rsidR="00A75367" w:rsidRPr="00BC57BC" w:rsidTr="00041F2A">
        <w:trPr>
          <w:jc w:val="center"/>
        </w:trPr>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lastRenderedPageBreak/>
              <w:t>21/2018</w:t>
            </w:r>
          </w:p>
        </w:tc>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בניית מלכודת אבנים במאסף ביוב גילה</w:t>
            </w:r>
          </w:p>
        </w:tc>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227,902</w:t>
            </w:r>
          </w:p>
        </w:tc>
        <w:tc>
          <w:tcPr>
            <w:tcW w:w="1247"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408,015</w:t>
            </w:r>
          </w:p>
        </w:tc>
        <w:tc>
          <w:tcPr>
            <w:tcW w:w="1134"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80%</w:t>
            </w:r>
          </w:p>
        </w:tc>
        <w:tc>
          <w:tcPr>
            <w:tcW w:w="2846"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המכרז בוטל. במועד סיום הביקורת לא פורסם מכרז חדש.</w:t>
            </w:r>
          </w:p>
        </w:tc>
      </w:tr>
      <w:tr w:rsidR="00A75367" w:rsidRPr="00BC57BC" w:rsidTr="00041F2A">
        <w:trPr>
          <w:jc w:val="center"/>
        </w:trPr>
        <w:tc>
          <w:tcPr>
            <w:tcW w:w="0" w:type="auto"/>
            <w:vMerge w:val="restart"/>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12/2017</w:t>
            </w:r>
          </w:p>
        </w:tc>
        <w:tc>
          <w:tcPr>
            <w:tcW w:w="0" w:type="auto"/>
            <w:vMerge w:val="restart"/>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 xml:space="preserve">בניית </w:t>
            </w:r>
            <w:proofErr w:type="spellStart"/>
            <w:r w:rsidRPr="00041F2A">
              <w:rPr>
                <w:rFonts w:ascii="Tahoma" w:eastAsiaTheme="minorEastAsia" w:hAnsi="Tahoma" w:cs="Tahoma"/>
                <w:sz w:val="18"/>
                <w:szCs w:val="18"/>
                <w:rtl/>
              </w:rPr>
              <w:t>מקטיני</w:t>
            </w:r>
            <w:proofErr w:type="spellEnd"/>
            <w:r w:rsidRPr="00041F2A">
              <w:rPr>
                <w:rFonts w:ascii="Tahoma" w:eastAsiaTheme="minorEastAsia" w:hAnsi="Tahoma" w:cs="Tahoma"/>
                <w:sz w:val="18"/>
                <w:szCs w:val="18"/>
                <w:rtl/>
              </w:rPr>
              <w:t xml:space="preserve"> לחץ בשכונת פסגת זאב</w:t>
            </w:r>
          </w:p>
        </w:tc>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431,608</w:t>
            </w:r>
          </w:p>
        </w:tc>
        <w:tc>
          <w:tcPr>
            <w:tcW w:w="1247"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573,990 ספק ח'</w:t>
            </w:r>
          </w:p>
        </w:tc>
        <w:tc>
          <w:tcPr>
            <w:tcW w:w="1134"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32%</w:t>
            </w:r>
          </w:p>
        </w:tc>
        <w:tc>
          <w:tcPr>
            <w:tcW w:w="2846" w:type="dxa"/>
            <w:vMerge w:val="restart"/>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הוגשו שתי הצעות שהיו גבוהות במידה ניכרת מהאומדן. הוועדה החליטה לבטל את המכרז, ולהסמיך את אגף המים בחברה לנהל משא ומתן עם ספקים ח' ו-ט'. הספקים הגישו הצעות נמוכות יותר. הצעתו של ספק ח' בסך 533,810 אלף ש"ח התקבלה (גבוהה בכ-24% מהאומדן).</w:t>
            </w:r>
          </w:p>
        </w:tc>
      </w:tr>
      <w:tr w:rsidR="00A75367" w:rsidRPr="00BC57BC" w:rsidTr="00041F2A">
        <w:trPr>
          <w:jc w:val="center"/>
        </w:trPr>
        <w:tc>
          <w:tcPr>
            <w:tcW w:w="0" w:type="auto"/>
            <w:vMerge/>
          </w:tcPr>
          <w:p w:rsidR="00A75367" w:rsidRPr="00BC57BC" w:rsidRDefault="00A75367" w:rsidP="00C150CA">
            <w:pPr>
              <w:pStyle w:val="ListParagraph"/>
              <w:spacing w:after="120"/>
              <w:ind w:left="0"/>
              <w:contextualSpacing w:val="0"/>
              <w:jc w:val="left"/>
              <w:rPr>
                <w:rFonts w:ascii="Tahoma" w:hAnsi="Tahoma" w:cs="Tahoma"/>
                <w:sz w:val="16"/>
                <w:szCs w:val="16"/>
                <w:rtl/>
              </w:rPr>
            </w:pPr>
          </w:p>
        </w:tc>
        <w:tc>
          <w:tcPr>
            <w:tcW w:w="0" w:type="auto"/>
            <w:vMerge/>
          </w:tcPr>
          <w:p w:rsidR="00A75367" w:rsidRPr="00041F2A" w:rsidRDefault="00A75367" w:rsidP="00041F2A">
            <w:pPr>
              <w:tabs>
                <w:tab w:val="left" w:pos="1148"/>
              </w:tabs>
              <w:spacing w:before="40" w:after="40"/>
              <w:jc w:val="left"/>
              <w:rPr>
                <w:rFonts w:ascii="Tahoma" w:eastAsiaTheme="minorEastAsia" w:hAnsi="Tahoma" w:cs="Tahoma"/>
                <w:sz w:val="18"/>
                <w:szCs w:val="18"/>
                <w:rtl/>
              </w:rPr>
            </w:pPr>
          </w:p>
        </w:tc>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p>
        </w:tc>
        <w:tc>
          <w:tcPr>
            <w:tcW w:w="1247"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590,000 ספק ט'</w:t>
            </w:r>
          </w:p>
        </w:tc>
        <w:tc>
          <w:tcPr>
            <w:tcW w:w="1134"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36%</w:t>
            </w:r>
          </w:p>
        </w:tc>
        <w:tc>
          <w:tcPr>
            <w:tcW w:w="2846" w:type="dxa"/>
            <w:vMerge/>
          </w:tcPr>
          <w:p w:rsidR="00A75367" w:rsidRPr="00041F2A" w:rsidRDefault="00A75367" w:rsidP="00041F2A">
            <w:pPr>
              <w:tabs>
                <w:tab w:val="left" w:pos="1148"/>
              </w:tabs>
              <w:spacing w:before="40" w:after="40"/>
              <w:jc w:val="left"/>
              <w:rPr>
                <w:rFonts w:ascii="Tahoma" w:eastAsiaTheme="minorEastAsia" w:hAnsi="Tahoma" w:cs="Tahoma"/>
                <w:sz w:val="18"/>
                <w:szCs w:val="18"/>
                <w:rtl/>
              </w:rPr>
            </w:pPr>
          </w:p>
        </w:tc>
      </w:tr>
      <w:tr w:rsidR="00A75367" w:rsidRPr="00BC57BC" w:rsidTr="00041F2A">
        <w:trPr>
          <w:jc w:val="center"/>
        </w:trPr>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15/2017</w:t>
            </w:r>
          </w:p>
        </w:tc>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אחזקת מערכות הידרו-מכניות במתקני ביוב וניקוז</w:t>
            </w:r>
          </w:p>
        </w:tc>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660,000</w:t>
            </w:r>
          </w:p>
        </w:tc>
        <w:tc>
          <w:tcPr>
            <w:tcW w:w="1247"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792,000 ספק ט'</w:t>
            </w:r>
          </w:p>
        </w:tc>
        <w:tc>
          <w:tcPr>
            <w:tcW w:w="1134"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20%</w:t>
            </w:r>
          </w:p>
        </w:tc>
        <w:tc>
          <w:tcPr>
            <w:tcW w:w="2846"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המכרז בוטל. ועדת המכרזים החליטה לנהל משא ומתן עם ארבעת המציעים שהגישו הצעות למכרז. התאגיד התקשר עם ספק ט' שהגיש הצעה בסך 707,520 ש"ח (גבוהה ב-7% מהאומדן).</w:t>
            </w:r>
          </w:p>
        </w:tc>
      </w:tr>
      <w:tr w:rsidR="00A75367" w:rsidRPr="00BC57BC" w:rsidTr="00041F2A">
        <w:trPr>
          <w:jc w:val="center"/>
        </w:trPr>
        <w:tc>
          <w:tcPr>
            <w:tcW w:w="0" w:type="auto"/>
            <w:vMerge w:val="restart"/>
          </w:tcPr>
          <w:p w:rsidR="00A75367" w:rsidRPr="00041F2A" w:rsidRDefault="00A75367" w:rsidP="00041F2A">
            <w:pPr>
              <w:tabs>
                <w:tab w:val="left" w:pos="1148"/>
              </w:tabs>
              <w:spacing w:before="40" w:after="40"/>
              <w:jc w:val="left"/>
              <w:rPr>
                <w:rFonts w:ascii="Tahoma" w:eastAsiaTheme="minorEastAsia" w:hAnsi="Tahoma" w:cs="Tahoma"/>
                <w:sz w:val="18"/>
                <w:szCs w:val="18"/>
              </w:rPr>
            </w:pPr>
            <w:r w:rsidRPr="00041F2A">
              <w:rPr>
                <w:rFonts w:ascii="Tahoma" w:eastAsiaTheme="minorEastAsia" w:hAnsi="Tahoma" w:cs="Tahoma"/>
                <w:sz w:val="18"/>
                <w:szCs w:val="18"/>
                <w:rtl/>
              </w:rPr>
              <w:t>29/2017</w:t>
            </w:r>
          </w:p>
        </w:tc>
        <w:tc>
          <w:tcPr>
            <w:tcW w:w="0" w:type="auto"/>
            <w:vMerge w:val="restart"/>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שירותי הפקה של חשבונות מים והדפסתם</w:t>
            </w:r>
          </w:p>
        </w:tc>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1,671,695</w:t>
            </w:r>
          </w:p>
        </w:tc>
        <w:tc>
          <w:tcPr>
            <w:tcW w:w="1247"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1,467,070 ספק י'</w:t>
            </w:r>
          </w:p>
          <w:p w:rsidR="00A75367" w:rsidRPr="00041F2A" w:rsidRDefault="00A75367" w:rsidP="00041F2A">
            <w:pPr>
              <w:tabs>
                <w:tab w:val="left" w:pos="1148"/>
              </w:tabs>
              <w:spacing w:before="40" w:after="40"/>
              <w:jc w:val="left"/>
              <w:rPr>
                <w:rFonts w:ascii="Tahoma" w:eastAsiaTheme="minorEastAsia" w:hAnsi="Tahoma" w:cs="Tahoma"/>
                <w:sz w:val="18"/>
                <w:szCs w:val="18"/>
                <w:rtl/>
              </w:rPr>
            </w:pPr>
          </w:p>
        </w:tc>
        <w:tc>
          <w:tcPr>
            <w:tcW w:w="1134" w:type="dxa"/>
          </w:tcPr>
          <w:p w:rsidR="00A75367" w:rsidRPr="00041F2A" w:rsidRDefault="00A75367" w:rsidP="00AF3713">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12% (לא עמד בתנאי הסף)</w:t>
            </w:r>
          </w:p>
        </w:tc>
        <w:tc>
          <w:tcPr>
            <w:tcW w:w="2846" w:type="dxa"/>
            <w:vMerge w:val="restart"/>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 xml:space="preserve">מציע ההצעה הנמוכה ביותר לא עמד בתנאי הסף ונפסל. </w:t>
            </w:r>
          </w:p>
          <w:p w:rsidR="00A75367" w:rsidRPr="00041F2A" w:rsidRDefault="00A75367" w:rsidP="00041F2A">
            <w:pPr>
              <w:tabs>
                <w:tab w:val="left" w:pos="1148"/>
              </w:tabs>
              <w:spacing w:before="40" w:after="40"/>
              <w:jc w:val="left"/>
              <w:rPr>
                <w:rFonts w:ascii="Tahoma" w:eastAsiaTheme="minorEastAsia" w:hAnsi="Tahoma" w:cs="Tahoma"/>
                <w:sz w:val="18"/>
                <w:szCs w:val="18"/>
              </w:rPr>
            </w:pPr>
            <w:r w:rsidRPr="00041F2A">
              <w:rPr>
                <w:rFonts w:ascii="Tahoma" w:eastAsiaTheme="minorEastAsia" w:hAnsi="Tahoma" w:cs="Tahoma"/>
                <w:sz w:val="18"/>
                <w:szCs w:val="18"/>
                <w:rtl/>
              </w:rPr>
              <w:t>שתי הצעות נוספות היו גבוהות במידה ניכרת מהאומדן, ולכן המכרז בוטל. נערך הליך קבלת הצעות משלושת הספקים, נבחר ספק י' שהעלה את הצעתו ל-1,756,070 ש"ח, אך הצעתו הייתה הנמוכה ביותר.</w:t>
            </w:r>
          </w:p>
        </w:tc>
      </w:tr>
      <w:tr w:rsidR="00A75367" w:rsidRPr="00BC57BC" w:rsidTr="00041F2A">
        <w:trPr>
          <w:jc w:val="center"/>
        </w:trPr>
        <w:tc>
          <w:tcPr>
            <w:tcW w:w="0" w:type="auto"/>
            <w:vMerge/>
          </w:tcPr>
          <w:p w:rsidR="00A75367" w:rsidRPr="00041F2A" w:rsidRDefault="00A75367" w:rsidP="00041F2A">
            <w:pPr>
              <w:tabs>
                <w:tab w:val="left" w:pos="1148"/>
              </w:tabs>
              <w:spacing w:before="40" w:after="40"/>
              <w:jc w:val="left"/>
              <w:rPr>
                <w:rFonts w:ascii="Tahoma" w:eastAsiaTheme="minorEastAsia" w:hAnsi="Tahoma" w:cs="Tahoma"/>
                <w:sz w:val="18"/>
                <w:szCs w:val="18"/>
                <w:rtl/>
              </w:rPr>
            </w:pPr>
          </w:p>
        </w:tc>
        <w:tc>
          <w:tcPr>
            <w:tcW w:w="0" w:type="auto"/>
            <w:vMerge/>
          </w:tcPr>
          <w:p w:rsidR="00A75367" w:rsidRPr="00041F2A" w:rsidRDefault="00A75367" w:rsidP="00041F2A">
            <w:pPr>
              <w:tabs>
                <w:tab w:val="left" w:pos="1148"/>
              </w:tabs>
              <w:spacing w:before="40" w:after="40"/>
              <w:jc w:val="left"/>
              <w:rPr>
                <w:rFonts w:ascii="Tahoma" w:eastAsiaTheme="minorEastAsia" w:hAnsi="Tahoma" w:cs="Tahoma"/>
                <w:sz w:val="18"/>
                <w:szCs w:val="18"/>
                <w:rtl/>
              </w:rPr>
            </w:pPr>
          </w:p>
        </w:tc>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p>
        </w:tc>
        <w:tc>
          <w:tcPr>
            <w:tcW w:w="1247"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 xml:space="preserve">2,176,575 ספק ז' </w:t>
            </w:r>
          </w:p>
        </w:tc>
        <w:tc>
          <w:tcPr>
            <w:tcW w:w="1134"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30%</w:t>
            </w:r>
          </w:p>
        </w:tc>
        <w:tc>
          <w:tcPr>
            <w:tcW w:w="2846" w:type="dxa"/>
            <w:vMerge/>
          </w:tcPr>
          <w:p w:rsidR="00A75367" w:rsidRPr="00041F2A" w:rsidRDefault="00A75367" w:rsidP="00041F2A">
            <w:pPr>
              <w:tabs>
                <w:tab w:val="left" w:pos="1148"/>
              </w:tabs>
              <w:spacing w:before="40" w:after="40"/>
              <w:jc w:val="left"/>
              <w:rPr>
                <w:rFonts w:ascii="Tahoma" w:eastAsiaTheme="minorEastAsia" w:hAnsi="Tahoma" w:cs="Tahoma"/>
                <w:sz w:val="18"/>
                <w:szCs w:val="18"/>
                <w:rtl/>
              </w:rPr>
            </w:pPr>
          </w:p>
        </w:tc>
      </w:tr>
      <w:tr w:rsidR="00A75367" w:rsidRPr="00BC57BC" w:rsidTr="00041F2A">
        <w:trPr>
          <w:jc w:val="center"/>
        </w:trPr>
        <w:tc>
          <w:tcPr>
            <w:tcW w:w="0" w:type="auto"/>
            <w:vMerge/>
          </w:tcPr>
          <w:p w:rsidR="00A75367" w:rsidRPr="00041F2A" w:rsidRDefault="00A75367" w:rsidP="00041F2A">
            <w:pPr>
              <w:tabs>
                <w:tab w:val="left" w:pos="1148"/>
              </w:tabs>
              <w:spacing w:before="40" w:after="40"/>
              <w:jc w:val="left"/>
              <w:rPr>
                <w:rFonts w:ascii="Tahoma" w:eastAsiaTheme="minorEastAsia" w:hAnsi="Tahoma" w:cs="Tahoma"/>
                <w:sz w:val="18"/>
                <w:szCs w:val="18"/>
                <w:rtl/>
              </w:rPr>
            </w:pPr>
          </w:p>
        </w:tc>
        <w:tc>
          <w:tcPr>
            <w:tcW w:w="0" w:type="auto"/>
            <w:vMerge/>
          </w:tcPr>
          <w:p w:rsidR="00A75367" w:rsidRPr="00041F2A" w:rsidRDefault="00A75367" w:rsidP="00041F2A">
            <w:pPr>
              <w:tabs>
                <w:tab w:val="left" w:pos="1148"/>
              </w:tabs>
              <w:spacing w:before="40" w:after="40"/>
              <w:jc w:val="left"/>
              <w:rPr>
                <w:rFonts w:ascii="Tahoma" w:eastAsiaTheme="minorEastAsia" w:hAnsi="Tahoma" w:cs="Tahoma"/>
                <w:sz w:val="18"/>
                <w:szCs w:val="18"/>
                <w:rtl/>
              </w:rPr>
            </w:pPr>
          </w:p>
        </w:tc>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p>
        </w:tc>
        <w:tc>
          <w:tcPr>
            <w:tcW w:w="1247"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2,375,805 ספק י"א</w:t>
            </w:r>
          </w:p>
        </w:tc>
        <w:tc>
          <w:tcPr>
            <w:tcW w:w="1134"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42%</w:t>
            </w:r>
          </w:p>
        </w:tc>
        <w:tc>
          <w:tcPr>
            <w:tcW w:w="2846" w:type="dxa"/>
            <w:vMerge/>
          </w:tcPr>
          <w:p w:rsidR="00A75367" w:rsidRPr="00041F2A" w:rsidRDefault="00A75367" w:rsidP="00041F2A">
            <w:pPr>
              <w:tabs>
                <w:tab w:val="left" w:pos="1148"/>
              </w:tabs>
              <w:spacing w:before="40" w:after="40"/>
              <w:jc w:val="left"/>
              <w:rPr>
                <w:rFonts w:ascii="Tahoma" w:eastAsiaTheme="minorEastAsia" w:hAnsi="Tahoma" w:cs="Tahoma"/>
                <w:sz w:val="18"/>
                <w:szCs w:val="18"/>
                <w:rtl/>
              </w:rPr>
            </w:pPr>
          </w:p>
        </w:tc>
      </w:tr>
      <w:tr w:rsidR="00A75367" w:rsidRPr="00BC57BC" w:rsidTr="00041F2A">
        <w:trPr>
          <w:jc w:val="center"/>
        </w:trPr>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6/2017</w:t>
            </w:r>
          </w:p>
        </w:tc>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אספקת מסננים אנכיים</w:t>
            </w:r>
          </w:p>
        </w:tc>
        <w:tc>
          <w:tcPr>
            <w:tcW w:w="0" w:type="auto"/>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332,070</w:t>
            </w:r>
          </w:p>
        </w:tc>
        <w:tc>
          <w:tcPr>
            <w:tcW w:w="1247"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588,744</w:t>
            </w:r>
          </w:p>
        </w:tc>
        <w:tc>
          <w:tcPr>
            <w:tcW w:w="1134" w:type="dxa"/>
          </w:tcPr>
          <w:p w:rsidR="00A75367" w:rsidRPr="00041F2A" w:rsidRDefault="00A75367" w:rsidP="00041F2A">
            <w:pPr>
              <w:tabs>
                <w:tab w:val="left" w:pos="1148"/>
              </w:tabs>
              <w:spacing w:before="40" w:after="40"/>
              <w:jc w:val="left"/>
              <w:rPr>
                <w:rFonts w:ascii="Tahoma" w:eastAsiaTheme="minorEastAsia" w:hAnsi="Tahoma" w:cs="Tahoma"/>
                <w:sz w:val="18"/>
                <w:szCs w:val="18"/>
                <w:rtl/>
              </w:rPr>
            </w:pPr>
            <w:r w:rsidRPr="00041F2A">
              <w:rPr>
                <w:rFonts w:ascii="Tahoma" w:eastAsiaTheme="minorEastAsia" w:hAnsi="Tahoma" w:cs="Tahoma"/>
                <w:sz w:val="18"/>
                <w:szCs w:val="18"/>
                <w:rtl/>
              </w:rPr>
              <w:t>77%</w:t>
            </w:r>
          </w:p>
        </w:tc>
        <w:tc>
          <w:tcPr>
            <w:tcW w:w="2846" w:type="dxa"/>
          </w:tcPr>
          <w:p w:rsidR="00A75367" w:rsidRPr="00041F2A" w:rsidRDefault="00A75367" w:rsidP="00041F2A">
            <w:pPr>
              <w:tabs>
                <w:tab w:val="left" w:pos="1148"/>
              </w:tabs>
              <w:spacing w:before="40" w:after="40"/>
              <w:jc w:val="left"/>
              <w:rPr>
                <w:rFonts w:ascii="Tahoma" w:eastAsiaTheme="minorEastAsia" w:hAnsi="Tahoma" w:cs="Tahoma"/>
                <w:sz w:val="18"/>
                <w:szCs w:val="18"/>
              </w:rPr>
            </w:pPr>
            <w:r w:rsidRPr="00041F2A">
              <w:rPr>
                <w:rFonts w:ascii="Tahoma" w:eastAsiaTheme="minorEastAsia" w:hAnsi="Tahoma" w:cs="Tahoma"/>
                <w:sz w:val="18"/>
                <w:szCs w:val="18"/>
                <w:rtl/>
              </w:rPr>
              <w:t>המכרז בוטל עקב קבלת הצעה יחידה. הועדה החליטה כי תיבחן האפשרות להשתמש במסננים אלכסוניים.</w:t>
            </w:r>
          </w:p>
        </w:tc>
      </w:tr>
    </w:tbl>
    <w:p w:rsidR="00A75367" w:rsidRPr="00041F2A" w:rsidRDefault="00A75367" w:rsidP="00041F2A">
      <w:pPr>
        <w:spacing w:before="120" w:after="120"/>
        <w:jc w:val="center"/>
        <w:rPr>
          <w:rFonts w:ascii="Tahoma" w:hAnsi="Tahoma" w:cs="Tahoma"/>
          <w:sz w:val="16"/>
          <w:szCs w:val="16"/>
          <w:rtl/>
          <w:lang w:eastAsia="he-IL"/>
        </w:rPr>
      </w:pPr>
      <w:r w:rsidRPr="00041F2A">
        <w:rPr>
          <w:rFonts w:ascii="Tahoma" w:hAnsi="Tahoma" w:cs="Tahoma"/>
          <w:sz w:val="16"/>
          <w:szCs w:val="16"/>
          <w:rtl/>
          <w:lang w:eastAsia="he-IL"/>
        </w:rPr>
        <w:t>על פי נתוני הגיחון.</w:t>
      </w:r>
    </w:p>
    <w:p w:rsidR="00A75367" w:rsidRPr="00BC57BC" w:rsidRDefault="00A75367" w:rsidP="00041F2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C57BC">
        <w:rPr>
          <w:rFonts w:ascii="Tahoma" w:hAnsi="Tahoma" w:cs="Tahoma"/>
          <w:b w:val="0"/>
          <w:bCs w:val="0"/>
          <w:sz w:val="16"/>
          <w:szCs w:val="20"/>
          <w:rtl/>
        </w:rPr>
        <w:lastRenderedPageBreak/>
        <w:t>הפער בין האומדנים העצמיים לבין הצעות הספקים בחלק מהמקרים שתוארו לעיל מעיד על הצורך בבחינת טיב האומדנים וחשיבות הפקת לקחים במקרים בהם נתקבלו הצעות בפערים גבוהים מהאומדן.</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משרד מבקר המדינה רואה בחיוב את תשובת התאגיד מאפריל 2019 לפיה הוא התקשר ביולי 2018 עם חברת ייעוץ מיוחדת לעניין טיוב האומדנים.</w:t>
      </w:r>
    </w:p>
    <w:p w:rsidR="00041F2A" w:rsidRDefault="00041F2A" w:rsidP="00041F2A">
      <w:pPr>
        <w:spacing w:before="240" w:after="240"/>
        <w:jc w:val="center"/>
        <w:rPr>
          <w:rFonts w:ascii="Segoe UI Symbol" w:hAnsi="Segoe UI Symbol" w:cs="Segoe UI Symbol"/>
          <w:b/>
          <w:bCs/>
          <w:sz w:val="40"/>
          <w:szCs w:val="28"/>
        </w:rPr>
      </w:pPr>
      <w:r w:rsidRPr="00A7067D">
        <w:rPr>
          <w:rFonts w:ascii="Segoe UI Symbol" w:hAnsi="Segoe UI Symbol" w:cs="Segoe UI Symbol" w:hint="cs"/>
          <w:b/>
          <w:bCs/>
          <w:sz w:val="40"/>
          <w:szCs w:val="28"/>
          <w:rtl/>
        </w:rPr>
        <w:t>✰</w:t>
      </w:r>
    </w:p>
    <w:p w:rsidR="00A75367" w:rsidRPr="00BC57BC" w:rsidRDefault="00A75367" w:rsidP="00041F2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16"/>
          <w:szCs w:val="20"/>
          <w:rtl/>
        </w:rPr>
      </w:pPr>
      <w:r w:rsidRPr="00BC57BC">
        <w:rPr>
          <w:rFonts w:ascii="Tahoma" w:hAnsi="Tahoma" w:cs="Tahoma"/>
          <w:b w:val="0"/>
          <w:bCs w:val="0"/>
          <w:sz w:val="16"/>
          <w:szCs w:val="20"/>
          <w:rtl/>
        </w:rPr>
        <w:t xml:space="preserve">משרד מבקר המדינה מעיר לתאגיד כי עליו להקפיד על ביצוע התקשרויות לפי חוק חובת המכרזים ותקנותיו ולפי נהליו שלו, ולנקוט צעדים לשם שיפור הבקרה עליהן. כך יוכל התאגיד לבחור את הספק המתאים ביותר לצרכיו בדרך שוויונית, ביעילות ובמקצועיות, ויוכל לנצל את משאביו כראוי ולחסוך בכספי ציבור. </w:t>
      </w:r>
    </w:p>
    <w:p w:rsidR="00A75367" w:rsidRPr="00BC57BC" w:rsidRDefault="00A75367" w:rsidP="00041F2A">
      <w:pPr>
        <w:pStyle w:val="21"/>
        <w:rPr>
          <w:rtl/>
        </w:rPr>
      </w:pPr>
      <w:bookmarkStart w:id="33" w:name="_Toc17268285"/>
      <w:bookmarkStart w:id="34" w:name="_Toc32167119"/>
      <w:r w:rsidRPr="00BC57BC">
        <w:rPr>
          <w:rtl/>
        </w:rPr>
        <w:t>התקשרות עם עיריית ירושלים לאספקת קולחים</w:t>
      </w:r>
      <w:bookmarkEnd w:id="33"/>
      <w:bookmarkEnd w:id="34"/>
    </w:p>
    <w:p w:rsidR="00A75367" w:rsidRPr="00BC57BC" w:rsidRDefault="00A75367" w:rsidP="00041F2A">
      <w:pPr>
        <w:pStyle w:val="a1"/>
        <w:rPr>
          <w:sz w:val="16"/>
          <w:rtl/>
        </w:rPr>
      </w:pPr>
      <w:r w:rsidRPr="00041F2A">
        <w:rPr>
          <w:b w:val="0"/>
          <w:bCs w:val="0"/>
          <w:rtl/>
        </w:rPr>
        <w:t>תמונה 1:</w:t>
      </w:r>
      <w:r w:rsidRPr="00BC57BC">
        <w:rPr>
          <w:rtl/>
        </w:rPr>
        <w:t xml:space="preserve"> </w:t>
      </w:r>
      <w:proofErr w:type="spellStart"/>
      <w:r w:rsidRPr="00BC57BC">
        <w:rPr>
          <w:rtl/>
        </w:rPr>
        <w:t>מט"ש</w:t>
      </w:r>
      <w:proofErr w:type="spellEnd"/>
      <w:r w:rsidRPr="00BC57BC">
        <w:rPr>
          <w:rtl/>
        </w:rPr>
        <w:t xml:space="preserve"> חומת שמואל</w:t>
      </w:r>
    </w:p>
    <w:p w:rsidR="00A75367" w:rsidRPr="00BC57BC" w:rsidRDefault="00A75367" w:rsidP="00A75367">
      <w:pPr>
        <w:spacing w:after="120"/>
        <w:jc w:val="center"/>
        <w:rPr>
          <w:rFonts w:ascii="Tahoma" w:hAnsi="Tahoma" w:cs="Tahoma"/>
          <w:sz w:val="18"/>
          <w:szCs w:val="18"/>
          <w:rtl/>
        </w:rPr>
      </w:pPr>
      <w:r w:rsidRPr="00BC57BC">
        <w:rPr>
          <w:rFonts w:ascii="Tahoma" w:hAnsi="Tahoma" w:cs="Tahoma"/>
          <w:noProof/>
          <w:sz w:val="16"/>
          <w:szCs w:val="20"/>
          <w:rtl/>
        </w:rPr>
        <w:drawing>
          <wp:inline distT="0" distB="0" distL="0" distR="0" wp14:anchorId="684B7F63" wp14:editId="3362D9C6">
            <wp:extent cx="4481965" cy="2173185"/>
            <wp:effectExtent l="0" t="0" r="0" b="0"/>
            <wp:docPr id="10" name="תמונה 8" descr="תמונה של מט&quot;ש חומת שמואל בהר חו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8152" cy="2181034"/>
                    </a:xfrm>
                    <a:prstGeom prst="rect">
                      <a:avLst/>
                    </a:prstGeom>
                    <a:noFill/>
                    <a:ln>
                      <a:noFill/>
                    </a:ln>
                  </pic:spPr>
                </pic:pic>
              </a:graphicData>
            </a:graphic>
          </wp:inline>
        </w:drawing>
      </w:r>
    </w:p>
    <w:p w:rsidR="00A75367" w:rsidRPr="00041F2A" w:rsidRDefault="00A75367" w:rsidP="00041F2A">
      <w:pPr>
        <w:spacing w:before="120" w:after="120"/>
        <w:jc w:val="center"/>
        <w:rPr>
          <w:rFonts w:ascii="Tahoma" w:hAnsi="Tahoma" w:cs="Tahoma"/>
          <w:sz w:val="16"/>
          <w:szCs w:val="16"/>
          <w:rtl/>
          <w:lang w:eastAsia="he-IL"/>
        </w:rPr>
      </w:pPr>
      <w:r w:rsidRPr="00041F2A">
        <w:rPr>
          <w:rFonts w:ascii="Tahoma" w:hAnsi="Tahoma" w:cs="Tahoma"/>
          <w:sz w:val="16"/>
          <w:szCs w:val="16"/>
          <w:rtl/>
          <w:lang w:eastAsia="he-IL"/>
        </w:rPr>
        <w:t>מתוך דוח שנתי של תאגיד הגיחון לשנת 2018.</w:t>
      </w:r>
    </w:p>
    <w:p w:rsidR="00A75367" w:rsidRPr="00BC57BC" w:rsidRDefault="00A75367" w:rsidP="00A75367">
      <w:pPr>
        <w:spacing w:after="120"/>
        <w:rPr>
          <w:rFonts w:ascii="Tahoma" w:hAnsi="Tahoma" w:cs="Tahoma"/>
          <w:sz w:val="16"/>
          <w:szCs w:val="20"/>
          <w:rtl/>
        </w:rPr>
      </w:pPr>
      <w:r w:rsidRPr="00BC57BC">
        <w:rPr>
          <w:rFonts w:ascii="Tahoma" w:hAnsi="Tahoma" w:cs="Tahoma"/>
          <w:sz w:val="16"/>
          <w:szCs w:val="20"/>
          <w:rtl/>
        </w:rPr>
        <w:t xml:space="preserve">בחודש מרץ 2014 החל לפעול מכון טיהור שפכים (להלן - </w:t>
      </w:r>
      <w:proofErr w:type="spellStart"/>
      <w:r w:rsidRPr="00BC57BC">
        <w:rPr>
          <w:rFonts w:ascii="Tahoma" w:hAnsi="Tahoma" w:cs="Tahoma"/>
          <w:sz w:val="16"/>
          <w:szCs w:val="20"/>
          <w:rtl/>
        </w:rPr>
        <w:t>מט"ש</w:t>
      </w:r>
      <w:proofErr w:type="spellEnd"/>
      <w:r w:rsidRPr="00BC57BC">
        <w:rPr>
          <w:rFonts w:ascii="Tahoma" w:hAnsi="Tahoma" w:cs="Tahoma"/>
          <w:sz w:val="16"/>
          <w:szCs w:val="20"/>
          <w:rtl/>
        </w:rPr>
        <w:t xml:space="preserve">) בשכונת חומת שמואל בירושלים (להלן - </w:t>
      </w:r>
      <w:proofErr w:type="spellStart"/>
      <w:r w:rsidRPr="00BC57BC">
        <w:rPr>
          <w:rFonts w:ascii="Tahoma" w:hAnsi="Tahoma" w:cs="Tahoma"/>
          <w:sz w:val="16"/>
          <w:szCs w:val="20"/>
          <w:rtl/>
        </w:rPr>
        <w:t>מט"ש</w:t>
      </w:r>
      <w:proofErr w:type="spellEnd"/>
      <w:r w:rsidRPr="00BC57BC">
        <w:rPr>
          <w:rFonts w:ascii="Tahoma" w:hAnsi="Tahoma" w:cs="Tahoma"/>
          <w:sz w:val="16"/>
          <w:szCs w:val="20"/>
          <w:rtl/>
        </w:rPr>
        <w:t xml:space="preserve"> הר-חומה) בקיבולת של 3,000 מ"ק ליום, כ-1.09 מיליון מ"ק בשנה. מטרתו העיקרית של </w:t>
      </w:r>
      <w:proofErr w:type="spellStart"/>
      <w:r w:rsidRPr="00BC57BC">
        <w:rPr>
          <w:rFonts w:ascii="Tahoma" w:hAnsi="Tahoma" w:cs="Tahoma"/>
          <w:sz w:val="16"/>
          <w:szCs w:val="20"/>
          <w:rtl/>
        </w:rPr>
        <w:t>המט"ש</w:t>
      </w:r>
      <w:proofErr w:type="spellEnd"/>
      <w:r w:rsidRPr="00BC57BC">
        <w:rPr>
          <w:rFonts w:ascii="Tahoma" w:hAnsi="Tahoma" w:cs="Tahoma"/>
          <w:sz w:val="16"/>
          <w:szCs w:val="20"/>
          <w:rtl/>
        </w:rPr>
        <w:t xml:space="preserve"> היא לטהר שפכים כדי לספק קולחים לצורך השקיית גינות ציבוריות בעיר ירושלים. במקביל להקמת </w:t>
      </w:r>
      <w:proofErr w:type="spellStart"/>
      <w:r w:rsidRPr="00BC57BC">
        <w:rPr>
          <w:rFonts w:ascii="Tahoma" w:hAnsi="Tahoma" w:cs="Tahoma"/>
          <w:sz w:val="16"/>
          <w:szCs w:val="20"/>
          <w:rtl/>
        </w:rPr>
        <w:t>המט"ש</w:t>
      </w:r>
      <w:proofErr w:type="spellEnd"/>
      <w:r w:rsidRPr="00BC57BC">
        <w:rPr>
          <w:rFonts w:ascii="Tahoma" w:hAnsi="Tahoma" w:cs="Tahoma"/>
          <w:sz w:val="16"/>
          <w:szCs w:val="20"/>
          <w:rtl/>
        </w:rPr>
        <w:t xml:space="preserve"> הניח התאגיד תשתית להולכת הקולחים </w:t>
      </w:r>
      <w:proofErr w:type="spellStart"/>
      <w:r w:rsidRPr="00BC57BC">
        <w:rPr>
          <w:rFonts w:ascii="Tahoma" w:hAnsi="Tahoma" w:cs="Tahoma"/>
          <w:sz w:val="16"/>
          <w:szCs w:val="20"/>
          <w:rtl/>
        </w:rPr>
        <w:t>מהמט"ש</w:t>
      </w:r>
      <w:proofErr w:type="spellEnd"/>
      <w:r w:rsidRPr="00BC57BC">
        <w:rPr>
          <w:rFonts w:ascii="Tahoma" w:hAnsi="Tahoma" w:cs="Tahoma"/>
          <w:sz w:val="16"/>
          <w:szCs w:val="20"/>
          <w:rtl/>
        </w:rPr>
        <w:t xml:space="preserve"> אל הפארקים הגדולים בירושלים. </w:t>
      </w:r>
    </w:p>
    <w:p w:rsidR="00A75367" w:rsidRPr="00BC57BC" w:rsidRDefault="00A75367" w:rsidP="00041F2A">
      <w:pPr>
        <w:pStyle w:val="ListParagraph"/>
        <w:numPr>
          <w:ilvl w:val="0"/>
          <w:numId w:val="7"/>
        </w:numPr>
        <w:spacing w:after="120"/>
        <w:ind w:left="397" w:hanging="397"/>
        <w:contextualSpacing w:val="0"/>
        <w:rPr>
          <w:rFonts w:ascii="Tahoma" w:hAnsi="Tahoma" w:cs="Tahoma"/>
          <w:sz w:val="16"/>
          <w:szCs w:val="20"/>
        </w:rPr>
      </w:pPr>
      <w:r w:rsidRPr="00BC57BC">
        <w:rPr>
          <w:rFonts w:ascii="Tahoma" w:hAnsi="Tahoma" w:cs="Tahoma"/>
          <w:szCs w:val="20"/>
          <w:rtl/>
        </w:rPr>
        <w:lastRenderedPageBreak/>
        <w:t>בדצמבר 2015 חתמו התאגיד ועיריית ירושלים על הסכם לאספקת מי קולחים להשקיית גנים ציבוריים</w:t>
      </w:r>
      <w:r w:rsidRPr="00BC57BC">
        <w:rPr>
          <w:rStyle w:val="FootnoteReference"/>
          <w:rFonts w:ascii="Tahoma" w:hAnsi="Tahoma" w:cs="Tahoma"/>
          <w:szCs w:val="20"/>
          <w:rtl/>
        </w:rPr>
        <w:footnoteReference w:id="37"/>
      </w:r>
      <w:r w:rsidRPr="00BC57BC">
        <w:rPr>
          <w:rFonts w:ascii="Tahoma" w:hAnsi="Tahoma" w:cs="Tahoma"/>
          <w:szCs w:val="20"/>
          <w:rtl/>
        </w:rPr>
        <w:t xml:space="preserve">. תוקף ההסכם היה לשנתיים, ועיריית ירושלים הייתה רשאית </w:t>
      </w:r>
      <w:proofErr w:type="spellStart"/>
      <w:r w:rsidRPr="00BC57BC">
        <w:rPr>
          <w:rFonts w:ascii="Tahoma" w:hAnsi="Tahoma" w:cs="Tahoma"/>
          <w:szCs w:val="20"/>
          <w:rtl/>
        </w:rPr>
        <w:t>להאריכו</w:t>
      </w:r>
      <w:proofErr w:type="spellEnd"/>
      <w:r w:rsidRPr="00BC57BC">
        <w:rPr>
          <w:rFonts w:ascii="Tahoma" w:hAnsi="Tahoma" w:cs="Tahoma"/>
          <w:szCs w:val="20"/>
          <w:rtl/>
        </w:rPr>
        <w:t xml:space="preserve"> לתקופה נוספת של עד שלוש שנים, ובלבד שתקופת ההסכם כולה לא תעלה על חמש שנים. </w:t>
      </w:r>
      <w:r w:rsidRPr="00BC57BC">
        <w:rPr>
          <w:rFonts w:ascii="Tahoma" w:hAnsi="Tahoma" w:cs="Tahoma"/>
          <w:sz w:val="16"/>
          <w:szCs w:val="20"/>
          <w:rtl/>
        </w:rPr>
        <w:t>בהסכם נקבע כי התאגיד יתקין על חשבונו את כל התשתיות הדרושות לאספקת מי הקולחים לגנים הציבוריים; הקולחים יסופקו לעיריית ירושלים בתעריף של 72% מתעריף המים המאושר לקוב מים שפירים להשקיית גנים ציבוריים כפי שיאושר מפעם לפעם; העירייה אינה מתחייבת לצרוך כמות כלשהי של מי קולחים.</w:t>
      </w:r>
    </w:p>
    <w:p w:rsidR="00A75367" w:rsidRPr="00041F2A" w:rsidRDefault="00A75367" w:rsidP="00041F2A">
      <w:pPr>
        <w:pStyle w:val="BodyTextIndent2"/>
        <w:rPr>
          <w:sz w:val="16"/>
          <w:rtl/>
        </w:rPr>
      </w:pPr>
      <w:r w:rsidRPr="00041F2A">
        <w:rPr>
          <w:sz w:val="16"/>
          <w:rtl/>
        </w:rPr>
        <w:t>מהדוחות הכספיים של התאגיד לשנת 2017 עולה כי התאגיד השקיע כ-52 מיליון ש"ח בהקמת התשתיות לאספקת מי קולחים שיטוהרו במכון לטיהור שפכים בשכונת חומת שמואל לשם השקיית גנים בירושלים. בדוחות הכספיים שפרסם התאגיד מאז 2014 נכתב כי "העירייה תשאף לצרוך כמות של כ-250 אלפי קוב לשנה, אך היא אינה מתחייבת לכך". עוד הוסיף התאגיד כי להערכתו, "צריכת המים המטוהרים תגיע בפועל כמעט בוודאות לכ-500,000 קוב לשנה, וכי על סמך הערכה זו סבור התאגיד כי ההכנסות הצפויות מתשתיות אלה [תשתיות הקולחים] גדולות מעלותן".</w:t>
      </w:r>
    </w:p>
    <w:p w:rsidR="00A75367" w:rsidRPr="00BC57BC" w:rsidRDefault="00A75367" w:rsidP="00041F2A">
      <w:pPr>
        <w:pStyle w:val="a1"/>
        <w:rPr>
          <w:rtl/>
        </w:rPr>
      </w:pPr>
      <w:r w:rsidRPr="00041F2A">
        <w:rPr>
          <w:b w:val="0"/>
          <w:bCs w:val="0"/>
          <w:rtl/>
        </w:rPr>
        <w:t>לוח 13 -</w:t>
      </w:r>
      <w:r w:rsidRPr="00BC57BC">
        <w:rPr>
          <w:rtl/>
        </w:rPr>
        <w:t xml:space="preserve"> צריכת מים שפירים ומי קולחים </w:t>
      </w:r>
      <w:proofErr w:type="spellStart"/>
      <w:r w:rsidRPr="00BC57BC">
        <w:rPr>
          <w:rtl/>
        </w:rPr>
        <w:t>במ"ק</w:t>
      </w:r>
      <w:proofErr w:type="spellEnd"/>
      <w:r w:rsidRPr="00BC57BC">
        <w:rPr>
          <w:rtl/>
        </w:rPr>
        <w:t xml:space="preserve"> לגינון ציבורי בירושלים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2"/>
        <w:gridCol w:w="1481"/>
        <w:gridCol w:w="1671"/>
      </w:tblGrid>
      <w:tr w:rsidR="00A75367" w:rsidRPr="00BC57BC" w:rsidTr="00DD5C21">
        <w:trPr>
          <w:trHeight w:val="255"/>
          <w:tblHeader/>
          <w:jc w:val="center"/>
        </w:trPr>
        <w:tc>
          <w:tcPr>
            <w:tcW w:w="0" w:type="auto"/>
            <w:shd w:val="clear" w:color="auto" w:fill="C6D9F1"/>
            <w:noWrap/>
            <w:tcMar>
              <w:top w:w="0" w:type="dxa"/>
              <w:left w:w="108" w:type="dxa"/>
              <w:bottom w:w="0" w:type="dxa"/>
              <w:right w:w="108" w:type="dxa"/>
            </w:tcMar>
            <w:vAlign w:val="bottom"/>
            <w:hideMark/>
          </w:tcPr>
          <w:p w:rsidR="00A75367" w:rsidRPr="00DD5C21" w:rsidRDefault="00A75367" w:rsidP="00DD5C21">
            <w:pPr>
              <w:tabs>
                <w:tab w:val="left" w:pos="1148"/>
              </w:tabs>
              <w:spacing w:before="40" w:after="40"/>
              <w:jc w:val="left"/>
              <w:rPr>
                <w:rFonts w:ascii="Tahoma" w:eastAsiaTheme="minorEastAsia" w:hAnsi="Tahoma" w:cs="Tahoma"/>
                <w:b/>
                <w:bCs/>
                <w:sz w:val="18"/>
                <w:szCs w:val="18"/>
              </w:rPr>
            </w:pPr>
            <w:r w:rsidRPr="00DD5C21">
              <w:rPr>
                <w:rFonts w:ascii="Tahoma" w:eastAsiaTheme="minorEastAsia" w:hAnsi="Tahoma" w:cs="Tahoma"/>
                <w:b/>
                <w:bCs/>
                <w:sz w:val="18"/>
                <w:szCs w:val="18"/>
                <w:rtl/>
              </w:rPr>
              <w:t>השנה</w:t>
            </w:r>
          </w:p>
        </w:tc>
        <w:tc>
          <w:tcPr>
            <w:tcW w:w="0" w:type="auto"/>
            <w:shd w:val="clear" w:color="auto" w:fill="C6D9F1"/>
            <w:noWrap/>
            <w:tcMar>
              <w:top w:w="0" w:type="dxa"/>
              <w:left w:w="108" w:type="dxa"/>
              <w:bottom w:w="0" w:type="dxa"/>
              <w:right w:w="108" w:type="dxa"/>
            </w:tcMar>
            <w:vAlign w:val="bottom"/>
            <w:hideMark/>
          </w:tcPr>
          <w:p w:rsidR="00A75367" w:rsidRPr="00DD5C21" w:rsidRDefault="00A75367" w:rsidP="00DD5C21">
            <w:pPr>
              <w:tabs>
                <w:tab w:val="left" w:pos="1148"/>
              </w:tabs>
              <w:spacing w:before="40" w:after="40"/>
              <w:jc w:val="left"/>
              <w:rPr>
                <w:rFonts w:ascii="Tahoma" w:eastAsiaTheme="minorEastAsia" w:hAnsi="Tahoma" w:cs="Tahoma"/>
                <w:b/>
                <w:bCs/>
                <w:sz w:val="18"/>
                <w:szCs w:val="18"/>
              </w:rPr>
            </w:pPr>
            <w:r w:rsidRPr="00DD5C21">
              <w:rPr>
                <w:rFonts w:ascii="Tahoma" w:eastAsiaTheme="minorEastAsia" w:hAnsi="Tahoma" w:cs="Tahoma"/>
                <w:b/>
                <w:bCs/>
                <w:sz w:val="18"/>
                <w:szCs w:val="18"/>
                <w:rtl/>
              </w:rPr>
              <w:t xml:space="preserve">צריכת קולחים </w:t>
            </w:r>
            <w:r w:rsidR="00DD5C21">
              <w:rPr>
                <w:rFonts w:ascii="Tahoma" w:eastAsiaTheme="minorEastAsia" w:hAnsi="Tahoma" w:cs="Tahoma" w:hint="cs"/>
                <w:b/>
                <w:bCs/>
                <w:sz w:val="18"/>
                <w:szCs w:val="18"/>
                <w:rtl/>
              </w:rPr>
              <w:br/>
            </w:r>
            <w:r w:rsidRPr="00DD5C21">
              <w:rPr>
                <w:rFonts w:ascii="Tahoma" w:eastAsiaTheme="minorEastAsia" w:hAnsi="Tahoma" w:cs="Tahoma"/>
                <w:b/>
                <w:bCs/>
                <w:sz w:val="18"/>
                <w:szCs w:val="18"/>
                <w:rtl/>
              </w:rPr>
              <w:t xml:space="preserve">לגינון ציבורי </w:t>
            </w:r>
            <w:r w:rsidR="00DD5C21">
              <w:rPr>
                <w:rFonts w:ascii="Tahoma" w:eastAsiaTheme="minorEastAsia" w:hAnsi="Tahoma" w:cs="Tahoma" w:hint="cs"/>
                <w:b/>
                <w:bCs/>
                <w:sz w:val="18"/>
                <w:szCs w:val="18"/>
                <w:rtl/>
              </w:rPr>
              <w:br/>
            </w:r>
            <w:proofErr w:type="spellStart"/>
            <w:r w:rsidRPr="00DD5C21">
              <w:rPr>
                <w:rFonts w:ascii="Tahoma" w:eastAsiaTheme="minorEastAsia" w:hAnsi="Tahoma" w:cs="Tahoma"/>
                <w:b/>
                <w:bCs/>
                <w:sz w:val="18"/>
                <w:szCs w:val="18"/>
                <w:rtl/>
              </w:rPr>
              <w:t>במ"ק</w:t>
            </w:r>
            <w:proofErr w:type="spellEnd"/>
          </w:p>
        </w:tc>
        <w:tc>
          <w:tcPr>
            <w:tcW w:w="0" w:type="auto"/>
            <w:shd w:val="clear" w:color="auto" w:fill="C6D9F1"/>
            <w:vAlign w:val="bottom"/>
          </w:tcPr>
          <w:p w:rsidR="00A75367" w:rsidRPr="00DD5C21" w:rsidRDefault="00A75367" w:rsidP="00DD5C21">
            <w:pPr>
              <w:tabs>
                <w:tab w:val="left" w:pos="1148"/>
              </w:tabs>
              <w:spacing w:before="40" w:after="40"/>
              <w:jc w:val="left"/>
              <w:rPr>
                <w:rFonts w:ascii="Tahoma" w:eastAsiaTheme="minorEastAsia" w:hAnsi="Tahoma" w:cs="Tahoma"/>
                <w:b/>
                <w:bCs/>
                <w:sz w:val="18"/>
                <w:szCs w:val="18"/>
                <w:rtl/>
              </w:rPr>
            </w:pPr>
            <w:r w:rsidRPr="00DD5C21">
              <w:rPr>
                <w:rFonts w:ascii="Tahoma" w:eastAsiaTheme="minorEastAsia" w:hAnsi="Tahoma" w:cs="Tahoma"/>
                <w:b/>
                <w:bCs/>
                <w:sz w:val="18"/>
                <w:szCs w:val="18"/>
                <w:rtl/>
              </w:rPr>
              <w:t xml:space="preserve">צריכת מים שפירים </w:t>
            </w:r>
            <w:r w:rsidR="00DD5C21">
              <w:rPr>
                <w:rFonts w:ascii="Tahoma" w:eastAsiaTheme="minorEastAsia" w:hAnsi="Tahoma" w:cs="Tahoma" w:hint="cs"/>
                <w:b/>
                <w:bCs/>
                <w:sz w:val="18"/>
                <w:szCs w:val="18"/>
                <w:rtl/>
              </w:rPr>
              <w:br/>
            </w:r>
            <w:r w:rsidRPr="00DD5C21">
              <w:rPr>
                <w:rFonts w:ascii="Tahoma" w:eastAsiaTheme="minorEastAsia" w:hAnsi="Tahoma" w:cs="Tahoma"/>
                <w:b/>
                <w:bCs/>
                <w:sz w:val="18"/>
                <w:szCs w:val="18"/>
                <w:rtl/>
              </w:rPr>
              <w:t xml:space="preserve">לגינון ציבורי </w:t>
            </w:r>
            <w:r w:rsidR="00DD5C21">
              <w:rPr>
                <w:rFonts w:ascii="Tahoma" w:eastAsiaTheme="minorEastAsia" w:hAnsi="Tahoma" w:cs="Tahoma" w:hint="cs"/>
                <w:b/>
                <w:bCs/>
                <w:sz w:val="18"/>
                <w:szCs w:val="18"/>
                <w:rtl/>
              </w:rPr>
              <w:br/>
            </w:r>
            <w:proofErr w:type="spellStart"/>
            <w:r w:rsidRPr="00DD5C21">
              <w:rPr>
                <w:rFonts w:ascii="Tahoma" w:eastAsiaTheme="minorEastAsia" w:hAnsi="Tahoma" w:cs="Tahoma"/>
                <w:b/>
                <w:bCs/>
                <w:sz w:val="18"/>
                <w:szCs w:val="18"/>
                <w:rtl/>
              </w:rPr>
              <w:t>במ"ק</w:t>
            </w:r>
            <w:proofErr w:type="spellEnd"/>
          </w:p>
        </w:tc>
      </w:tr>
      <w:tr w:rsidR="00A75367" w:rsidRPr="00BC57BC" w:rsidTr="00DD5C21">
        <w:trPr>
          <w:trHeight w:val="255"/>
          <w:jc w:val="center"/>
        </w:trPr>
        <w:tc>
          <w:tcPr>
            <w:tcW w:w="0" w:type="auto"/>
            <w:noWrap/>
            <w:tcMar>
              <w:top w:w="0" w:type="dxa"/>
              <w:left w:w="108" w:type="dxa"/>
              <w:bottom w:w="0" w:type="dxa"/>
              <w:right w:w="108" w:type="dxa"/>
            </w:tcMar>
            <w:vAlign w:val="bottom"/>
            <w:hideMark/>
          </w:tcPr>
          <w:p w:rsidR="00A75367" w:rsidRPr="00DD5C21" w:rsidRDefault="00A75367" w:rsidP="00DD5C21">
            <w:pPr>
              <w:tabs>
                <w:tab w:val="left" w:pos="1148"/>
              </w:tabs>
              <w:spacing w:before="40" w:after="40"/>
              <w:jc w:val="left"/>
              <w:rPr>
                <w:rFonts w:ascii="Tahoma" w:eastAsiaTheme="minorEastAsia" w:hAnsi="Tahoma" w:cs="Tahoma"/>
                <w:sz w:val="18"/>
                <w:szCs w:val="18"/>
              </w:rPr>
            </w:pPr>
            <w:r w:rsidRPr="00DD5C21">
              <w:rPr>
                <w:rFonts w:ascii="Tahoma" w:eastAsiaTheme="minorEastAsia" w:hAnsi="Tahoma" w:cs="Tahoma"/>
                <w:sz w:val="18"/>
                <w:szCs w:val="18"/>
                <w:rtl/>
              </w:rPr>
              <w:t>2015</w:t>
            </w:r>
          </w:p>
        </w:tc>
        <w:tc>
          <w:tcPr>
            <w:tcW w:w="0" w:type="auto"/>
            <w:noWrap/>
            <w:tcMar>
              <w:top w:w="0" w:type="dxa"/>
              <w:left w:w="108" w:type="dxa"/>
              <w:bottom w:w="0" w:type="dxa"/>
              <w:right w:w="108" w:type="dxa"/>
            </w:tcMar>
            <w:vAlign w:val="bottom"/>
            <w:hideMark/>
          </w:tcPr>
          <w:p w:rsidR="00A75367" w:rsidRPr="00DD5C21" w:rsidRDefault="00A75367" w:rsidP="00DD5C21">
            <w:pPr>
              <w:tabs>
                <w:tab w:val="left" w:pos="1148"/>
              </w:tabs>
              <w:spacing w:before="40" w:after="40"/>
              <w:jc w:val="left"/>
              <w:rPr>
                <w:rFonts w:ascii="Tahoma" w:eastAsiaTheme="minorEastAsia" w:hAnsi="Tahoma" w:cs="Tahoma"/>
                <w:sz w:val="18"/>
                <w:szCs w:val="18"/>
              </w:rPr>
            </w:pPr>
            <w:r w:rsidRPr="00DD5C21">
              <w:rPr>
                <w:rFonts w:ascii="Tahoma" w:eastAsiaTheme="minorEastAsia" w:hAnsi="Tahoma" w:cs="Tahoma"/>
                <w:sz w:val="18"/>
                <w:szCs w:val="18"/>
                <w:rtl/>
              </w:rPr>
              <w:t>1,414</w:t>
            </w:r>
          </w:p>
        </w:tc>
        <w:tc>
          <w:tcPr>
            <w:tcW w:w="0" w:type="auto"/>
            <w:vAlign w:val="bottom"/>
          </w:tcPr>
          <w:p w:rsidR="00A75367" w:rsidRPr="00DD5C21" w:rsidDel="00193461" w:rsidRDefault="00A75367" w:rsidP="00DD5C21">
            <w:pPr>
              <w:tabs>
                <w:tab w:val="left" w:pos="1148"/>
              </w:tabs>
              <w:spacing w:before="40" w:after="40"/>
              <w:jc w:val="left"/>
              <w:rPr>
                <w:rFonts w:ascii="Tahoma" w:eastAsiaTheme="minorEastAsia" w:hAnsi="Tahoma" w:cs="Tahoma"/>
                <w:sz w:val="18"/>
                <w:szCs w:val="18"/>
              </w:rPr>
            </w:pPr>
            <w:r w:rsidRPr="00DD5C21">
              <w:rPr>
                <w:rFonts w:ascii="Tahoma" w:eastAsiaTheme="minorEastAsia" w:hAnsi="Tahoma" w:cs="Tahoma"/>
                <w:sz w:val="18"/>
                <w:szCs w:val="18"/>
                <w:rtl/>
              </w:rPr>
              <w:t>1,443,809</w:t>
            </w:r>
          </w:p>
        </w:tc>
      </w:tr>
      <w:tr w:rsidR="00A75367" w:rsidRPr="00BC57BC" w:rsidTr="00DD5C21">
        <w:trPr>
          <w:trHeight w:val="255"/>
          <w:jc w:val="center"/>
        </w:trPr>
        <w:tc>
          <w:tcPr>
            <w:tcW w:w="0" w:type="auto"/>
            <w:noWrap/>
            <w:tcMar>
              <w:top w:w="0" w:type="dxa"/>
              <w:left w:w="108" w:type="dxa"/>
              <w:bottom w:w="0" w:type="dxa"/>
              <w:right w:w="108" w:type="dxa"/>
            </w:tcMar>
            <w:vAlign w:val="bottom"/>
            <w:hideMark/>
          </w:tcPr>
          <w:p w:rsidR="00A75367" w:rsidRPr="00DD5C21" w:rsidRDefault="00A75367" w:rsidP="00DD5C21">
            <w:pPr>
              <w:tabs>
                <w:tab w:val="left" w:pos="1148"/>
              </w:tabs>
              <w:spacing w:before="40" w:after="40"/>
              <w:jc w:val="left"/>
              <w:rPr>
                <w:rFonts w:ascii="Tahoma" w:eastAsiaTheme="minorEastAsia" w:hAnsi="Tahoma" w:cs="Tahoma"/>
                <w:sz w:val="18"/>
                <w:szCs w:val="18"/>
              </w:rPr>
            </w:pPr>
            <w:r w:rsidRPr="00DD5C21">
              <w:rPr>
                <w:rFonts w:ascii="Tahoma" w:eastAsiaTheme="minorEastAsia" w:hAnsi="Tahoma" w:cs="Tahoma"/>
                <w:sz w:val="18"/>
                <w:szCs w:val="18"/>
                <w:rtl/>
              </w:rPr>
              <w:t>2016</w:t>
            </w:r>
          </w:p>
        </w:tc>
        <w:tc>
          <w:tcPr>
            <w:tcW w:w="0" w:type="auto"/>
            <w:noWrap/>
            <w:tcMar>
              <w:top w:w="0" w:type="dxa"/>
              <w:left w:w="108" w:type="dxa"/>
              <w:bottom w:w="0" w:type="dxa"/>
              <w:right w:w="108" w:type="dxa"/>
            </w:tcMar>
            <w:vAlign w:val="bottom"/>
            <w:hideMark/>
          </w:tcPr>
          <w:p w:rsidR="00A75367" w:rsidRPr="00DD5C21" w:rsidRDefault="00A75367" w:rsidP="00DD5C21">
            <w:pPr>
              <w:tabs>
                <w:tab w:val="left" w:pos="1148"/>
              </w:tabs>
              <w:spacing w:before="40" w:after="40"/>
              <w:jc w:val="left"/>
              <w:rPr>
                <w:rFonts w:ascii="Tahoma" w:eastAsiaTheme="minorEastAsia" w:hAnsi="Tahoma" w:cs="Tahoma"/>
                <w:sz w:val="18"/>
                <w:szCs w:val="18"/>
              </w:rPr>
            </w:pPr>
            <w:r w:rsidRPr="00DD5C21">
              <w:rPr>
                <w:rFonts w:ascii="Tahoma" w:eastAsiaTheme="minorEastAsia" w:hAnsi="Tahoma" w:cs="Tahoma"/>
                <w:sz w:val="18"/>
                <w:szCs w:val="18"/>
                <w:rtl/>
              </w:rPr>
              <w:t>22,946</w:t>
            </w:r>
          </w:p>
        </w:tc>
        <w:tc>
          <w:tcPr>
            <w:tcW w:w="0" w:type="auto"/>
            <w:vAlign w:val="bottom"/>
          </w:tcPr>
          <w:p w:rsidR="00A75367" w:rsidRPr="00DD5C21" w:rsidDel="0019346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1,924,247</w:t>
            </w:r>
          </w:p>
        </w:tc>
      </w:tr>
      <w:tr w:rsidR="00A75367" w:rsidRPr="00BC57BC" w:rsidTr="00DD5C21">
        <w:trPr>
          <w:trHeight w:val="255"/>
          <w:jc w:val="center"/>
        </w:trPr>
        <w:tc>
          <w:tcPr>
            <w:tcW w:w="0" w:type="auto"/>
            <w:noWrap/>
            <w:tcMar>
              <w:top w:w="0" w:type="dxa"/>
              <w:left w:w="108" w:type="dxa"/>
              <w:bottom w:w="0" w:type="dxa"/>
              <w:right w:w="108" w:type="dxa"/>
            </w:tcMar>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2017</w:t>
            </w:r>
          </w:p>
        </w:tc>
        <w:tc>
          <w:tcPr>
            <w:tcW w:w="0" w:type="auto"/>
            <w:noWrap/>
            <w:tcMar>
              <w:top w:w="0" w:type="dxa"/>
              <w:left w:w="108" w:type="dxa"/>
              <w:bottom w:w="0" w:type="dxa"/>
              <w:right w:w="108" w:type="dxa"/>
            </w:tcMar>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108,460</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1,965,702</w:t>
            </w:r>
          </w:p>
        </w:tc>
      </w:tr>
      <w:tr w:rsidR="00A75367" w:rsidRPr="00BC57BC" w:rsidTr="00DD5C21">
        <w:trPr>
          <w:trHeight w:val="255"/>
          <w:jc w:val="center"/>
        </w:trPr>
        <w:tc>
          <w:tcPr>
            <w:tcW w:w="0" w:type="auto"/>
            <w:noWrap/>
            <w:tcMar>
              <w:top w:w="0" w:type="dxa"/>
              <w:left w:w="108" w:type="dxa"/>
              <w:bottom w:w="0" w:type="dxa"/>
              <w:right w:w="108" w:type="dxa"/>
            </w:tcMar>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Pr>
            </w:pPr>
            <w:r w:rsidRPr="00DD5C21">
              <w:rPr>
                <w:rFonts w:ascii="Tahoma" w:eastAsiaTheme="minorEastAsia" w:hAnsi="Tahoma" w:cs="Tahoma"/>
                <w:sz w:val="18"/>
                <w:szCs w:val="18"/>
                <w:rtl/>
              </w:rPr>
              <w:t>2018</w:t>
            </w:r>
          </w:p>
        </w:tc>
        <w:tc>
          <w:tcPr>
            <w:tcW w:w="0" w:type="auto"/>
            <w:noWrap/>
            <w:tcMar>
              <w:top w:w="0" w:type="dxa"/>
              <w:left w:w="108" w:type="dxa"/>
              <w:bottom w:w="0" w:type="dxa"/>
              <w:right w:w="108" w:type="dxa"/>
            </w:tcMar>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125,521</w:t>
            </w:r>
          </w:p>
        </w:tc>
        <w:tc>
          <w:tcPr>
            <w:tcW w:w="0" w:type="auto"/>
            <w:vAlign w:val="bottom"/>
          </w:tcPr>
          <w:p w:rsidR="00A75367" w:rsidRPr="00DD5C21" w:rsidDel="0019346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2,086,723</w:t>
            </w:r>
          </w:p>
        </w:tc>
      </w:tr>
      <w:tr w:rsidR="00A75367" w:rsidRPr="00BC57BC" w:rsidTr="00DD5C21">
        <w:trPr>
          <w:trHeight w:val="255"/>
          <w:jc w:val="center"/>
        </w:trPr>
        <w:tc>
          <w:tcPr>
            <w:tcW w:w="0" w:type="auto"/>
            <w:noWrap/>
            <w:tcMar>
              <w:top w:w="0" w:type="dxa"/>
              <w:left w:w="108" w:type="dxa"/>
              <w:bottom w:w="0" w:type="dxa"/>
              <w:right w:w="108" w:type="dxa"/>
            </w:tcMar>
            <w:vAlign w:val="bottom"/>
          </w:tcPr>
          <w:p w:rsidR="00A75367" w:rsidRPr="00DD5C21" w:rsidDel="0019346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סה"כ</w:t>
            </w:r>
          </w:p>
        </w:tc>
        <w:tc>
          <w:tcPr>
            <w:tcW w:w="0" w:type="auto"/>
            <w:noWrap/>
            <w:tcMar>
              <w:top w:w="0" w:type="dxa"/>
              <w:left w:w="108" w:type="dxa"/>
              <w:bottom w:w="0" w:type="dxa"/>
              <w:right w:w="108" w:type="dxa"/>
            </w:tcMar>
            <w:vAlign w:val="bottom"/>
          </w:tcPr>
          <w:p w:rsidR="00A75367" w:rsidRPr="00DD5C21" w:rsidDel="0019346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258,341</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 xml:space="preserve"> 7,420,481</w:t>
            </w:r>
          </w:p>
        </w:tc>
      </w:tr>
    </w:tbl>
    <w:p w:rsidR="00A75367" w:rsidRPr="00DD5C21" w:rsidRDefault="00A75367" w:rsidP="00DD5C21">
      <w:pPr>
        <w:spacing w:before="120" w:after="120"/>
        <w:jc w:val="center"/>
        <w:rPr>
          <w:rFonts w:ascii="Tahoma" w:hAnsi="Tahoma" w:cs="Tahoma"/>
          <w:sz w:val="16"/>
          <w:szCs w:val="16"/>
          <w:rtl/>
          <w:lang w:eastAsia="he-IL"/>
        </w:rPr>
      </w:pPr>
      <w:r w:rsidRPr="00DD5C21">
        <w:rPr>
          <w:rFonts w:ascii="Tahoma" w:hAnsi="Tahoma" w:cs="Tahoma"/>
          <w:sz w:val="16"/>
          <w:szCs w:val="16"/>
          <w:rtl/>
          <w:lang w:eastAsia="he-IL"/>
        </w:rPr>
        <w:t>על פי נתוני הגיחון.</w:t>
      </w:r>
    </w:p>
    <w:p w:rsidR="00A75367" w:rsidRPr="00BC57BC" w:rsidRDefault="00A75367" w:rsidP="00A75367">
      <w:pPr>
        <w:autoSpaceDE w:val="0"/>
        <w:autoSpaceDN w:val="0"/>
        <w:adjustRightInd w:val="0"/>
        <w:spacing w:after="120"/>
        <w:ind w:left="312"/>
        <w:rPr>
          <w:rFonts w:ascii="Tahoma" w:hAnsi="Tahoma" w:cs="Tahoma"/>
          <w:sz w:val="16"/>
          <w:szCs w:val="20"/>
          <w:rtl/>
        </w:rPr>
      </w:pPr>
      <w:r w:rsidRPr="00BC57BC">
        <w:rPr>
          <w:rFonts w:ascii="Tahoma" w:hAnsi="Tahoma" w:cs="Tahoma"/>
          <w:sz w:val="16"/>
          <w:szCs w:val="20"/>
          <w:rtl/>
        </w:rPr>
        <w:t xml:space="preserve">מלוח 13 עולה כי עיריית ירושלים רכשה בשנים 2017 עד 2018 רק כ-22% וכ-25% בהתאמה מהכמות שלהערכת התאגיד העירייה הייתה אמורה לצרוך בשנה, וכ-10.8% וכ-12.5% בהתאמה מכמות הקולחים המטוהרים </w:t>
      </w:r>
      <w:proofErr w:type="spellStart"/>
      <w:r w:rsidRPr="00BC57BC">
        <w:rPr>
          <w:rFonts w:ascii="Tahoma" w:hAnsi="Tahoma" w:cs="Tahoma"/>
          <w:sz w:val="16"/>
          <w:szCs w:val="20"/>
          <w:rtl/>
        </w:rPr>
        <w:t>במט"ש</w:t>
      </w:r>
      <w:proofErr w:type="spellEnd"/>
      <w:r w:rsidRPr="00BC57BC">
        <w:rPr>
          <w:rFonts w:ascii="Tahoma" w:hAnsi="Tahoma" w:cs="Tahoma"/>
          <w:sz w:val="16"/>
          <w:szCs w:val="20"/>
          <w:rtl/>
        </w:rPr>
        <w:t>. משרד מבקר המדינה בדק את הפער בין עלות ההשקיה במים שפירים לעומת מי קולחים עבור אותה כמות, כמפורט בלוח 14 להלן:</w:t>
      </w:r>
    </w:p>
    <w:p w:rsidR="00A75367" w:rsidRPr="00BC57BC" w:rsidRDefault="00A75367" w:rsidP="00DD5C21">
      <w:pPr>
        <w:pStyle w:val="a1"/>
        <w:rPr>
          <w:rtl/>
        </w:rPr>
      </w:pPr>
      <w:r w:rsidRPr="00DD5C21">
        <w:rPr>
          <w:b w:val="0"/>
          <w:bCs w:val="0"/>
          <w:rtl/>
        </w:rPr>
        <w:lastRenderedPageBreak/>
        <w:t>לוח 14 -</w:t>
      </w:r>
      <w:r w:rsidRPr="00BC57BC">
        <w:rPr>
          <w:rtl/>
        </w:rPr>
        <w:t xml:space="preserve"> הפער בין עלות מים שפירים לבין עלות מי קולחים, להשקיית גינות ציבוריות לשנים 2015- 2018 </w:t>
      </w:r>
    </w:p>
    <w:tbl>
      <w:tblPr>
        <w:tblStyle w:val="TableGrid"/>
        <w:bidiVisual/>
        <w:tblW w:w="0" w:type="auto"/>
        <w:jc w:val="center"/>
        <w:tblLook w:val="04A0" w:firstRow="1" w:lastRow="0" w:firstColumn="1" w:lastColumn="0" w:noHBand="0" w:noVBand="1"/>
      </w:tblPr>
      <w:tblGrid>
        <w:gridCol w:w="655"/>
        <w:gridCol w:w="2482"/>
        <w:gridCol w:w="2113"/>
        <w:gridCol w:w="2052"/>
        <w:gridCol w:w="1134"/>
      </w:tblGrid>
      <w:tr w:rsidR="00A75367" w:rsidRPr="00BC57BC" w:rsidTr="00AF3713">
        <w:trPr>
          <w:tblHeader/>
          <w:jc w:val="center"/>
        </w:trPr>
        <w:tc>
          <w:tcPr>
            <w:tcW w:w="0" w:type="auto"/>
            <w:shd w:val="clear" w:color="auto" w:fill="C6D9F1"/>
            <w:vAlign w:val="bottom"/>
          </w:tcPr>
          <w:p w:rsidR="00A75367" w:rsidRPr="00DD5C21" w:rsidRDefault="00A75367" w:rsidP="00DD5C21">
            <w:pPr>
              <w:tabs>
                <w:tab w:val="left" w:pos="1148"/>
              </w:tabs>
              <w:spacing w:before="40" w:after="40"/>
              <w:jc w:val="left"/>
              <w:rPr>
                <w:rFonts w:ascii="Tahoma" w:eastAsiaTheme="minorEastAsia" w:hAnsi="Tahoma" w:cs="Tahoma"/>
                <w:b/>
                <w:bCs/>
                <w:sz w:val="18"/>
                <w:szCs w:val="18"/>
                <w:rtl/>
              </w:rPr>
            </w:pPr>
          </w:p>
        </w:tc>
        <w:tc>
          <w:tcPr>
            <w:tcW w:w="0" w:type="auto"/>
            <w:shd w:val="clear" w:color="auto" w:fill="C6D9F1"/>
            <w:vAlign w:val="bottom"/>
          </w:tcPr>
          <w:p w:rsidR="00A75367" w:rsidRPr="00DD5C21" w:rsidRDefault="00A75367" w:rsidP="00DD5C21">
            <w:pPr>
              <w:tabs>
                <w:tab w:val="left" w:pos="1148"/>
              </w:tabs>
              <w:spacing w:before="40" w:after="40"/>
              <w:jc w:val="left"/>
              <w:rPr>
                <w:rFonts w:ascii="Tahoma" w:eastAsiaTheme="minorEastAsia" w:hAnsi="Tahoma" w:cs="Tahoma"/>
                <w:b/>
                <w:bCs/>
                <w:sz w:val="18"/>
                <w:szCs w:val="18"/>
                <w:rtl/>
              </w:rPr>
            </w:pPr>
            <w:r w:rsidRPr="00DD5C21">
              <w:rPr>
                <w:rFonts w:ascii="Tahoma" w:eastAsiaTheme="minorEastAsia" w:hAnsi="Tahoma" w:cs="Tahoma"/>
                <w:b/>
                <w:bCs/>
                <w:sz w:val="18"/>
                <w:szCs w:val="18"/>
                <w:rtl/>
              </w:rPr>
              <w:t>סה"כ כמות שפירים שניתן להחליף במי קולחים* (מ"ק)</w:t>
            </w:r>
          </w:p>
        </w:tc>
        <w:tc>
          <w:tcPr>
            <w:tcW w:w="0" w:type="auto"/>
            <w:shd w:val="clear" w:color="auto" w:fill="C6D9F1"/>
            <w:vAlign w:val="bottom"/>
          </w:tcPr>
          <w:p w:rsidR="00A75367" w:rsidRPr="00DD5C21" w:rsidRDefault="00A75367" w:rsidP="00DD5C21">
            <w:pPr>
              <w:tabs>
                <w:tab w:val="left" w:pos="1148"/>
              </w:tabs>
              <w:spacing w:before="40" w:after="40"/>
              <w:jc w:val="left"/>
              <w:rPr>
                <w:rFonts w:ascii="Tahoma" w:eastAsiaTheme="minorEastAsia" w:hAnsi="Tahoma" w:cs="Tahoma"/>
                <w:b/>
                <w:bCs/>
                <w:sz w:val="18"/>
                <w:szCs w:val="18"/>
                <w:rtl/>
              </w:rPr>
            </w:pPr>
            <w:r w:rsidRPr="00DD5C21">
              <w:rPr>
                <w:rFonts w:ascii="Tahoma" w:eastAsiaTheme="minorEastAsia" w:hAnsi="Tahoma" w:cs="Tahoma"/>
                <w:b/>
                <w:bCs/>
                <w:sz w:val="18"/>
                <w:szCs w:val="18"/>
                <w:rtl/>
              </w:rPr>
              <w:t>סך עלות מים שפירים לגינון ציבורי (ש"ח)</w:t>
            </w:r>
          </w:p>
        </w:tc>
        <w:tc>
          <w:tcPr>
            <w:tcW w:w="0" w:type="auto"/>
            <w:shd w:val="clear" w:color="auto" w:fill="C6D9F1"/>
            <w:vAlign w:val="bottom"/>
          </w:tcPr>
          <w:p w:rsidR="00A75367" w:rsidRPr="00DD5C21" w:rsidRDefault="00A75367" w:rsidP="00DD5C21">
            <w:pPr>
              <w:tabs>
                <w:tab w:val="left" w:pos="1148"/>
              </w:tabs>
              <w:spacing w:before="40" w:after="40"/>
              <w:jc w:val="left"/>
              <w:rPr>
                <w:rFonts w:ascii="Tahoma" w:eastAsiaTheme="minorEastAsia" w:hAnsi="Tahoma" w:cs="Tahoma"/>
                <w:b/>
                <w:bCs/>
                <w:sz w:val="18"/>
                <w:szCs w:val="18"/>
                <w:rtl/>
              </w:rPr>
            </w:pPr>
            <w:r w:rsidRPr="00DD5C21">
              <w:rPr>
                <w:rFonts w:ascii="Tahoma" w:eastAsiaTheme="minorEastAsia" w:hAnsi="Tahoma" w:cs="Tahoma"/>
                <w:b/>
                <w:bCs/>
                <w:sz w:val="18"/>
                <w:szCs w:val="18"/>
                <w:rtl/>
              </w:rPr>
              <w:t>סך עלות קולחים** לגינון ציבורי (ש"ח)</w:t>
            </w:r>
          </w:p>
        </w:tc>
        <w:tc>
          <w:tcPr>
            <w:tcW w:w="0" w:type="auto"/>
            <w:shd w:val="clear" w:color="auto" w:fill="C6D9F1"/>
            <w:vAlign w:val="bottom"/>
          </w:tcPr>
          <w:p w:rsidR="00A75367" w:rsidRPr="00DD5C21" w:rsidRDefault="00A75367" w:rsidP="00DD5C21">
            <w:pPr>
              <w:tabs>
                <w:tab w:val="left" w:pos="1148"/>
              </w:tabs>
              <w:spacing w:before="40" w:after="40"/>
              <w:jc w:val="left"/>
              <w:rPr>
                <w:rFonts w:ascii="Tahoma" w:eastAsiaTheme="minorEastAsia" w:hAnsi="Tahoma" w:cs="Tahoma"/>
                <w:b/>
                <w:bCs/>
                <w:sz w:val="18"/>
                <w:szCs w:val="18"/>
                <w:rtl/>
              </w:rPr>
            </w:pPr>
            <w:r w:rsidRPr="00DD5C21">
              <w:rPr>
                <w:rFonts w:ascii="Tahoma" w:eastAsiaTheme="minorEastAsia" w:hAnsi="Tahoma" w:cs="Tahoma"/>
                <w:b/>
                <w:bCs/>
                <w:sz w:val="18"/>
                <w:szCs w:val="18"/>
                <w:rtl/>
              </w:rPr>
              <w:t>הפרש (ש"ח)</w:t>
            </w:r>
          </w:p>
        </w:tc>
      </w:tr>
      <w:tr w:rsidR="00A75367" w:rsidRPr="00BC57BC" w:rsidTr="00AF3713">
        <w:trPr>
          <w:jc w:val="center"/>
        </w:trPr>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2015</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1,088,586</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6,622</w:t>
            </w:r>
            <w:r w:rsidR="00BB7AE0">
              <w:rPr>
                <w:rFonts w:ascii="Tahoma" w:eastAsiaTheme="minorEastAsia" w:hAnsi="Tahoma" w:cs="Tahoma" w:hint="cs"/>
                <w:sz w:val="18"/>
                <w:szCs w:val="18"/>
                <w:rtl/>
              </w:rPr>
              <w:t>,</w:t>
            </w:r>
            <w:r w:rsidRPr="00DD5C21">
              <w:rPr>
                <w:rFonts w:ascii="Tahoma" w:eastAsiaTheme="minorEastAsia" w:hAnsi="Tahoma" w:cs="Tahoma"/>
                <w:sz w:val="18"/>
                <w:szCs w:val="18"/>
                <w:rtl/>
              </w:rPr>
              <w:t>413</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4,768,137</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1,854,276</w:t>
            </w:r>
          </w:p>
        </w:tc>
      </w:tr>
      <w:tr w:rsidR="00A75367" w:rsidRPr="00BC57BC" w:rsidTr="00AF3713">
        <w:trPr>
          <w:jc w:val="center"/>
        </w:trPr>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2016</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1,067,054</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5,270,713</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3,794,914</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1,475,800</w:t>
            </w:r>
          </w:p>
        </w:tc>
      </w:tr>
      <w:tr w:rsidR="00A75367" w:rsidRPr="00BC57BC" w:rsidTr="00AF3713">
        <w:trPr>
          <w:jc w:val="center"/>
        </w:trPr>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2017</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981,540</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5,767,529</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4,152,621</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1,614,908</w:t>
            </w:r>
          </w:p>
        </w:tc>
      </w:tr>
      <w:tr w:rsidR="00A75367" w:rsidRPr="00BC57BC" w:rsidTr="00AF3713">
        <w:trPr>
          <w:jc w:val="center"/>
        </w:trPr>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2018</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964,479</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5,687,050</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4,094,676</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1,592,374</w:t>
            </w:r>
          </w:p>
        </w:tc>
      </w:tr>
      <w:tr w:rsidR="00A75367" w:rsidRPr="00BC57BC" w:rsidTr="00AF3713">
        <w:trPr>
          <w:jc w:val="center"/>
        </w:trPr>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 xml:space="preserve">סה"כ </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4,101,659</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23,347,706</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16,810,348</w:t>
            </w:r>
          </w:p>
        </w:tc>
        <w:tc>
          <w:tcPr>
            <w:tcW w:w="0" w:type="auto"/>
            <w:vAlign w:val="bottom"/>
          </w:tcPr>
          <w:p w:rsidR="00A75367" w:rsidRPr="00DD5C21" w:rsidRDefault="00A75367" w:rsidP="00DD5C21">
            <w:pPr>
              <w:tabs>
                <w:tab w:val="left" w:pos="1148"/>
              </w:tabs>
              <w:spacing w:before="40" w:after="40"/>
              <w:jc w:val="left"/>
              <w:rPr>
                <w:rFonts w:ascii="Tahoma" w:eastAsiaTheme="minorEastAsia" w:hAnsi="Tahoma" w:cs="Tahoma"/>
                <w:sz w:val="18"/>
                <w:szCs w:val="18"/>
                <w:rtl/>
              </w:rPr>
            </w:pPr>
            <w:r w:rsidRPr="00DD5C21">
              <w:rPr>
                <w:rFonts w:ascii="Tahoma" w:eastAsiaTheme="minorEastAsia" w:hAnsi="Tahoma" w:cs="Tahoma"/>
                <w:sz w:val="18"/>
                <w:szCs w:val="18"/>
                <w:rtl/>
              </w:rPr>
              <w:t>6,537,358</w:t>
            </w:r>
          </w:p>
        </w:tc>
      </w:tr>
    </w:tbl>
    <w:p w:rsidR="00A75367" w:rsidRPr="00DD5C21" w:rsidRDefault="00A75367" w:rsidP="00DD5C21">
      <w:pPr>
        <w:spacing w:before="120" w:after="120"/>
        <w:jc w:val="center"/>
        <w:rPr>
          <w:rFonts w:ascii="Tahoma" w:hAnsi="Tahoma" w:cs="Tahoma"/>
          <w:sz w:val="16"/>
          <w:szCs w:val="16"/>
          <w:rtl/>
          <w:lang w:eastAsia="he-IL"/>
        </w:rPr>
      </w:pPr>
      <w:r w:rsidRPr="00DD5C21">
        <w:rPr>
          <w:rFonts w:ascii="Tahoma" w:hAnsi="Tahoma" w:cs="Tahoma"/>
          <w:sz w:val="16"/>
          <w:szCs w:val="16"/>
          <w:rtl/>
          <w:lang w:eastAsia="he-IL"/>
        </w:rPr>
        <w:t xml:space="preserve">*מחושב לפי ההפרש בין 1.09 </w:t>
      </w:r>
      <w:proofErr w:type="spellStart"/>
      <w:r w:rsidRPr="00DD5C21">
        <w:rPr>
          <w:rFonts w:ascii="Tahoma" w:hAnsi="Tahoma" w:cs="Tahoma"/>
          <w:sz w:val="16"/>
          <w:szCs w:val="16"/>
          <w:rtl/>
          <w:lang w:eastAsia="he-IL"/>
        </w:rPr>
        <w:t>מלמ"ק</w:t>
      </w:r>
      <w:proofErr w:type="spellEnd"/>
      <w:r w:rsidRPr="00DD5C21">
        <w:rPr>
          <w:rFonts w:ascii="Tahoma" w:hAnsi="Tahoma" w:cs="Tahoma"/>
          <w:sz w:val="16"/>
          <w:szCs w:val="16"/>
          <w:rtl/>
          <w:lang w:eastAsia="he-IL"/>
        </w:rPr>
        <w:t xml:space="preserve"> שהיא הקיבולת המקסימלית של </w:t>
      </w:r>
      <w:proofErr w:type="spellStart"/>
      <w:r w:rsidRPr="00DD5C21">
        <w:rPr>
          <w:rFonts w:ascii="Tahoma" w:hAnsi="Tahoma" w:cs="Tahoma"/>
          <w:sz w:val="16"/>
          <w:szCs w:val="16"/>
          <w:rtl/>
          <w:lang w:eastAsia="he-IL"/>
        </w:rPr>
        <w:t>מט"ש</w:t>
      </w:r>
      <w:proofErr w:type="spellEnd"/>
      <w:r w:rsidRPr="00DD5C21">
        <w:rPr>
          <w:rFonts w:ascii="Tahoma" w:hAnsi="Tahoma" w:cs="Tahoma"/>
          <w:sz w:val="16"/>
          <w:szCs w:val="16"/>
          <w:rtl/>
          <w:lang w:eastAsia="he-IL"/>
        </w:rPr>
        <w:t xml:space="preserve"> הר חומה, לבין כמות הקולחים שהעירייה רכשה בפועל מהתאגיד בכל אחת מהשנים.</w:t>
      </w:r>
    </w:p>
    <w:p w:rsidR="00A75367" w:rsidRPr="00DD5C21" w:rsidRDefault="00A75367" w:rsidP="00DD5C21">
      <w:pPr>
        <w:spacing w:before="120" w:after="120"/>
        <w:jc w:val="center"/>
        <w:rPr>
          <w:rFonts w:ascii="Tahoma" w:hAnsi="Tahoma" w:cs="Tahoma"/>
          <w:sz w:val="16"/>
          <w:szCs w:val="16"/>
          <w:rtl/>
          <w:lang w:eastAsia="he-IL"/>
        </w:rPr>
      </w:pPr>
      <w:r w:rsidRPr="00DD5C21">
        <w:rPr>
          <w:rFonts w:ascii="Tahoma" w:hAnsi="Tahoma" w:cs="Tahoma"/>
          <w:sz w:val="16"/>
          <w:szCs w:val="16"/>
          <w:rtl/>
          <w:lang w:eastAsia="he-IL"/>
        </w:rPr>
        <w:t>**</w:t>
      </w:r>
      <w:r w:rsidR="00DD5C21">
        <w:rPr>
          <w:rFonts w:ascii="Tahoma" w:hAnsi="Tahoma" w:cs="Tahoma" w:hint="cs"/>
          <w:sz w:val="16"/>
          <w:szCs w:val="16"/>
          <w:rtl/>
          <w:lang w:eastAsia="he-IL"/>
        </w:rPr>
        <w:t xml:space="preserve"> </w:t>
      </w:r>
      <w:r w:rsidRPr="00DD5C21">
        <w:rPr>
          <w:rFonts w:ascii="Tahoma" w:hAnsi="Tahoma" w:cs="Tahoma"/>
          <w:sz w:val="16"/>
          <w:szCs w:val="16"/>
          <w:rtl/>
          <w:lang w:eastAsia="he-IL"/>
        </w:rPr>
        <w:t>תעריפי הקולחים חושבו כפי שנקבע בהסכם עם עיריית ירושלים, לפי 72% מהתעריף הממוצע לגינון ציבורי בכל שנה. הסכומים בעמודה זו הם 72% מעלות מים שפירים לגינון ציבורי.</w:t>
      </w:r>
    </w:p>
    <w:p w:rsidR="00A75367" w:rsidRPr="00BC57BC" w:rsidRDefault="00A75367" w:rsidP="00DD5C21">
      <w:pPr>
        <w:autoSpaceDE w:val="0"/>
        <w:autoSpaceDN w:val="0"/>
        <w:adjustRightInd w:val="0"/>
        <w:spacing w:after="120"/>
        <w:ind w:left="397"/>
        <w:rPr>
          <w:rFonts w:ascii="Tahoma" w:hAnsi="Tahoma" w:cs="Tahoma"/>
          <w:sz w:val="16"/>
          <w:szCs w:val="20"/>
          <w:rtl/>
        </w:rPr>
      </w:pPr>
      <w:r w:rsidRPr="00BC57BC">
        <w:rPr>
          <w:rFonts w:ascii="Tahoma" w:hAnsi="Tahoma" w:cs="Tahoma"/>
          <w:sz w:val="16"/>
          <w:szCs w:val="20"/>
          <w:rtl/>
        </w:rPr>
        <w:t>מלוח 14 עולה כי, אילו התאגיד היה מוכר מי קולחים במקום מים שפירים</w:t>
      </w:r>
      <w:r w:rsidRPr="00BC57BC">
        <w:rPr>
          <w:rStyle w:val="FootnoteReference"/>
          <w:rFonts w:ascii="Tahoma" w:hAnsi="Tahoma" w:cs="Tahoma"/>
          <w:sz w:val="16"/>
          <w:szCs w:val="20"/>
          <w:rtl/>
        </w:rPr>
        <w:footnoteReference w:id="38"/>
      </w:r>
      <w:r w:rsidRPr="00BC57BC">
        <w:rPr>
          <w:rFonts w:ascii="Tahoma" w:hAnsi="Tahoma" w:cs="Tahoma"/>
          <w:sz w:val="16"/>
          <w:szCs w:val="20"/>
          <w:rtl/>
        </w:rPr>
        <w:t xml:space="preserve"> להשקיית גינון ציבורי, לעירייה היה נחסך סכום של כ-6.5 מיליון ש"ח בין השנים 2015 - 2018.</w:t>
      </w:r>
    </w:p>
    <w:p w:rsidR="00A75367" w:rsidRPr="00BC57BC" w:rsidRDefault="00A75367" w:rsidP="00DD5C21">
      <w:pPr>
        <w:spacing w:after="120"/>
        <w:ind w:left="397"/>
        <w:rPr>
          <w:rFonts w:ascii="Tahoma" w:hAnsi="Tahoma" w:cs="Tahoma"/>
          <w:sz w:val="16"/>
          <w:szCs w:val="20"/>
          <w:rtl/>
        </w:rPr>
      </w:pPr>
      <w:r w:rsidRPr="00BC57BC">
        <w:rPr>
          <w:rFonts w:ascii="Tahoma" w:hAnsi="Tahoma" w:cs="Tahoma"/>
          <w:sz w:val="16"/>
          <w:szCs w:val="20"/>
          <w:rtl/>
        </w:rPr>
        <w:t xml:space="preserve">באוקטובר 2018 מסר הגיחון למשרד מבקר המדינה כי מאז פורסם דוח הממונה ביצע התאגיד חיבורים נוספים למי קולחים לגינות ברחבי העיר, וכי צריכת הקולחים עלתה עלייה ניכרת. עוד מסר התאגיד למשרד מבקר המדינה כי הוא פועל מול עיריית ירושלים להגדלת אספקת הקולחים לעיר ולחיבור גינות נוספות. </w:t>
      </w:r>
    </w:p>
    <w:p w:rsidR="00A75367" w:rsidRPr="00BC57BC" w:rsidRDefault="00A75367" w:rsidP="00DD5C21">
      <w:pPr>
        <w:autoSpaceDE w:val="0"/>
        <w:autoSpaceDN w:val="0"/>
        <w:adjustRightInd w:val="0"/>
        <w:spacing w:after="120"/>
        <w:ind w:left="397"/>
        <w:rPr>
          <w:rFonts w:ascii="Tahoma" w:hAnsi="Tahoma" w:cs="Tahoma"/>
          <w:sz w:val="16"/>
          <w:szCs w:val="20"/>
          <w:rtl/>
        </w:rPr>
      </w:pPr>
      <w:r w:rsidRPr="00BC57BC">
        <w:rPr>
          <w:rFonts w:ascii="Tahoma" w:hAnsi="Tahoma" w:cs="Tahoma"/>
          <w:sz w:val="16"/>
          <w:szCs w:val="20"/>
          <w:rtl/>
        </w:rPr>
        <w:t>מדוח פעילות סביבתית של התאגיד לשנת 2017 עולה כי במכון טיהור השפכים בהר חומה, המטהר קולחים שמסופקים לעיריית ירושלים, מטוהרים יותר ממיליון מ"ק בשנה. מכאן שכמות הקולחים שעיריית ירושלים רוכשת היא רק כ-10% מהתפוקה.</w:t>
      </w:r>
    </w:p>
    <w:p w:rsidR="00A75367" w:rsidRPr="00BC57BC" w:rsidRDefault="00A75367" w:rsidP="00DD5C2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BC57BC">
        <w:rPr>
          <w:rFonts w:ascii="Tahoma" w:hAnsi="Tahoma" w:cs="Tahoma"/>
          <w:b w:val="0"/>
          <w:bCs w:val="0"/>
          <w:sz w:val="16"/>
          <w:szCs w:val="20"/>
          <w:rtl/>
        </w:rPr>
        <w:t>יוצא אפוא כי כמויות הקולחים שרכשה עיריית ירושלים בכל אחת מהשנים 2014 עד 2018 נמוכה במידה ניכרת מהכמות שהתבסס עליה התאגיד לשם הערכת כדאיות המיזם.</w:t>
      </w:r>
    </w:p>
    <w:p w:rsidR="00A75367" w:rsidRPr="00BC57BC" w:rsidRDefault="00A75367" w:rsidP="00DD5C21">
      <w:pPr>
        <w:pStyle w:val="ListParagraph"/>
        <w:numPr>
          <w:ilvl w:val="0"/>
          <w:numId w:val="7"/>
        </w:numPr>
        <w:spacing w:after="120"/>
        <w:ind w:left="397" w:hanging="397"/>
        <w:contextualSpacing w:val="0"/>
        <w:rPr>
          <w:rFonts w:ascii="Tahoma" w:hAnsi="Tahoma" w:cs="Tahoma"/>
          <w:sz w:val="16"/>
          <w:szCs w:val="20"/>
          <w:rtl/>
        </w:rPr>
      </w:pPr>
      <w:r w:rsidRPr="00BC57BC">
        <w:rPr>
          <w:rFonts w:ascii="Tahoma" w:hAnsi="Tahoma" w:cs="Tahoma"/>
          <w:sz w:val="16"/>
          <w:szCs w:val="20"/>
          <w:rtl/>
        </w:rPr>
        <w:t xml:space="preserve">בפברואר 2019 מסרה לשכת הבריאות במחוז ירושלים למשרד מבקר המדינה כי איכות מי הקולחים ממתקן הטיהור מעולה, וכי פוטנציאל ההשקיה של הגינות הציבוריות בעיר רב. הבקשות להיתרי השקיה אשר הוגשו למשרד הבריאות עד עתה אושרו, למעט בכמה אתרים שלא ניתן היה לאשר בהם את הבקשה עקב מיקום קווי מים ראשיים או מפאת שימושים אחרים. מהלשכה נמסר גם ש"באישור </w:t>
      </w:r>
      <w:proofErr w:type="spellStart"/>
      <w:r w:rsidRPr="00BC57BC">
        <w:rPr>
          <w:rFonts w:ascii="Tahoma" w:hAnsi="Tahoma" w:cs="Tahoma"/>
          <w:sz w:val="16"/>
          <w:szCs w:val="20"/>
          <w:rtl/>
        </w:rPr>
        <w:t>תוכנית</w:t>
      </w:r>
      <w:proofErr w:type="spellEnd"/>
      <w:r w:rsidRPr="00BC57BC">
        <w:rPr>
          <w:rFonts w:ascii="Tahoma" w:hAnsi="Tahoma" w:cs="Tahoma"/>
          <w:sz w:val="16"/>
          <w:szCs w:val="20"/>
          <w:rtl/>
        </w:rPr>
        <w:t xml:space="preserve"> </w:t>
      </w:r>
      <w:proofErr w:type="spellStart"/>
      <w:r w:rsidRPr="00BC57BC">
        <w:rPr>
          <w:rFonts w:ascii="Tahoma" w:hAnsi="Tahoma" w:cs="Tahoma"/>
          <w:sz w:val="16"/>
          <w:szCs w:val="20"/>
          <w:rtl/>
        </w:rPr>
        <w:t>מט"ש</w:t>
      </w:r>
      <w:proofErr w:type="spellEnd"/>
      <w:r w:rsidRPr="00BC57BC">
        <w:rPr>
          <w:rFonts w:ascii="Tahoma" w:hAnsi="Tahoma" w:cs="Tahoma"/>
          <w:sz w:val="16"/>
          <w:szCs w:val="20"/>
          <w:rtl/>
        </w:rPr>
        <w:t xml:space="preserve"> הר חומה נקבע כי הפתרון </w:t>
      </w:r>
      <w:r w:rsidRPr="00BC57BC">
        <w:rPr>
          <w:rFonts w:ascii="Tahoma" w:hAnsi="Tahoma" w:cs="Tahoma"/>
          <w:sz w:val="16"/>
          <w:szCs w:val="20"/>
          <w:rtl/>
        </w:rPr>
        <w:lastRenderedPageBreak/>
        <w:t>לתקלות בטיפול או [ל]עודפים [של מי קולחים ממתקן הטיהור] יהיה הזרמתם בחזרה למערכת הביוב המרכזית, וזאת על מנת לא לזהם את הסביבה". יוצא אפוא כי באופן אבסורדי, מי הקולחים עוברים טיהור פעם אחר פעם מאחר שלא נמצא להם פתרון.</w:t>
      </w:r>
    </w:p>
    <w:p w:rsidR="00A75367" w:rsidRPr="00BC57BC" w:rsidRDefault="00A75367" w:rsidP="00A75367">
      <w:pPr>
        <w:spacing w:after="120"/>
        <w:ind w:left="312"/>
        <w:rPr>
          <w:rFonts w:ascii="Tahoma" w:hAnsi="Tahoma" w:cs="Tahoma"/>
          <w:sz w:val="16"/>
          <w:szCs w:val="20"/>
          <w:rtl/>
        </w:rPr>
      </w:pPr>
      <w:r w:rsidRPr="00BC57BC">
        <w:rPr>
          <w:rFonts w:ascii="Tahoma" w:hAnsi="Tahoma" w:cs="Tahoma"/>
          <w:sz w:val="16"/>
          <w:szCs w:val="20"/>
          <w:rtl/>
        </w:rPr>
        <w:t xml:space="preserve">אחת החלופות לטיפול בעודפי קולחים היא הזרמתם לנחל. הגיחון השיב למשרד מבקר המדינה כי "מבחינה חוקית חל איסור לשפוך את מי הקולחים שאינם מסופקים לוואדי או לנחל ולכן אין פתרון אחר פרט להזרמתם חזרה למערכת הביוב". </w:t>
      </w:r>
    </w:p>
    <w:p w:rsidR="00A75367" w:rsidRPr="00BC57BC" w:rsidRDefault="00A75367" w:rsidP="00DD5C21">
      <w:pPr>
        <w:spacing w:after="120"/>
        <w:ind w:left="397"/>
        <w:rPr>
          <w:rFonts w:ascii="Tahoma" w:eastAsia="Times New Roman" w:hAnsi="Tahoma" w:cs="Tahoma"/>
          <w:szCs w:val="20"/>
          <w:rtl/>
        </w:rPr>
      </w:pPr>
      <w:r w:rsidRPr="00BC57BC">
        <w:rPr>
          <w:rFonts w:ascii="Tahoma" w:eastAsia="Times New Roman" w:hAnsi="Tahoma" w:cs="Tahoma"/>
          <w:szCs w:val="20"/>
          <w:rtl/>
        </w:rPr>
        <w:t xml:space="preserve">משרד הבריאות השיב למשרד מבקר המדינה באפריל 2019 כי בכל אישור </w:t>
      </w:r>
      <w:proofErr w:type="spellStart"/>
      <w:r w:rsidRPr="00BC57BC">
        <w:rPr>
          <w:rFonts w:ascii="Tahoma" w:eastAsia="Times New Roman" w:hAnsi="Tahoma" w:cs="Tahoma"/>
          <w:szCs w:val="20"/>
          <w:rtl/>
        </w:rPr>
        <w:t>תוכנית</w:t>
      </w:r>
      <w:proofErr w:type="spellEnd"/>
      <w:r w:rsidRPr="00BC57BC">
        <w:rPr>
          <w:rFonts w:ascii="Tahoma" w:eastAsia="Times New Roman" w:hAnsi="Tahoma" w:cs="Tahoma"/>
          <w:szCs w:val="20"/>
          <w:rtl/>
        </w:rPr>
        <w:t xml:space="preserve"> נדרשת התייחסות לפתרון במקרים של תקלות באיכות הקולחים או עודפי קולחים, למשל עקב אירועי משקעים קיצוניים (קרקע רוויה אחרי שלג או ימי גשם רצופים) הצפויים כאירועים חריגים מעטים. התוכנית למערכת הולכת הקולחים כללה מאגר ויסות, אולם עד עתה הוא לא הוקם. תאגיד הגיחון השיב למשרד מבקר המדינה באפריל 2019 כי עיתוי בניית מאגר ויסות הקולחים תוכננה לצפי של מכירת קולחים בהיקף של כ-280,000 מ"ק קולחים בשנה, וכי הכמות שהתאגיד מוכר היום לעיריית ירושלים היא כ-125,000 מ"ק בשנה. עוד הוסיף התאגיד כי יש לגיחון תכנון מפורט של מתקן הוויסות, וכי התאגיד יקדם את ביצוע המיזם בכפוף להתקדמות חיבורי גינות נוספות למערכת הקולחים.</w:t>
      </w:r>
      <w:r>
        <w:rPr>
          <w:rFonts w:ascii="Tahoma" w:eastAsia="Times New Roman" w:hAnsi="Tahoma" w:cs="Tahoma"/>
          <w:szCs w:val="20"/>
          <w:rtl/>
        </w:rPr>
        <w:t xml:space="preserve"> </w:t>
      </w:r>
    </w:p>
    <w:p w:rsidR="00A75367" w:rsidRPr="00BC57BC" w:rsidRDefault="00A75367" w:rsidP="00DD5C21">
      <w:pPr>
        <w:spacing w:after="120"/>
        <w:ind w:left="397"/>
        <w:rPr>
          <w:rFonts w:ascii="Tahoma" w:hAnsi="Tahoma" w:cs="Tahoma"/>
          <w:color w:val="1F497D"/>
          <w:sz w:val="16"/>
          <w:szCs w:val="20"/>
          <w:rtl/>
        </w:rPr>
      </w:pPr>
      <w:r w:rsidRPr="00BC57BC">
        <w:rPr>
          <w:rFonts w:ascii="Tahoma" w:hAnsi="Tahoma" w:cs="Tahoma"/>
          <w:sz w:val="16"/>
          <w:szCs w:val="20"/>
          <w:rtl/>
        </w:rPr>
        <w:t>רשות המים השיבה למשרד מבקר המדינה באפריל 2019 כי היא הציעה לגיחון לבחון אפשרויות ניצול אחרות של הקולחים חלף הטיפול הנוסף. הגיחון השיב למשרד מבקר המדינה באפריל 2019 כי הצעת רשות המים נבחנה, הוא פנה לצרכן פוטנציאלי, אך הדבר לא הסתייע בין היתר בשל הצרכים של צרכן הקצה ואי נכונותו לשלם את המחיר הריאלי של המים.</w:t>
      </w:r>
    </w:p>
    <w:p w:rsidR="00A75367" w:rsidRPr="00BC57BC" w:rsidRDefault="00A75367" w:rsidP="00DD5C2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sz w:val="16"/>
          <w:szCs w:val="20"/>
          <w:rtl/>
        </w:rPr>
      </w:pPr>
      <w:r w:rsidRPr="00BC57BC">
        <w:rPr>
          <w:rFonts w:ascii="Tahoma" w:hAnsi="Tahoma" w:cs="Tahoma"/>
          <w:b w:val="0"/>
          <w:bCs w:val="0"/>
          <w:sz w:val="16"/>
          <w:szCs w:val="20"/>
          <w:rtl/>
        </w:rPr>
        <w:t>כמות המים השפירים למטרות גינון ציבורי לשנת 2017 הסתכמה בירושלים בכ-1.9 מיליון מ"ק, ובכלל הארץ בכ-49.5 מיליון מ"ק, המהווים כ-7% מצריכת המים השפירים בכלל הארץ (לא כולל צריכה למטרות חקלאות). בשנת 2018 הסתכמה כמות המים השפירים לגינון ציבורי בכ-2 מיליון מ"ק בירושלים, ובכלל הארץ בכ-48 מיליון מ"ק, המהווים 5% מצריכת המים השפירים בכל הארץ. נוכח החשיבות שבניצול מי הקולחים על רשות המים, כגורם מאסדר, להידרש לנושא זה, במקרים בהם קיימת היתכנות כלכלית, להשקיית גינות ציבוריות ברשויות מקומיות ובמוסדות ציבור, כתחליף להשקיה במים שפירים ולבחון את הצורך בקביעת תעריפים ייעודיים לכלל ספקי הקולחים לשימושים אלה.</w:t>
      </w:r>
      <w:r w:rsidRPr="00BC57BC">
        <w:rPr>
          <w:rFonts w:ascii="Tahoma" w:hAnsi="Tahoma" w:cs="Tahoma"/>
          <w:sz w:val="16"/>
          <w:szCs w:val="20"/>
          <w:rtl/>
        </w:rPr>
        <w:t xml:space="preserve"> </w:t>
      </w:r>
    </w:p>
    <w:p w:rsidR="00A75367" w:rsidRPr="00BC57BC" w:rsidRDefault="00A75367" w:rsidP="00DD5C21">
      <w:pPr>
        <w:spacing w:after="120"/>
        <w:ind w:left="397"/>
        <w:rPr>
          <w:rFonts w:ascii="Tahoma" w:hAnsi="Tahoma" w:cs="Tahoma"/>
          <w:sz w:val="16"/>
          <w:szCs w:val="20"/>
          <w:rtl/>
        </w:rPr>
      </w:pPr>
      <w:r w:rsidRPr="00BC57BC">
        <w:rPr>
          <w:rFonts w:ascii="Tahoma" w:hAnsi="Tahoma" w:cs="Tahoma"/>
          <w:sz w:val="16"/>
          <w:szCs w:val="20"/>
          <w:rtl/>
        </w:rPr>
        <w:t xml:space="preserve">רשות המים השיבה למשרד מבקר המדינה בנובמבר 2019 כי מאחר שאספקת קולחים מחייבת מערכת חלוקה נפרדת ממערכת אספקת מי השתייה ומאחר שהרוב המכריע של מכוני הטיפול בשפכים נמצאים מחוץ למקטע העירוני, לרוב קיימת היתכנות כלכלית לשימוש בקולחים לגינון עירוני כשהיא נלווית למערכת סמוכה המספקת קולחים לחקלאות. </w:t>
      </w:r>
    </w:p>
    <w:p w:rsidR="00A75367" w:rsidRPr="00BC57BC" w:rsidRDefault="00A75367" w:rsidP="00DD5C21">
      <w:pPr>
        <w:spacing w:after="120"/>
        <w:ind w:left="397"/>
        <w:rPr>
          <w:rFonts w:ascii="Tahoma" w:hAnsi="Tahoma" w:cs="Tahoma"/>
          <w:sz w:val="16"/>
          <w:szCs w:val="20"/>
          <w:rtl/>
        </w:rPr>
      </w:pPr>
      <w:r w:rsidRPr="00BC57BC">
        <w:rPr>
          <w:rFonts w:ascii="Tahoma" w:hAnsi="Tahoma" w:cs="Tahoma"/>
          <w:sz w:val="16"/>
          <w:szCs w:val="20"/>
          <w:rtl/>
        </w:rPr>
        <w:t xml:space="preserve">עוד השיבה רשות המים כי </w:t>
      </w:r>
      <w:proofErr w:type="spellStart"/>
      <w:r w:rsidRPr="00BC57BC">
        <w:rPr>
          <w:rFonts w:ascii="Tahoma" w:hAnsi="Tahoma" w:cs="Tahoma"/>
          <w:sz w:val="16"/>
          <w:szCs w:val="20"/>
          <w:rtl/>
        </w:rPr>
        <w:t>מט"ש</w:t>
      </w:r>
      <w:proofErr w:type="spellEnd"/>
      <w:r w:rsidRPr="00BC57BC">
        <w:rPr>
          <w:rFonts w:ascii="Tahoma" w:hAnsi="Tahoma" w:cs="Tahoma"/>
          <w:sz w:val="16"/>
          <w:szCs w:val="20"/>
          <w:rtl/>
        </w:rPr>
        <w:t xml:space="preserve"> הר חומה הוקם במטרה לתת מענה מקומי לטיפול בשפכי שכונת הר שמואל, והקולחים המופקים ממנו יועדו לשימוש לגינון עירוני בירושלים. </w:t>
      </w:r>
      <w:r w:rsidRPr="00BC57BC">
        <w:rPr>
          <w:rFonts w:ascii="Tahoma" w:hAnsi="Tahoma" w:cs="Tahoma"/>
          <w:sz w:val="16"/>
          <w:szCs w:val="20"/>
          <w:rtl/>
        </w:rPr>
        <w:lastRenderedPageBreak/>
        <w:t xml:space="preserve">בנוסף השיבה רשות המים כי מערכת השקיית גינון שאינה קשורה למערכת חקלאית גדולה הכוללת מאגרים אינה נותנת מענה לכל הקולחים המיוצרים </w:t>
      </w:r>
      <w:proofErr w:type="spellStart"/>
      <w:r w:rsidRPr="00BC57BC">
        <w:rPr>
          <w:rFonts w:ascii="Tahoma" w:hAnsi="Tahoma" w:cs="Tahoma"/>
          <w:sz w:val="16"/>
          <w:szCs w:val="20"/>
          <w:rtl/>
        </w:rPr>
        <w:t>במט"ש</w:t>
      </w:r>
      <w:proofErr w:type="spellEnd"/>
      <w:r w:rsidRPr="00BC57BC">
        <w:rPr>
          <w:rFonts w:ascii="Tahoma" w:hAnsi="Tahoma" w:cs="Tahoma"/>
          <w:sz w:val="16"/>
          <w:szCs w:val="20"/>
          <w:rtl/>
        </w:rPr>
        <w:t>. כתוצאה מכך מרבית הקולחים אינם מנוצלים ובהיעדר חלופה אחרת הם חוזרים למערכת הביוב.</w:t>
      </w:r>
    </w:p>
    <w:p w:rsidR="00A75367" w:rsidRPr="00BC57BC" w:rsidRDefault="00A75367" w:rsidP="00DD5C2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16"/>
          <w:szCs w:val="20"/>
          <w:rtl/>
        </w:rPr>
      </w:pPr>
      <w:r w:rsidRPr="00BC57BC">
        <w:rPr>
          <w:rFonts w:ascii="Tahoma" w:hAnsi="Tahoma" w:cs="Tahoma"/>
          <w:b w:val="0"/>
          <w:bCs w:val="0"/>
          <w:sz w:val="16"/>
          <w:szCs w:val="20"/>
          <w:rtl/>
        </w:rPr>
        <w:t>הפתרון של הזרמה חוזרת של עודפי מי קולחים באיכות מעולה למערכת הביוב המרכזית הוא פתרון בזבזני ונעדר כל היגיון. זוהי הוצאת כספים מיותרת, שכן הקולחים העודפים עברו טיהור לשווא, אגב בזבוז כספי ציבור והטלת נטל נוסף על הצרכנים, בייחוד נוכח הכמות הגדולה של העודפים - כ-90%. על התאגיד ועיריית ירושלים למצוא חלופות לשימוש במים אלה, כך שהשימוש בהם יהיה לתועלת הציבור.</w:t>
      </w:r>
    </w:p>
    <w:p w:rsidR="00A75367" w:rsidRPr="00BC57BC" w:rsidRDefault="00A75367" w:rsidP="00DD5C21">
      <w:pPr>
        <w:spacing w:after="120"/>
        <w:ind w:left="397"/>
        <w:rPr>
          <w:rFonts w:ascii="Tahoma" w:hAnsi="Tahoma" w:cs="Tahoma"/>
          <w:sz w:val="16"/>
          <w:szCs w:val="20"/>
          <w:rtl/>
        </w:rPr>
      </w:pPr>
      <w:r w:rsidRPr="00BC57BC">
        <w:rPr>
          <w:rFonts w:ascii="Tahoma" w:hAnsi="Tahoma" w:cs="Tahoma"/>
          <w:sz w:val="16"/>
          <w:szCs w:val="20"/>
          <w:rtl/>
        </w:rPr>
        <w:t xml:space="preserve">רשות המים השיבה למשרד מבקר המדינה בנובמבר 2019 כי על מנת למזער את הזרמת הקולחים המטופלים חזרה למערכת הביוב, היא תוודא ותקדם הקמת מערכת לשימוש חקלאי בקולחים אלה; העברת השפכים העודפים שיהיו, ככל שיהיו, מאזור הר חומה למערכת </w:t>
      </w:r>
      <w:proofErr w:type="spellStart"/>
      <w:r w:rsidRPr="00BC57BC">
        <w:rPr>
          <w:rFonts w:ascii="Tahoma" w:hAnsi="Tahoma" w:cs="Tahoma"/>
          <w:sz w:val="16"/>
          <w:szCs w:val="20"/>
          <w:rtl/>
        </w:rPr>
        <w:t>הקדרון</w:t>
      </w:r>
      <w:proofErr w:type="spellEnd"/>
      <w:r w:rsidRPr="00BC57BC">
        <w:rPr>
          <w:rFonts w:ascii="Tahoma" w:hAnsi="Tahoma" w:cs="Tahoma"/>
          <w:sz w:val="16"/>
          <w:szCs w:val="20"/>
          <w:rtl/>
        </w:rPr>
        <w:t xml:space="preserve"> </w:t>
      </w:r>
      <w:proofErr w:type="spellStart"/>
      <w:r w:rsidRPr="00BC57BC">
        <w:rPr>
          <w:rFonts w:ascii="Tahoma" w:hAnsi="Tahoma" w:cs="Tahoma"/>
          <w:sz w:val="16"/>
          <w:szCs w:val="20"/>
          <w:rtl/>
        </w:rPr>
        <w:t>ולמט"ש</w:t>
      </w:r>
      <w:proofErr w:type="spellEnd"/>
      <w:r w:rsidRPr="00BC57BC">
        <w:rPr>
          <w:rFonts w:ascii="Tahoma" w:hAnsi="Tahoma" w:cs="Tahoma"/>
          <w:sz w:val="16"/>
          <w:szCs w:val="20"/>
          <w:rtl/>
        </w:rPr>
        <w:t xml:space="preserve"> האוג הנמצאים בהקמה.</w:t>
      </w:r>
    </w:p>
    <w:p w:rsidR="00A75367" w:rsidRPr="00BC57BC" w:rsidRDefault="00A75367" w:rsidP="00DD5C21">
      <w:pPr>
        <w:pStyle w:val="a1"/>
        <w:rPr>
          <w:sz w:val="16"/>
          <w:rtl/>
        </w:rPr>
      </w:pPr>
      <w:r w:rsidRPr="00DD5C21">
        <w:rPr>
          <w:b w:val="0"/>
          <w:bCs w:val="0"/>
          <w:rtl/>
        </w:rPr>
        <w:t>תמונה 2:</w:t>
      </w:r>
      <w:r w:rsidRPr="00BC57BC">
        <w:rPr>
          <w:rtl/>
        </w:rPr>
        <w:t xml:space="preserve"> </w:t>
      </w:r>
      <w:proofErr w:type="spellStart"/>
      <w:r w:rsidRPr="00BC57BC">
        <w:rPr>
          <w:rtl/>
        </w:rPr>
        <w:t>מט"ש</w:t>
      </w:r>
      <w:proofErr w:type="spellEnd"/>
      <w:r w:rsidRPr="00BC57BC">
        <w:rPr>
          <w:rtl/>
        </w:rPr>
        <w:t xml:space="preserve"> שורק</w:t>
      </w:r>
    </w:p>
    <w:p w:rsidR="00A75367" w:rsidRPr="00BC57BC" w:rsidRDefault="00A75367" w:rsidP="00A75367">
      <w:pPr>
        <w:spacing w:after="120"/>
        <w:ind w:left="312"/>
        <w:jc w:val="center"/>
        <w:rPr>
          <w:rFonts w:ascii="Tahoma" w:hAnsi="Tahoma" w:cs="Tahoma"/>
          <w:b/>
          <w:bCs/>
          <w:sz w:val="16"/>
          <w:szCs w:val="20"/>
          <w:rtl/>
        </w:rPr>
      </w:pPr>
      <w:r w:rsidRPr="00BC57BC">
        <w:rPr>
          <w:rFonts w:ascii="Tahoma" w:hAnsi="Tahoma" w:cs="Tahoma"/>
          <w:b/>
          <w:bCs/>
          <w:noProof/>
          <w:sz w:val="16"/>
          <w:szCs w:val="20"/>
        </w:rPr>
        <w:drawing>
          <wp:inline distT="0" distB="0" distL="0" distR="0" wp14:anchorId="72494E7A" wp14:editId="01549E74">
            <wp:extent cx="4215765" cy="2600490"/>
            <wp:effectExtent l="0" t="0" r="0" b="9525"/>
            <wp:docPr id="16" name="תמונה 16" descr="מבט מהאוויר על מט&quot;ש שור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4975" cy="2612340"/>
                    </a:xfrm>
                    <a:prstGeom prst="rect">
                      <a:avLst/>
                    </a:prstGeom>
                    <a:noFill/>
                    <a:ln>
                      <a:noFill/>
                    </a:ln>
                  </pic:spPr>
                </pic:pic>
              </a:graphicData>
            </a:graphic>
          </wp:inline>
        </w:drawing>
      </w:r>
    </w:p>
    <w:p w:rsidR="00A75367" w:rsidRPr="00DD5C21" w:rsidRDefault="00A75367" w:rsidP="00DD5C21">
      <w:pPr>
        <w:spacing w:before="120" w:after="120"/>
        <w:jc w:val="center"/>
        <w:rPr>
          <w:rFonts w:ascii="Tahoma" w:hAnsi="Tahoma" w:cs="Tahoma"/>
          <w:sz w:val="16"/>
          <w:szCs w:val="16"/>
          <w:rtl/>
          <w:lang w:eastAsia="he-IL"/>
        </w:rPr>
      </w:pPr>
      <w:r w:rsidRPr="00DD5C21">
        <w:rPr>
          <w:rFonts w:ascii="Tahoma" w:hAnsi="Tahoma" w:cs="Tahoma"/>
          <w:sz w:val="16"/>
          <w:szCs w:val="16"/>
          <w:rtl/>
          <w:lang w:eastAsia="he-IL"/>
        </w:rPr>
        <w:t>תאגיד הגיחון.</w:t>
      </w:r>
    </w:p>
    <w:p w:rsidR="00A75367" w:rsidRPr="00A75367" w:rsidRDefault="00A75367" w:rsidP="00A75367">
      <w:pPr>
        <w:pStyle w:val="31"/>
        <w:rPr>
          <w:rtl/>
        </w:rPr>
      </w:pPr>
      <w:bookmarkStart w:id="35" w:name="_Toc17268286"/>
      <w:bookmarkStart w:id="36" w:name="_Toc32167120"/>
      <w:r w:rsidRPr="00A75367">
        <w:rPr>
          <w:rtl/>
        </w:rPr>
        <w:lastRenderedPageBreak/>
        <w:t>סיכום</w:t>
      </w:r>
      <w:bookmarkEnd w:id="35"/>
      <w:bookmarkEnd w:id="36"/>
    </w:p>
    <w:p w:rsidR="00A75367" w:rsidRPr="00BC57BC" w:rsidRDefault="00A75367" w:rsidP="00DD5C2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 w:val="16"/>
          <w:szCs w:val="20"/>
          <w:rtl/>
        </w:rPr>
      </w:pPr>
      <w:r w:rsidRPr="00BC57BC">
        <w:rPr>
          <w:rFonts w:ascii="Tahoma" w:hAnsi="Tahoma" w:cs="Tahoma"/>
          <w:b w:val="0"/>
          <w:bCs w:val="0"/>
          <w:sz w:val="16"/>
          <w:szCs w:val="20"/>
          <w:rtl/>
        </w:rPr>
        <w:t>לתאגיד הגיחון ישנם מאפיינים ייחודיים. הוא מספק שירותי מים וביוב לאוכלוסייה גדולה ומגוונת מן ההיבט הכלכלי והחברתי, ובכלל זאת למזרח ירושלים, שמתגוררים בה כ-33% מאוכלוסיית העיר, דבר המערים קשיים רבים בפיתוח התשתיות, באכיפה ובגבייה. כמו כן אזור ירושלים מאופיין במבנה טופוגרפי הררי בעל הפרשי גובה של עד 330 מטר, דבר המחייב שימוש במערכות ייעודיות לוויסות לחצים של המים והשקעות נוספות בתשתיות שבחלקן ישנות מאוד.</w:t>
      </w:r>
    </w:p>
    <w:p w:rsidR="00A75367" w:rsidRPr="00BC57BC" w:rsidRDefault="00A75367" w:rsidP="00DD5C2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 w:val="16"/>
          <w:szCs w:val="20"/>
          <w:rtl/>
        </w:rPr>
      </w:pPr>
      <w:r w:rsidRPr="00BC57BC">
        <w:rPr>
          <w:rFonts w:ascii="Tahoma" w:hAnsi="Tahoma" w:cs="Tahoma"/>
          <w:b w:val="0"/>
          <w:bCs w:val="0"/>
          <w:sz w:val="16"/>
          <w:szCs w:val="20"/>
          <w:rtl/>
        </w:rPr>
        <w:t xml:space="preserve">הליקויים בתהליכי ההתקשרות של תאגיד הגיחון מצביעים על הצורך של החברה להקפיד על ניהול ההתקשרויות לפי חוק חובת המכרזים ותקנותיו ולפי נוהלי התאגיד עצמו. על התאגיד לנקוט צעדים לשיפור ניהול ההתקשרויות, בין היתר על ידי שיפור תהליכי הכנת האומדנים העצמיים והתאמה בין ההיקף הכספי של ההתקשרויות להזמנות בפועל. על ידי כך יוכל התאגיד לבחור בדרך שוויונית את הספק המתאים ביותר לצרכיו, ינצל כראוי את משאביו ויחסוך בכספי ציבור. </w:t>
      </w:r>
    </w:p>
    <w:p w:rsidR="00A75367" w:rsidRDefault="00A75367" w:rsidP="00EA0977">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sz w:val="16"/>
          <w:szCs w:val="20"/>
        </w:rPr>
      </w:pPr>
      <w:r w:rsidRPr="00BC57BC">
        <w:rPr>
          <w:rFonts w:ascii="Tahoma" w:hAnsi="Tahoma" w:cs="Tahoma"/>
          <w:b w:val="0"/>
          <w:bCs w:val="0"/>
          <w:sz w:val="16"/>
          <w:szCs w:val="20"/>
          <w:rtl/>
        </w:rPr>
        <w:t>מהביקורת עולה כי פחת המים ופחת הגבייה גבוהים בשכונות שמעבר לגדר ההפרדה במזרח ירושלים באופן ניכר מהנורמות שנקבעו לתאגיד. דבר שתרם לכך שהתאגיד לא עמד בנורמות שקבעה לו רשות המים.</w:t>
      </w:r>
      <w:r w:rsidRPr="00BC57BC">
        <w:rPr>
          <w:rFonts w:ascii="Tahoma" w:hAnsi="Tahoma" w:cs="Tahoma"/>
          <w:b w:val="0"/>
          <w:bCs w:val="0"/>
          <w:szCs w:val="20"/>
          <w:rtl/>
        </w:rPr>
        <w:t xml:space="preserve"> היות שמשק המים הוא משק כספים סגור, עלויות גבוהות מנורמות התפעול של התאגיד עשויות להתבטא בצמצום רכיב ההון המיועד להשקעות, אשר אמורות לממן את פיתוח תשתיות המים והביוב בעיר.</w:t>
      </w:r>
      <w:r w:rsidRPr="00BC57BC">
        <w:rPr>
          <w:rFonts w:ascii="Tahoma" w:hAnsi="Tahoma" w:cs="Tahoma"/>
          <w:b w:val="0"/>
          <w:bCs w:val="0"/>
          <w:sz w:val="16"/>
          <w:szCs w:val="20"/>
          <w:rtl/>
        </w:rPr>
        <w:t xml:space="preserve"> הפערים הגדולים בין הנורמות שקבעה רשות המים לבין עלויות התאגיד בפועל מגבירים את הצורך שרשות המים, בשיתוף התאגיד, ימצאו פתרון לבעיית מימונן של ההוצאות העודפות המושתות על התאגיד. נוכח הקשיים הייחודים במזרח ירושלים, מן הראוי כי רשות המים תפעל בשיתוף פעולה עם התאגיד וגורמים רלוונטיים אחרים ותמצא פתרונות לבעיות ייחודיות אלה על מנת שהעלויות הנובעות מהן לא יהיו נטל על צרכני המים המקבלים שירות מהתאגיד.</w:t>
      </w:r>
      <w:r w:rsidR="00EA0977">
        <w:rPr>
          <w:rFonts w:ascii="Tahoma" w:hAnsi="Tahoma" w:cs="Tahoma" w:hint="cs"/>
          <w:b w:val="0"/>
          <w:bCs w:val="0"/>
          <w:sz w:val="16"/>
          <w:szCs w:val="20"/>
          <w:rtl/>
        </w:rPr>
        <w:t xml:space="preserve"> </w:t>
      </w:r>
      <w:r w:rsidRPr="00BC57BC">
        <w:rPr>
          <w:rFonts w:ascii="Tahoma" w:hAnsi="Tahoma" w:cs="Tahoma"/>
          <w:b w:val="0"/>
          <w:bCs w:val="0"/>
          <w:sz w:val="16"/>
          <w:szCs w:val="20"/>
          <w:rtl/>
        </w:rPr>
        <w:t xml:space="preserve">כל זאת על מנת להגיע לתעריף שיאפשר לפתח את משק המים </w:t>
      </w:r>
      <w:proofErr w:type="spellStart"/>
      <w:r w:rsidRPr="00BC57BC">
        <w:rPr>
          <w:rFonts w:ascii="Tahoma" w:hAnsi="Tahoma" w:cs="Tahoma"/>
          <w:b w:val="0"/>
          <w:bCs w:val="0"/>
          <w:sz w:val="16"/>
          <w:szCs w:val="20"/>
          <w:rtl/>
        </w:rPr>
        <w:t>ולתפעלו</w:t>
      </w:r>
      <w:proofErr w:type="spellEnd"/>
      <w:r w:rsidRPr="00BC57BC">
        <w:rPr>
          <w:rFonts w:ascii="Tahoma" w:hAnsi="Tahoma" w:cs="Tahoma"/>
          <w:b w:val="0"/>
          <w:bCs w:val="0"/>
          <w:sz w:val="16"/>
          <w:szCs w:val="20"/>
          <w:rtl/>
        </w:rPr>
        <w:t xml:space="preserve"> בצורה מקצועית ויעילה, כפי שנקבע בחוק תאגידי מים וביוב.</w:t>
      </w:r>
      <w:r w:rsidRPr="00BC57BC">
        <w:rPr>
          <w:rFonts w:ascii="Tahoma" w:hAnsi="Tahoma" w:cs="Tahoma"/>
          <w:sz w:val="16"/>
          <w:szCs w:val="20"/>
          <w:rtl/>
        </w:rPr>
        <w:t xml:space="preserve"> </w:t>
      </w:r>
    </w:p>
    <w:p w:rsidR="00A36941" w:rsidRDefault="00A36941" w:rsidP="008B17A0">
      <w:pPr>
        <w:spacing w:after="120"/>
        <w:rPr>
          <w:rFonts w:ascii="Tahoma" w:hAnsi="Tahoma" w:cs="Tahoma"/>
          <w:szCs w:val="20"/>
          <w:rtl/>
        </w:rPr>
      </w:pPr>
    </w:p>
    <w:p w:rsidR="00134632" w:rsidRDefault="00134632" w:rsidP="008B17A0">
      <w:pPr>
        <w:spacing w:after="120"/>
        <w:rPr>
          <w:rFonts w:ascii="Tahoma" w:hAnsi="Tahoma" w:cs="Tahoma"/>
          <w:szCs w:val="20"/>
          <w:rtl/>
        </w:rPr>
        <w:sectPr w:rsidR="00134632" w:rsidSect="00CC74ED">
          <w:pgSz w:w="11906" w:h="16838"/>
          <w:pgMar w:top="2268" w:right="1985" w:bottom="2155" w:left="1701" w:header="709" w:footer="709" w:gutter="0"/>
          <w:cols w:space="708"/>
          <w:bidi/>
          <w:rtlGutter/>
          <w:docGrid w:linePitch="360"/>
        </w:sectPr>
      </w:pPr>
    </w:p>
    <w:p w:rsidR="00134632" w:rsidRPr="00A75367" w:rsidRDefault="00134632" w:rsidP="008B17A0">
      <w:pPr>
        <w:spacing w:after="120"/>
        <w:rPr>
          <w:rFonts w:ascii="Tahoma" w:hAnsi="Tahoma" w:cs="Tahoma"/>
          <w:szCs w:val="20"/>
          <w:rtl/>
        </w:rPr>
      </w:pPr>
      <w:bookmarkStart w:id="37" w:name="_GoBack"/>
      <w:bookmarkEnd w:id="37"/>
    </w:p>
    <w:sectPr w:rsidR="00134632" w:rsidRPr="00A75367" w:rsidSect="00041F2A">
      <w:headerReference w:type="default" r:id="rId30"/>
      <w:footerReference w:type="default" r:id="rId31"/>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5DE" w:rsidRDefault="001105DE">
      <w:pPr>
        <w:spacing w:line="240" w:lineRule="auto"/>
      </w:pPr>
      <w:r>
        <w:separator/>
      </w:r>
    </w:p>
  </w:endnote>
  <w:endnote w:type="continuationSeparator" w:id="0">
    <w:p w:rsidR="001105DE" w:rsidRDefault="001105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FrankRuehl">
    <w:altName w:val="Arial"/>
    <w:panose1 w:val="020E0503060101010101"/>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1B" w:rsidRPr="00DE6C5F" w:rsidRDefault="0055181B" w:rsidP="00DE6C5F">
    <w:pPr>
      <w:pStyle w:val="Footer"/>
      <w:spacing w:after="120" w:line="312" w:lineRule="auto"/>
      <w:jc w:val="right"/>
      <w:rPr>
        <w:rFonts w:ascii="Tahoma" w:hAnsi="Tahoma" w:cs="Tahoma"/>
        <w:color w:val="002060"/>
        <w:sz w:val="18"/>
        <w:szCs w:val="18"/>
      </w:rPr>
    </w:pPr>
    <w:r w:rsidRPr="00D806A2">
      <w:rPr>
        <w:rFonts w:ascii="Tahoma" w:hAnsi="Tahoma" w:cs="Tahoma"/>
        <w:color w:val="002060"/>
        <w:sz w:val="18"/>
        <w:szCs w:val="18"/>
        <w:rtl/>
      </w:rPr>
      <w:t>חברת הגיחון בע"מ</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1B" w:rsidRPr="00AF3713" w:rsidRDefault="0055181B" w:rsidP="00AF37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1B" w:rsidRPr="00134632" w:rsidRDefault="0055181B" w:rsidP="001346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5DE" w:rsidRDefault="001105DE" w:rsidP="00C23CC9">
      <w:pPr>
        <w:spacing w:line="240" w:lineRule="auto"/>
      </w:pPr>
      <w:r>
        <w:separator/>
      </w:r>
    </w:p>
  </w:footnote>
  <w:footnote w:type="continuationSeparator" w:id="0">
    <w:p w:rsidR="001105DE" w:rsidRDefault="001105DE" w:rsidP="00C23CC9">
      <w:pPr>
        <w:spacing w:line="240" w:lineRule="auto"/>
      </w:pPr>
      <w:r>
        <w:continuationSeparator/>
      </w:r>
    </w:p>
  </w:footnote>
  <w:footnote w:id="1">
    <w:p w:rsidR="0055181B" w:rsidRPr="00A75367" w:rsidRDefault="0055181B" w:rsidP="00A75367">
      <w:pPr>
        <w:pStyle w:val="FootnoteText"/>
        <w:spacing w:after="60" w:line="312" w:lineRule="auto"/>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יחידת הממונה על התאגידים היא יחידה ברשות המים הכפופה למנהל הרשות.</w:t>
      </w:r>
    </w:p>
  </w:footnote>
  <w:footnote w:id="2">
    <w:p w:rsidR="0055181B" w:rsidRPr="00A75367" w:rsidRDefault="0055181B" w:rsidP="00A75367">
      <w:pPr>
        <w:pStyle w:val="FootnoteText"/>
        <w:spacing w:after="60" w:line="312" w:lineRule="auto"/>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 xml:space="preserve">יתר המניות בחברת </w:t>
      </w:r>
      <w:proofErr w:type="spellStart"/>
      <w:r w:rsidRPr="00A75367">
        <w:rPr>
          <w:rFonts w:ascii="Tahoma" w:hAnsi="Tahoma" w:cs="Tahoma"/>
          <w:sz w:val="16"/>
          <w:szCs w:val="16"/>
          <w:rtl/>
        </w:rPr>
        <w:t>מבט"י</w:t>
      </w:r>
      <w:proofErr w:type="spellEnd"/>
      <w:r w:rsidRPr="00A75367">
        <w:rPr>
          <w:rFonts w:ascii="Tahoma" w:hAnsi="Tahoma" w:cs="Tahoma"/>
          <w:sz w:val="16"/>
          <w:szCs w:val="16"/>
          <w:rtl/>
        </w:rPr>
        <w:t xml:space="preserve"> מוחזקות בידי הרשות לפיתוח ירושלים. דוח זה אינו עוסק בחברת </w:t>
      </w:r>
      <w:proofErr w:type="spellStart"/>
      <w:r w:rsidRPr="00A75367">
        <w:rPr>
          <w:rFonts w:ascii="Tahoma" w:hAnsi="Tahoma" w:cs="Tahoma"/>
          <w:sz w:val="16"/>
          <w:szCs w:val="16"/>
          <w:rtl/>
        </w:rPr>
        <w:t>מבט"י</w:t>
      </w:r>
      <w:proofErr w:type="spellEnd"/>
      <w:r w:rsidRPr="00A75367">
        <w:rPr>
          <w:rFonts w:ascii="Tahoma" w:hAnsi="Tahoma" w:cs="Tahoma"/>
          <w:sz w:val="16"/>
          <w:szCs w:val="16"/>
          <w:rtl/>
        </w:rPr>
        <w:t>.</w:t>
      </w:r>
    </w:p>
  </w:footnote>
  <w:footnote w:id="3">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מהם 226 עובדים במשרות תקניות ועוד 12 עובדים בשכר שעתי.</w:t>
      </w:r>
    </w:p>
  </w:footnote>
  <w:footnote w:id="4">
    <w:p w:rsidR="0055181B" w:rsidRPr="00A75367" w:rsidRDefault="0055181B" w:rsidP="00A75367">
      <w:pPr>
        <w:pStyle w:val="FootnoteText"/>
        <w:spacing w:after="60" w:line="312" w:lineRule="auto"/>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מטר מעוקב.</w:t>
      </w:r>
    </w:p>
  </w:footnote>
  <w:footnote w:id="5">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נורמות התפעול הן רף העלויות המושתות על הצרכנים באמצעות תעריפי המים: עלויות ניהול וגבייה, וכן עלויות רשת המים ורשת הביוב. הן משתנות מתאגיד לתאגיד, ונקבעות על ידי רשות המים בהתאם לסוג התאגיד, לגודלו ולמאפיינים חברתיים-כלכליים של הצרכנים.</w:t>
      </w:r>
    </w:p>
  </w:footnote>
  <w:footnote w:id="6">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 xml:space="preserve">הפעולות שנקטה רשות המים בעניין: באוקטובר 2014 פרסמה מועצת רשות המים פנייה לציבור להשמיע את עמדתו עד נובמבר 2014 בדבר הכוונה לקבוע כללים לתאגידי המים והביוב המגדירים תנאים ברישיון לפעילות נוספת, בנובמבר 2014 התקבלו עמדות הציבור בנושא, ומעבר לכך לא נקטה הרשות בפעולות נוספות בעניין. </w:t>
      </w:r>
    </w:p>
  </w:footnote>
  <w:footnote w:id="7">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 xml:space="preserve">ראו מבקר המדינה, </w:t>
      </w:r>
      <w:r w:rsidRPr="00A75367">
        <w:rPr>
          <w:rFonts w:ascii="Tahoma" w:hAnsi="Tahoma" w:cs="Tahoma"/>
          <w:b/>
          <w:bCs/>
          <w:sz w:val="16"/>
          <w:szCs w:val="16"/>
          <w:rtl/>
        </w:rPr>
        <w:t>דוח שנתי 64א</w:t>
      </w:r>
      <w:r w:rsidRPr="00A75367">
        <w:rPr>
          <w:rFonts w:ascii="Tahoma" w:hAnsi="Tahoma" w:cs="Tahoma"/>
          <w:sz w:val="16"/>
          <w:szCs w:val="16"/>
          <w:rtl/>
        </w:rPr>
        <w:t xml:space="preserve"> (2013), "היבטים בהקמה ובתפעול מפעלים להשבת מי קולחים", עמ' 741.</w:t>
      </w:r>
    </w:p>
  </w:footnote>
  <w:footnote w:id="8">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 xml:space="preserve">ועדה בראשות סגן מנהל רשות המים וחברים בה גם נציגים ממשרד הבריאות, מהמשרד להגנת הסביבה ומרשות הטבע והגנים. </w:t>
      </w:r>
    </w:p>
  </w:footnote>
  <w:footnote w:id="9">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אספקתם - הובלת השפכים למכון הטיהור.</w:t>
      </w:r>
    </w:p>
  </w:footnote>
  <w:footnote w:id="10">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 xml:space="preserve">ראו מבקר המדינה, </w:t>
      </w:r>
      <w:r w:rsidRPr="00A75367">
        <w:rPr>
          <w:rFonts w:ascii="Tahoma" w:hAnsi="Tahoma" w:cs="Tahoma"/>
          <w:b/>
          <w:bCs/>
          <w:sz w:val="16"/>
          <w:szCs w:val="16"/>
          <w:rtl/>
        </w:rPr>
        <w:t>דוח שנתי 69א</w:t>
      </w:r>
      <w:r w:rsidRPr="00A75367">
        <w:rPr>
          <w:rFonts w:ascii="Tahoma" w:hAnsi="Tahoma" w:cs="Tahoma"/>
          <w:sz w:val="16"/>
          <w:szCs w:val="16"/>
          <w:rtl/>
        </w:rPr>
        <w:t xml:space="preserve"> (2018), "תכנון משק המים וניהולו", עמ' 87 - 88.</w:t>
      </w:r>
    </w:p>
  </w:footnote>
  <w:footnote w:id="11">
    <w:p w:rsidR="0055181B" w:rsidRPr="00A75367" w:rsidRDefault="0055181B" w:rsidP="00A75367">
      <w:pPr>
        <w:pStyle w:val="FootnoteText"/>
        <w:spacing w:after="60" w:line="312" w:lineRule="auto"/>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 xml:space="preserve">בינואר 2019 היה מרכיב התפעול של התאגידים 1.74 ש"ח </w:t>
      </w:r>
      <w:proofErr w:type="spellStart"/>
      <w:r w:rsidRPr="00A75367">
        <w:rPr>
          <w:rFonts w:ascii="Tahoma" w:hAnsi="Tahoma" w:cs="Tahoma"/>
          <w:sz w:val="16"/>
          <w:szCs w:val="16"/>
          <w:rtl/>
        </w:rPr>
        <w:t>למ"ק</w:t>
      </w:r>
      <w:proofErr w:type="spellEnd"/>
      <w:r w:rsidRPr="00A75367">
        <w:rPr>
          <w:rFonts w:ascii="Tahoma" w:hAnsi="Tahoma" w:cs="Tahoma"/>
          <w:sz w:val="16"/>
          <w:szCs w:val="16"/>
          <w:rtl/>
        </w:rPr>
        <w:t xml:space="preserve">, שהם 43% מסך העלות המוכרת לתאגידי מים, שבאותו מועד הייתה 4.06 ש"ח </w:t>
      </w:r>
      <w:proofErr w:type="spellStart"/>
      <w:r w:rsidRPr="00A75367">
        <w:rPr>
          <w:rFonts w:ascii="Tahoma" w:hAnsi="Tahoma" w:cs="Tahoma"/>
          <w:sz w:val="16"/>
          <w:szCs w:val="16"/>
          <w:rtl/>
        </w:rPr>
        <w:t>למ"ק</w:t>
      </w:r>
      <w:proofErr w:type="spellEnd"/>
      <w:r w:rsidRPr="00A75367">
        <w:rPr>
          <w:rFonts w:ascii="Tahoma" w:hAnsi="Tahoma" w:cs="Tahoma"/>
          <w:sz w:val="16"/>
          <w:szCs w:val="16"/>
          <w:rtl/>
        </w:rPr>
        <w:t>.</w:t>
      </w:r>
      <w:r w:rsidRPr="00A75367">
        <w:rPr>
          <w:rFonts w:ascii="Tahoma" w:hAnsi="Tahoma" w:cs="Tahoma"/>
          <w:sz w:val="16"/>
          <w:szCs w:val="16"/>
        </w:rPr>
        <w:t xml:space="preserve"> </w:t>
      </w:r>
      <w:r w:rsidRPr="00A75367">
        <w:rPr>
          <w:rFonts w:ascii="Tahoma" w:hAnsi="Tahoma" w:cs="Tahoma"/>
          <w:sz w:val="16"/>
          <w:szCs w:val="16"/>
          <w:rtl/>
        </w:rPr>
        <w:t xml:space="preserve">מרכיב הון המים והביוב היה 1.13 ש"ח </w:t>
      </w:r>
      <w:proofErr w:type="spellStart"/>
      <w:r w:rsidRPr="00A75367">
        <w:rPr>
          <w:rFonts w:ascii="Tahoma" w:hAnsi="Tahoma" w:cs="Tahoma"/>
          <w:sz w:val="16"/>
          <w:szCs w:val="16"/>
          <w:rtl/>
        </w:rPr>
        <w:t>למ"ק</w:t>
      </w:r>
      <w:proofErr w:type="spellEnd"/>
      <w:r w:rsidRPr="00A75367">
        <w:rPr>
          <w:rFonts w:ascii="Tahoma" w:hAnsi="Tahoma" w:cs="Tahoma"/>
          <w:sz w:val="16"/>
          <w:szCs w:val="16"/>
          <w:rtl/>
        </w:rPr>
        <w:t xml:space="preserve">, שהם 28% מסך העלות המוכרת לתאגידים, ומרכיב פחת המים ופחת הגבייה היה 1.18 ש"ח </w:t>
      </w:r>
      <w:proofErr w:type="spellStart"/>
      <w:r w:rsidRPr="00A75367">
        <w:rPr>
          <w:rFonts w:ascii="Tahoma" w:hAnsi="Tahoma" w:cs="Tahoma"/>
          <w:sz w:val="16"/>
          <w:szCs w:val="16"/>
          <w:rtl/>
        </w:rPr>
        <w:t>למ"ק</w:t>
      </w:r>
      <w:proofErr w:type="spellEnd"/>
      <w:r w:rsidRPr="00A75367">
        <w:rPr>
          <w:rFonts w:ascii="Tahoma" w:hAnsi="Tahoma" w:cs="Tahoma"/>
          <w:sz w:val="16"/>
          <w:szCs w:val="16"/>
          <w:rtl/>
        </w:rPr>
        <w:t xml:space="preserve">, שהם 29% מסך העלות המוכרת. תעריף המים הממוצע לצרכן באותו מועד הוא 9.059 ש"ח </w:t>
      </w:r>
      <w:proofErr w:type="spellStart"/>
      <w:r w:rsidRPr="00A75367">
        <w:rPr>
          <w:rFonts w:ascii="Tahoma" w:hAnsi="Tahoma" w:cs="Tahoma"/>
          <w:sz w:val="16"/>
          <w:szCs w:val="16"/>
          <w:rtl/>
        </w:rPr>
        <w:t>למ"ק</w:t>
      </w:r>
      <w:proofErr w:type="spellEnd"/>
      <w:r w:rsidRPr="00A75367">
        <w:rPr>
          <w:rFonts w:ascii="Tahoma" w:hAnsi="Tahoma" w:cs="Tahoma"/>
          <w:sz w:val="16"/>
          <w:szCs w:val="16"/>
          <w:rtl/>
        </w:rPr>
        <w:t>.</w:t>
      </w:r>
    </w:p>
  </w:footnote>
  <w:footnote w:id="12">
    <w:p w:rsidR="0055181B" w:rsidRPr="00A75367" w:rsidRDefault="0055181B" w:rsidP="00A75367">
      <w:pPr>
        <w:pStyle w:val="FootnoteText"/>
        <w:spacing w:after="60" w:line="312" w:lineRule="auto"/>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 xml:space="preserve">התאגדות של כמה רשויות מקומיות שהקימו יחד תאגיד מים. </w:t>
      </w:r>
    </w:p>
  </w:footnote>
  <w:footnote w:id="13">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תאגיד המשרת את תושביה של רשות מקומית אחת.</w:t>
      </w:r>
    </w:p>
  </w:footnote>
  <w:footnote w:id="14">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לא כולל הוצאות מימון.</w:t>
      </w:r>
    </w:p>
  </w:footnote>
  <w:footnote w:id="15">
    <w:p w:rsidR="0055181B" w:rsidRPr="00A75367" w:rsidRDefault="0055181B" w:rsidP="00A75367">
      <w:pPr>
        <w:pStyle w:val="FootnoteText"/>
        <w:spacing w:after="60" w:line="312" w:lineRule="auto"/>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 xml:space="preserve">תוצאות שימוע בעניין תאגידי מים וביוב (חישוב עלויות שירותי מים וביוב והקמת מערכת מים או ביוב)(תיקון), </w:t>
      </w:r>
      <w:proofErr w:type="spellStart"/>
      <w:r w:rsidRPr="00A75367">
        <w:rPr>
          <w:rFonts w:ascii="Tahoma" w:hAnsi="Tahoma" w:cs="Tahoma"/>
          <w:sz w:val="16"/>
          <w:szCs w:val="16"/>
          <w:rtl/>
        </w:rPr>
        <w:t>התשע"ד</w:t>
      </w:r>
      <w:proofErr w:type="spellEnd"/>
      <w:r w:rsidRPr="00A75367">
        <w:rPr>
          <w:rFonts w:ascii="Tahoma" w:hAnsi="Tahoma" w:cs="Tahoma"/>
          <w:sz w:val="16"/>
          <w:szCs w:val="16"/>
          <w:rtl/>
        </w:rPr>
        <w:t xml:space="preserve"> - 2013, מ-27.1.14.</w:t>
      </w:r>
    </w:p>
  </w:footnote>
  <w:footnote w:id="16">
    <w:p w:rsidR="0055181B" w:rsidRPr="00A75367" w:rsidRDefault="0055181B" w:rsidP="00A75367">
      <w:pPr>
        <w:pStyle w:val="FootnoteText"/>
        <w:spacing w:after="60" w:line="312" w:lineRule="auto"/>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בדוח זה הכוונה לשכונות הערביות בלבד השוכנות בחלק המזרחי של ירושלים, ולא לשכונות היהודיות שנבנו לאחר מלחמת ששת הימים. ממסמכי תאגיד הגיחון מספטמבר 2018 עולה כי הפעילות שם מתבצעת באופן תקין וסדיר.</w:t>
      </w:r>
    </w:p>
  </w:footnote>
  <w:footnote w:id="17">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לצורך אומדן הנזק הכספי, הובאו בחשבון פחת הגבייה הממוצע המצטבר על פי נתוני גבייה רב-שנתיים, וכן פחת הגבייה הנורמטיבי שקבעה רשות המים, בשיעור 1.5%.</w:t>
      </w:r>
    </w:p>
  </w:footnote>
  <w:footnote w:id="18">
    <w:p w:rsidR="0055181B" w:rsidRPr="00A75367" w:rsidRDefault="0055181B" w:rsidP="00A75367">
      <w:pPr>
        <w:pStyle w:val="FootnoteText"/>
        <w:spacing w:after="60" w:line="312" w:lineRule="auto"/>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בעניין השכונות שמעבר לגדר ההפרדה, ראו להלן.</w:t>
      </w:r>
    </w:p>
  </w:footnote>
  <w:footnote w:id="19">
    <w:p w:rsidR="0055181B" w:rsidRPr="00A75367" w:rsidRDefault="0055181B" w:rsidP="00A75367">
      <w:pPr>
        <w:autoSpaceDE w:val="0"/>
        <w:autoSpaceDN w:val="0"/>
        <w:adjustRightInd w:val="0"/>
        <w:spacing w:after="60"/>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כללי</w:t>
      </w:r>
      <w:r w:rsidRPr="00A75367">
        <w:rPr>
          <w:rFonts w:ascii="Tahoma" w:hAnsi="Tahoma" w:cs="Tahoma"/>
          <w:sz w:val="16"/>
          <w:szCs w:val="16"/>
        </w:rPr>
        <w:t xml:space="preserve"> </w:t>
      </w:r>
      <w:r w:rsidRPr="00A75367">
        <w:rPr>
          <w:rFonts w:ascii="Tahoma" w:hAnsi="Tahoma" w:cs="Tahoma"/>
          <w:sz w:val="16"/>
          <w:szCs w:val="16"/>
          <w:rtl/>
        </w:rPr>
        <w:t>תאגידי</w:t>
      </w:r>
      <w:r w:rsidRPr="00A75367">
        <w:rPr>
          <w:rFonts w:ascii="Tahoma" w:hAnsi="Tahoma" w:cs="Tahoma"/>
          <w:sz w:val="16"/>
          <w:szCs w:val="16"/>
        </w:rPr>
        <w:t xml:space="preserve"> </w:t>
      </w:r>
      <w:r w:rsidRPr="00A75367">
        <w:rPr>
          <w:rFonts w:ascii="Tahoma" w:hAnsi="Tahoma" w:cs="Tahoma"/>
          <w:sz w:val="16"/>
          <w:szCs w:val="16"/>
          <w:rtl/>
        </w:rPr>
        <w:t>מים</w:t>
      </w:r>
      <w:r w:rsidRPr="00A75367">
        <w:rPr>
          <w:rFonts w:ascii="Tahoma" w:hAnsi="Tahoma" w:cs="Tahoma"/>
          <w:sz w:val="16"/>
          <w:szCs w:val="16"/>
        </w:rPr>
        <w:t xml:space="preserve"> </w:t>
      </w:r>
      <w:r w:rsidRPr="00A75367">
        <w:rPr>
          <w:rFonts w:ascii="Tahoma" w:hAnsi="Tahoma" w:cs="Tahoma"/>
          <w:sz w:val="16"/>
          <w:szCs w:val="16"/>
          <w:rtl/>
        </w:rPr>
        <w:t>וביוב (חישוב</w:t>
      </w:r>
      <w:r w:rsidRPr="00A75367">
        <w:rPr>
          <w:rFonts w:ascii="Tahoma" w:hAnsi="Tahoma" w:cs="Tahoma"/>
          <w:sz w:val="16"/>
          <w:szCs w:val="16"/>
        </w:rPr>
        <w:t xml:space="preserve"> </w:t>
      </w:r>
      <w:r w:rsidRPr="00A75367">
        <w:rPr>
          <w:rFonts w:ascii="Tahoma" w:hAnsi="Tahoma" w:cs="Tahoma"/>
          <w:sz w:val="16"/>
          <w:szCs w:val="16"/>
          <w:rtl/>
        </w:rPr>
        <w:t>עלות שירותי</w:t>
      </w:r>
      <w:r w:rsidRPr="00A75367">
        <w:rPr>
          <w:rFonts w:ascii="Tahoma" w:hAnsi="Tahoma" w:cs="Tahoma"/>
          <w:sz w:val="16"/>
          <w:szCs w:val="16"/>
        </w:rPr>
        <w:t xml:space="preserve"> </w:t>
      </w:r>
      <w:r w:rsidRPr="00A75367">
        <w:rPr>
          <w:rFonts w:ascii="Tahoma" w:hAnsi="Tahoma" w:cs="Tahoma"/>
          <w:sz w:val="16"/>
          <w:szCs w:val="16"/>
          <w:rtl/>
        </w:rPr>
        <w:t>מים</w:t>
      </w:r>
      <w:r w:rsidRPr="00A75367">
        <w:rPr>
          <w:rFonts w:ascii="Tahoma" w:hAnsi="Tahoma" w:cs="Tahoma"/>
          <w:sz w:val="16"/>
          <w:szCs w:val="16"/>
        </w:rPr>
        <w:t xml:space="preserve"> </w:t>
      </w:r>
      <w:r w:rsidRPr="00A75367">
        <w:rPr>
          <w:rFonts w:ascii="Tahoma" w:hAnsi="Tahoma" w:cs="Tahoma"/>
          <w:sz w:val="16"/>
          <w:szCs w:val="16"/>
          <w:rtl/>
        </w:rPr>
        <w:t>וביוב</w:t>
      </w:r>
      <w:r w:rsidRPr="00A75367">
        <w:rPr>
          <w:rFonts w:ascii="Tahoma" w:hAnsi="Tahoma" w:cs="Tahoma"/>
          <w:sz w:val="16"/>
          <w:szCs w:val="16"/>
        </w:rPr>
        <w:t xml:space="preserve"> </w:t>
      </w:r>
      <w:r w:rsidRPr="00A75367">
        <w:rPr>
          <w:rFonts w:ascii="Tahoma" w:hAnsi="Tahoma" w:cs="Tahoma"/>
          <w:sz w:val="16"/>
          <w:szCs w:val="16"/>
          <w:rtl/>
        </w:rPr>
        <w:t>והקמת</w:t>
      </w:r>
      <w:r w:rsidRPr="00A75367">
        <w:rPr>
          <w:rFonts w:ascii="Tahoma" w:hAnsi="Tahoma" w:cs="Tahoma"/>
          <w:sz w:val="16"/>
          <w:szCs w:val="16"/>
        </w:rPr>
        <w:t xml:space="preserve"> </w:t>
      </w:r>
      <w:r w:rsidRPr="00A75367">
        <w:rPr>
          <w:rFonts w:ascii="Tahoma" w:hAnsi="Tahoma" w:cs="Tahoma"/>
          <w:sz w:val="16"/>
          <w:szCs w:val="16"/>
          <w:rtl/>
        </w:rPr>
        <w:t>מערכת</w:t>
      </w:r>
      <w:r w:rsidRPr="00A75367">
        <w:rPr>
          <w:rFonts w:ascii="Tahoma" w:hAnsi="Tahoma" w:cs="Tahoma"/>
          <w:sz w:val="16"/>
          <w:szCs w:val="16"/>
        </w:rPr>
        <w:t xml:space="preserve"> </w:t>
      </w:r>
      <w:r w:rsidRPr="00A75367">
        <w:rPr>
          <w:rFonts w:ascii="Tahoma" w:hAnsi="Tahoma" w:cs="Tahoma"/>
          <w:sz w:val="16"/>
          <w:szCs w:val="16"/>
          <w:rtl/>
        </w:rPr>
        <w:t>מים</w:t>
      </w:r>
      <w:r w:rsidRPr="00A75367">
        <w:rPr>
          <w:rFonts w:ascii="Tahoma" w:hAnsi="Tahoma" w:cs="Tahoma"/>
          <w:sz w:val="16"/>
          <w:szCs w:val="16"/>
        </w:rPr>
        <w:t xml:space="preserve"> </w:t>
      </w:r>
      <w:r w:rsidRPr="00A75367">
        <w:rPr>
          <w:rFonts w:ascii="Tahoma" w:hAnsi="Tahoma" w:cs="Tahoma"/>
          <w:sz w:val="16"/>
          <w:szCs w:val="16"/>
          <w:rtl/>
        </w:rPr>
        <w:t>או</w:t>
      </w:r>
      <w:r w:rsidRPr="00A75367">
        <w:rPr>
          <w:rFonts w:ascii="Tahoma" w:hAnsi="Tahoma" w:cs="Tahoma"/>
          <w:sz w:val="16"/>
          <w:szCs w:val="16"/>
        </w:rPr>
        <w:t xml:space="preserve"> </w:t>
      </w:r>
      <w:r w:rsidRPr="00A75367">
        <w:rPr>
          <w:rFonts w:ascii="Tahoma" w:hAnsi="Tahoma" w:cs="Tahoma"/>
          <w:sz w:val="16"/>
          <w:szCs w:val="16"/>
          <w:rtl/>
        </w:rPr>
        <w:t>ביוב), התש"ע-2009.</w:t>
      </w:r>
      <w:r w:rsidRPr="00A75367">
        <w:rPr>
          <w:rFonts w:ascii="Tahoma" w:hAnsi="Tahoma" w:cs="Tahoma"/>
          <w:sz w:val="16"/>
          <w:szCs w:val="16"/>
        </w:rPr>
        <w:t xml:space="preserve"> </w:t>
      </w:r>
    </w:p>
  </w:footnote>
  <w:footnote w:id="20">
    <w:p w:rsidR="0055181B" w:rsidRPr="00A75367" w:rsidRDefault="0055181B" w:rsidP="00A75367">
      <w:pPr>
        <w:pStyle w:val="FootnoteText"/>
        <w:spacing w:after="60" w:line="312" w:lineRule="auto"/>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 xml:space="preserve">אורך הגדר כ-164 ק"מ והיא משתרעת מהר אדר בצפון ועד גוש עציון בדרום. ראו מבקר המדינה, </w:t>
      </w:r>
      <w:r w:rsidRPr="00A75367">
        <w:rPr>
          <w:rFonts w:ascii="Tahoma" w:hAnsi="Tahoma" w:cs="Tahoma"/>
          <w:b/>
          <w:bCs/>
          <w:sz w:val="16"/>
          <w:szCs w:val="16"/>
          <w:rtl/>
        </w:rPr>
        <w:t>דוח שנתי 59א</w:t>
      </w:r>
      <w:r w:rsidRPr="00A75367">
        <w:rPr>
          <w:rFonts w:ascii="Tahoma" w:hAnsi="Tahoma" w:cs="Tahoma"/>
          <w:sz w:val="16"/>
          <w:szCs w:val="16"/>
          <w:rtl/>
        </w:rPr>
        <w:t xml:space="preserve"> (2008), עמ' 67 - 92.</w:t>
      </w:r>
    </w:p>
  </w:footnote>
  <w:footnote w:id="21">
    <w:p w:rsidR="0055181B" w:rsidRPr="00A75367" w:rsidRDefault="0055181B" w:rsidP="00A75367">
      <w:pPr>
        <w:pStyle w:val="FootnoteText"/>
        <w:spacing w:after="60" w:line="312" w:lineRule="auto"/>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נכון לתעריף המים לרכישת המים לצורך אספקתם לשכונות מעבר לגדר לשנת 2015.</w:t>
      </w:r>
    </w:p>
  </w:footnote>
  <w:footnote w:id="22">
    <w:p w:rsidR="0055181B" w:rsidRPr="00A75367" w:rsidRDefault="0055181B" w:rsidP="00A75367">
      <w:pPr>
        <w:pStyle w:val="FootnoteText"/>
        <w:spacing w:after="60" w:line="312" w:lineRule="auto"/>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התקן אינו כולל את העובדים בשכר שעתי.</w:t>
      </w:r>
    </w:p>
  </w:footnote>
  <w:footnote w:id="23">
    <w:p w:rsidR="0055181B" w:rsidRPr="00A75367" w:rsidRDefault="0055181B" w:rsidP="00A75367">
      <w:pPr>
        <w:pStyle w:val="FootnoteText"/>
        <w:spacing w:after="60" w:line="312" w:lineRule="auto"/>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עובדי שירות הלקוחות במוקד.</w:t>
      </w:r>
    </w:p>
  </w:footnote>
  <w:footnote w:id="24">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שעות שמבוצעות בפועל מקוזזות ממכסת שעות הכוננות, והתשלום עבורן מבוצע בחישוב עבור שעות נוספות.</w:t>
      </w:r>
    </w:p>
  </w:footnote>
  <w:footnote w:id="25">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 xml:space="preserve">ראו מבקר המדינה, </w:t>
      </w:r>
      <w:r w:rsidRPr="00A75367">
        <w:rPr>
          <w:rFonts w:ascii="Tahoma" w:hAnsi="Tahoma" w:cs="Tahoma"/>
          <w:b/>
          <w:bCs/>
          <w:sz w:val="16"/>
          <w:szCs w:val="16"/>
          <w:rtl/>
        </w:rPr>
        <w:t>דוח שנתי 58ב</w:t>
      </w:r>
      <w:r w:rsidRPr="00A75367">
        <w:rPr>
          <w:rFonts w:ascii="Tahoma" w:hAnsi="Tahoma" w:cs="Tahoma"/>
          <w:sz w:val="16"/>
          <w:szCs w:val="16"/>
          <w:rtl/>
        </w:rPr>
        <w:t xml:space="preserve"> (2008), "כוננויות בשירות המדינה", עמ' 73 - 95.</w:t>
      </w:r>
    </w:p>
  </w:footnote>
  <w:footnote w:id="26">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על הקצאת שעות אלה קיבלו העובדים שכר.</w:t>
      </w:r>
    </w:p>
  </w:footnote>
  <w:footnote w:id="27">
    <w:p w:rsidR="0055181B" w:rsidRPr="00A75367" w:rsidRDefault="0055181B" w:rsidP="00A75367">
      <w:pPr>
        <w:autoSpaceDE w:val="0"/>
        <w:autoSpaceDN w:val="0"/>
        <w:adjustRightInd w:val="0"/>
        <w:spacing w:after="60"/>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קריאות פתע אלה קוזזו ממכסת הכוננות של העובד ושולמו כשעות נוספות.</w:t>
      </w:r>
    </w:p>
  </w:footnote>
  <w:footnote w:id="28">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בחישוב נכללו רק חודשים שבהם התשלום עבור שעות הכוננות היה גבוה מההקצאה.</w:t>
      </w:r>
    </w:p>
  </w:footnote>
  <w:footnote w:id="29">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לשמונה עובדים לא שולם עבור שעות כוננות בשנת 2018.</w:t>
      </w:r>
    </w:p>
  </w:footnote>
  <w:footnote w:id="30">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כאמור השעות בהן העובדים נקראים לשוב לעבודה, משולמות כשעות נוספות.</w:t>
      </w:r>
    </w:p>
  </w:footnote>
  <w:footnote w:id="31">
    <w:p w:rsidR="0055181B" w:rsidRPr="00A75367" w:rsidRDefault="0055181B" w:rsidP="00A75367">
      <w:pPr>
        <w:pStyle w:val="FootnoteText"/>
        <w:spacing w:after="60" w:line="312" w:lineRule="auto"/>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התפקיד הוא: מנהל תחום בינה עסקית.</w:t>
      </w:r>
    </w:p>
  </w:footnote>
  <w:footnote w:id="32">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ראו גם</w:t>
      </w:r>
      <w:r w:rsidRPr="00A75367">
        <w:rPr>
          <w:rFonts w:ascii="Tahoma" w:hAnsi="Tahoma" w:cs="Tahoma"/>
          <w:b/>
          <w:bCs/>
          <w:sz w:val="16"/>
          <w:szCs w:val="16"/>
          <w:rtl/>
        </w:rPr>
        <w:t xml:space="preserve"> דוח שנתי 58ב</w:t>
      </w:r>
      <w:r w:rsidRPr="00A75367">
        <w:rPr>
          <w:rFonts w:ascii="Tahoma" w:hAnsi="Tahoma" w:cs="Tahoma"/>
          <w:sz w:val="16"/>
          <w:szCs w:val="16"/>
          <w:rtl/>
        </w:rPr>
        <w:t xml:space="preserve"> (2008), "כוננויות בשירות המדינה", עמ' 73 - 95. </w:t>
      </w:r>
    </w:p>
  </w:footnote>
  <w:footnote w:id="33">
    <w:p w:rsidR="0055181B" w:rsidRPr="00A75367" w:rsidRDefault="0055181B" w:rsidP="00A75367">
      <w:pPr>
        <w:spacing w:after="60"/>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בשנת 2015 הייתה הפרדה בין ועדת המכרזים, שהורכבה מחברי דירקטוריון, לוועדה להגדלת התקשרויות, שבראשה עמד מנכ"ל התאגיד. מפברואר 2016 ועדת המכרזים של התאגיד מורכבת מהמנכ"ל ומכמה סמנכ"לים, ומטפלת גם בהגדלת התקשרויות.</w:t>
      </w:r>
    </w:p>
  </w:footnote>
  <w:footnote w:id="34">
    <w:p w:rsidR="0055181B" w:rsidRPr="00A75367" w:rsidRDefault="0055181B" w:rsidP="00A75367">
      <w:pPr>
        <w:pStyle w:val="FootnoteText"/>
        <w:spacing w:after="60" w:line="312" w:lineRule="auto"/>
        <w:ind w:left="397" w:hanging="397"/>
        <w:rPr>
          <w:rFonts w:ascii="Tahoma" w:hAnsi="Tahoma" w:cs="Tahoma"/>
          <w:sz w:val="16"/>
          <w:szCs w:val="16"/>
          <w:rtl/>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פריטים שלא נכללו בהסכם המקורי.</w:t>
      </w:r>
    </w:p>
  </w:footnote>
  <w:footnote w:id="35">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הספק נתן את השירות לתאגיד בהתקשרות קודמת מאוגוסט 2013.</w:t>
      </w:r>
    </w:p>
  </w:footnote>
  <w:footnote w:id="36">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לפי הנוהל, "אומדן גלוי" משמעותו פרסום מחירי היעד של השירות או הטובין במסמכי המכרז, והמציעים מתבקשים לציין הנחה מהמחיר או את התוספת באחוזים עליו; "אומדן חסוי" משמעותו שהמציעים נדרשים לתת הצעת מחיר בלי לדעת את מחיר היעד.</w:t>
      </w:r>
    </w:p>
  </w:footnote>
  <w:footnote w:id="37">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הממונה על התאגידים בדק התקשרות זו, ובאוגוסט 2017 פרסם דוח ביקורת (להלן - דוח הממונה). בדוח הממונה צוין כי מאז הקמת התאגיד ועד למועד אותה ביקורת הניח הגיחון תשתית צנרת קולחים לאורך כ-27 ק"מ בעלות מצטברת של כ-31 מיליון ש"ח, וכי החלק הארי של ההשקעות בוצע בשנים 2011 עד 2015.</w:t>
      </w:r>
    </w:p>
  </w:footnote>
  <w:footnote w:id="38">
    <w:p w:rsidR="0055181B" w:rsidRPr="00A75367" w:rsidRDefault="0055181B" w:rsidP="00A75367">
      <w:pPr>
        <w:pStyle w:val="FootnoteText"/>
        <w:spacing w:after="60" w:line="312" w:lineRule="auto"/>
        <w:ind w:left="397" w:hanging="397"/>
        <w:rPr>
          <w:rFonts w:ascii="Tahoma" w:hAnsi="Tahoma" w:cs="Tahoma"/>
          <w:sz w:val="16"/>
          <w:szCs w:val="16"/>
        </w:rPr>
      </w:pPr>
      <w:r w:rsidRPr="00A75367">
        <w:rPr>
          <w:rStyle w:val="FootnoteReference"/>
          <w:rFonts w:ascii="Tahoma" w:hAnsi="Tahoma" w:cs="Tahoma"/>
          <w:sz w:val="16"/>
          <w:szCs w:val="16"/>
          <w:vertAlign w:val="baseline"/>
        </w:rPr>
        <w:footnoteRef/>
      </w:r>
      <w:r w:rsidRPr="00A75367">
        <w:rPr>
          <w:rFonts w:ascii="Tahoma" w:hAnsi="Tahoma" w:cs="Tahoma"/>
          <w:sz w:val="16"/>
          <w:szCs w:val="16"/>
          <w:rtl/>
        </w:rPr>
        <w:t xml:space="preserve"> </w:t>
      </w:r>
      <w:r w:rsidRPr="00A75367">
        <w:rPr>
          <w:rFonts w:ascii="Tahoma" w:hAnsi="Tahoma" w:cs="Tahoma"/>
          <w:sz w:val="16"/>
          <w:szCs w:val="16"/>
          <w:rtl/>
        </w:rPr>
        <w:tab/>
        <w:t xml:space="preserve">כמות המים השפירים עולה על קיבולת </w:t>
      </w:r>
      <w:proofErr w:type="spellStart"/>
      <w:r w:rsidRPr="00A75367">
        <w:rPr>
          <w:rFonts w:ascii="Tahoma" w:hAnsi="Tahoma" w:cs="Tahoma"/>
          <w:sz w:val="16"/>
          <w:szCs w:val="16"/>
          <w:rtl/>
        </w:rPr>
        <w:t>המט"ש</w:t>
      </w:r>
      <w:proofErr w:type="spellEnd"/>
      <w:r w:rsidRPr="00A75367">
        <w:rPr>
          <w:rFonts w:ascii="Tahoma" w:hAnsi="Tahoma" w:cs="Tahoma"/>
          <w:sz w:val="16"/>
          <w:szCs w:val="16"/>
          <w:rtl/>
        </w:rPr>
        <w:t>, כך שלא ניתן להחליף את כל כמות המים השפירים לגינון ציבורי במי קולחים, אלא רק בחלקה. בחישוב נלקחה בחשבון כמות המים השפירים שניתן היה להחליפם במי קולחים.</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1B" w:rsidRDefault="0055181B" w:rsidP="00CC74ED">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59776" behindDoc="1" locked="0" layoutInCell="1" allowOverlap="1" wp14:anchorId="4A596574" wp14:editId="6296010F">
          <wp:simplePos x="0" y="0"/>
          <wp:positionH relativeFrom="column">
            <wp:posOffset>-635</wp:posOffset>
          </wp:positionH>
          <wp:positionV relativeFrom="paragraph">
            <wp:posOffset>-81915</wp:posOffset>
          </wp:positionV>
          <wp:extent cx="5219700" cy="309245"/>
          <wp:effectExtent l="0" t="0" r="0" b="0"/>
          <wp:wrapNone/>
          <wp:docPr id="18"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B07FC1">
      <w:rPr>
        <w:noProof/>
        <w:rtl/>
      </w:rPr>
      <w:t>873</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1B" w:rsidRPr="00AF3713" w:rsidRDefault="0055181B" w:rsidP="00AF3713">
    <w:pPr>
      <w:pStyle w:val="Header"/>
      <w:rPr>
        <w:szCs w:val="20"/>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81B" w:rsidRPr="00134632" w:rsidRDefault="0055181B" w:rsidP="001346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36125"/>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1">
    <w:nsid w:val="1B5258AD"/>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2">
    <w:nsid w:val="3BC1088C"/>
    <w:multiLevelType w:val="multilevel"/>
    <w:tmpl w:val="65C848A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468531F0"/>
    <w:multiLevelType w:val="hybridMultilevel"/>
    <w:tmpl w:val="C404811C"/>
    <w:lvl w:ilvl="0" w:tplc="705E2C1E">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
    <w:nsid w:val="4991073E"/>
    <w:multiLevelType w:val="hybridMultilevel"/>
    <w:tmpl w:val="B6F41DD4"/>
    <w:lvl w:ilvl="0" w:tplc="6750FB70">
      <w:start w:val="1"/>
      <w:numFmt w:val="decimal"/>
      <w:lvlText w:val="%1."/>
      <w:lvlJc w:val="left"/>
      <w:pPr>
        <w:ind w:left="672" w:hanging="360"/>
      </w:pPr>
      <w:rPr>
        <w:rFonts w:hint="default"/>
        <w:b/>
        <w:bCs w:val="0"/>
        <w:color w:val="auto"/>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5">
    <w:nsid w:val="4B4A1D09"/>
    <w:multiLevelType w:val="hybridMultilevel"/>
    <w:tmpl w:val="4AA2BB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3113D87"/>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7">
    <w:nsid w:val="63FF7159"/>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num w:numId="1">
    <w:abstractNumId w:val="6"/>
  </w:num>
  <w:num w:numId="2">
    <w:abstractNumId w:val="7"/>
  </w:num>
  <w:num w:numId="3">
    <w:abstractNumId w:val="3"/>
  </w:num>
  <w:num w:numId="4">
    <w:abstractNumId w:val="0"/>
  </w:num>
  <w:num w:numId="5">
    <w:abstractNumId w:val="4"/>
  </w:num>
  <w:num w:numId="6">
    <w:abstractNumId w:val="1"/>
  </w:num>
  <w:num w:numId="7">
    <w:abstractNumId w:val="5"/>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17586"/>
    <w:rsid w:val="000206F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1F2A"/>
    <w:rsid w:val="00042688"/>
    <w:rsid w:val="00042837"/>
    <w:rsid w:val="00043204"/>
    <w:rsid w:val="00043931"/>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2B83"/>
    <w:rsid w:val="00072FE8"/>
    <w:rsid w:val="000736B3"/>
    <w:rsid w:val="0007429C"/>
    <w:rsid w:val="00076758"/>
    <w:rsid w:val="0007717F"/>
    <w:rsid w:val="0007762A"/>
    <w:rsid w:val="00080072"/>
    <w:rsid w:val="00081D0E"/>
    <w:rsid w:val="0008345D"/>
    <w:rsid w:val="00084E3A"/>
    <w:rsid w:val="00086BCD"/>
    <w:rsid w:val="00091A7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056E"/>
    <w:rsid w:val="000E1FBD"/>
    <w:rsid w:val="000E23EA"/>
    <w:rsid w:val="000E2715"/>
    <w:rsid w:val="000E2B2C"/>
    <w:rsid w:val="000E3022"/>
    <w:rsid w:val="000E3D52"/>
    <w:rsid w:val="000E44FD"/>
    <w:rsid w:val="000E5149"/>
    <w:rsid w:val="000E5834"/>
    <w:rsid w:val="000F158C"/>
    <w:rsid w:val="000F1DEA"/>
    <w:rsid w:val="000F2408"/>
    <w:rsid w:val="000F3700"/>
    <w:rsid w:val="000F76A8"/>
    <w:rsid w:val="000F7725"/>
    <w:rsid w:val="00101681"/>
    <w:rsid w:val="00101BB0"/>
    <w:rsid w:val="00101D0F"/>
    <w:rsid w:val="00105970"/>
    <w:rsid w:val="00107175"/>
    <w:rsid w:val="00107A35"/>
    <w:rsid w:val="001105DE"/>
    <w:rsid w:val="00111F8A"/>
    <w:rsid w:val="00112E28"/>
    <w:rsid w:val="00113C2F"/>
    <w:rsid w:val="00113E28"/>
    <w:rsid w:val="00114325"/>
    <w:rsid w:val="00115432"/>
    <w:rsid w:val="001157CE"/>
    <w:rsid w:val="00115E66"/>
    <w:rsid w:val="001172DF"/>
    <w:rsid w:val="0012279D"/>
    <w:rsid w:val="001239A8"/>
    <w:rsid w:val="00124DC1"/>
    <w:rsid w:val="00134632"/>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69AD"/>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F16"/>
    <w:rsid w:val="00193071"/>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D1192"/>
    <w:rsid w:val="001D223A"/>
    <w:rsid w:val="001D2793"/>
    <w:rsid w:val="001D2F2A"/>
    <w:rsid w:val="001D3679"/>
    <w:rsid w:val="001D3CC2"/>
    <w:rsid w:val="001D461F"/>
    <w:rsid w:val="001D693D"/>
    <w:rsid w:val="001D77E6"/>
    <w:rsid w:val="001E0D0D"/>
    <w:rsid w:val="001E1C40"/>
    <w:rsid w:val="001E1EC3"/>
    <w:rsid w:val="001E1FB9"/>
    <w:rsid w:val="001E1FD1"/>
    <w:rsid w:val="001E23E2"/>
    <w:rsid w:val="001E3778"/>
    <w:rsid w:val="001E3F7F"/>
    <w:rsid w:val="001E475C"/>
    <w:rsid w:val="001E773D"/>
    <w:rsid w:val="001F068F"/>
    <w:rsid w:val="001F407D"/>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60D04"/>
    <w:rsid w:val="00261C84"/>
    <w:rsid w:val="00263521"/>
    <w:rsid w:val="002674A0"/>
    <w:rsid w:val="0027121E"/>
    <w:rsid w:val="0027188F"/>
    <w:rsid w:val="002739B2"/>
    <w:rsid w:val="00275A79"/>
    <w:rsid w:val="002813A0"/>
    <w:rsid w:val="002841CB"/>
    <w:rsid w:val="00284ABA"/>
    <w:rsid w:val="0028686C"/>
    <w:rsid w:val="0028694C"/>
    <w:rsid w:val="00292A58"/>
    <w:rsid w:val="00293FC3"/>
    <w:rsid w:val="00294784"/>
    <w:rsid w:val="00294AF0"/>
    <w:rsid w:val="00296A9F"/>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637F"/>
    <w:rsid w:val="002B65DC"/>
    <w:rsid w:val="002C1EE0"/>
    <w:rsid w:val="002C28D3"/>
    <w:rsid w:val="002C2927"/>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4ED"/>
    <w:rsid w:val="002E6B3E"/>
    <w:rsid w:val="002E707E"/>
    <w:rsid w:val="002E70B8"/>
    <w:rsid w:val="002F11D2"/>
    <w:rsid w:val="002F1610"/>
    <w:rsid w:val="002F2019"/>
    <w:rsid w:val="002F24F0"/>
    <w:rsid w:val="002F29CA"/>
    <w:rsid w:val="002F42B0"/>
    <w:rsid w:val="002F5163"/>
    <w:rsid w:val="002F5A80"/>
    <w:rsid w:val="002F5B51"/>
    <w:rsid w:val="002F6FA5"/>
    <w:rsid w:val="002F724D"/>
    <w:rsid w:val="002F7529"/>
    <w:rsid w:val="0030043A"/>
    <w:rsid w:val="00301153"/>
    <w:rsid w:val="003020D6"/>
    <w:rsid w:val="00302DC7"/>
    <w:rsid w:val="0030338B"/>
    <w:rsid w:val="00304E57"/>
    <w:rsid w:val="003050D0"/>
    <w:rsid w:val="003067B1"/>
    <w:rsid w:val="00307A51"/>
    <w:rsid w:val="003108E3"/>
    <w:rsid w:val="00311190"/>
    <w:rsid w:val="00313D58"/>
    <w:rsid w:val="00313EEC"/>
    <w:rsid w:val="00315624"/>
    <w:rsid w:val="00315BD6"/>
    <w:rsid w:val="00315FF2"/>
    <w:rsid w:val="00316C57"/>
    <w:rsid w:val="003177E2"/>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6AD"/>
    <w:rsid w:val="00375AE4"/>
    <w:rsid w:val="00375C87"/>
    <w:rsid w:val="00376061"/>
    <w:rsid w:val="00376625"/>
    <w:rsid w:val="0037752E"/>
    <w:rsid w:val="0037753E"/>
    <w:rsid w:val="00377B33"/>
    <w:rsid w:val="00380052"/>
    <w:rsid w:val="003806AE"/>
    <w:rsid w:val="00382741"/>
    <w:rsid w:val="00382981"/>
    <w:rsid w:val="0038310C"/>
    <w:rsid w:val="003839AA"/>
    <w:rsid w:val="003843E4"/>
    <w:rsid w:val="00385CBB"/>
    <w:rsid w:val="003907CF"/>
    <w:rsid w:val="00391943"/>
    <w:rsid w:val="00391C4F"/>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71E3"/>
    <w:rsid w:val="003C1622"/>
    <w:rsid w:val="003C26AC"/>
    <w:rsid w:val="003C2EC6"/>
    <w:rsid w:val="003C3358"/>
    <w:rsid w:val="003C4F30"/>
    <w:rsid w:val="003C5BB1"/>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2B3"/>
    <w:rsid w:val="003F06E0"/>
    <w:rsid w:val="003F0C61"/>
    <w:rsid w:val="003F0D90"/>
    <w:rsid w:val="003F0E51"/>
    <w:rsid w:val="003F2708"/>
    <w:rsid w:val="003F316F"/>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70C5"/>
    <w:rsid w:val="00451A68"/>
    <w:rsid w:val="00451AA2"/>
    <w:rsid w:val="00451E5C"/>
    <w:rsid w:val="0045209D"/>
    <w:rsid w:val="00452950"/>
    <w:rsid w:val="004547C8"/>
    <w:rsid w:val="00456AD9"/>
    <w:rsid w:val="00460179"/>
    <w:rsid w:val="00462348"/>
    <w:rsid w:val="00463683"/>
    <w:rsid w:val="00464D56"/>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6EB1"/>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07539"/>
    <w:rsid w:val="00510184"/>
    <w:rsid w:val="00510973"/>
    <w:rsid w:val="00510D89"/>
    <w:rsid w:val="00511F6D"/>
    <w:rsid w:val="0051326F"/>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81B"/>
    <w:rsid w:val="00551B42"/>
    <w:rsid w:val="00551DB7"/>
    <w:rsid w:val="00554AAD"/>
    <w:rsid w:val="005554C5"/>
    <w:rsid w:val="005559D1"/>
    <w:rsid w:val="00555D63"/>
    <w:rsid w:val="005565B2"/>
    <w:rsid w:val="00556F6F"/>
    <w:rsid w:val="00557296"/>
    <w:rsid w:val="005608B2"/>
    <w:rsid w:val="00560A43"/>
    <w:rsid w:val="00561000"/>
    <w:rsid w:val="00561F9F"/>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D44"/>
    <w:rsid w:val="0059614A"/>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14A0"/>
    <w:rsid w:val="005C198B"/>
    <w:rsid w:val="005C438E"/>
    <w:rsid w:val="005C43F3"/>
    <w:rsid w:val="005C62D9"/>
    <w:rsid w:val="005D00DB"/>
    <w:rsid w:val="005D07D2"/>
    <w:rsid w:val="005D293C"/>
    <w:rsid w:val="005D30B8"/>
    <w:rsid w:val="005D48FE"/>
    <w:rsid w:val="005D5EAC"/>
    <w:rsid w:val="005D66B0"/>
    <w:rsid w:val="005D6C63"/>
    <w:rsid w:val="005D7598"/>
    <w:rsid w:val="005E1528"/>
    <w:rsid w:val="005E2189"/>
    <w:rsid w:val="005E2A5A"/>
    <w:rsid w:val="005E2C15"/>
    <w:rsid w:val="005E46DC"/>
    <w:rsid w:val="005E4C95"/>
    <w:rsid w:val="005F00DC"/>
    <w:rsid w:val="005F0B3C"/>
    <w:rsid w:val="005F0E3E"/>
    <w:rsid w:val="005F27EF"/>
    <w:rsid w:val="005F3AEF"/>
    <w:rsid w:val="005F492A"/>
    <w:rsid w:val="005F49D2"/>
    <w:rsid w:val="005F4CED"/>
    <w:rsid w:val="005F5352"/>
    <w:rsid w:val="005F5527"/>
    <w:rsid w:val="005F6F91"/>
    <w:rsid w:val="00600F74"/>
    <w:rsid w:val="00603ABE"/>
    <w:rsid w:val="00603F1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4E5"/>
    <w:rsid w:val="00683A28"/>
    <w:rsid w:val="00684DEA"/>
    <w:rsid w:val="006854F2"/>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5363"/>
    <w:rsid w:val="006B56D9"/>
    <w:rsid w:val="006B709C"/>
    <w:rsid w:val="006C01B3"/>
    <w:rsid w:val="006C0671"/>
    <w:rsid w:val="006C1ABF"/>
    <w:rsid w:val="006C1BD3"/>
    <w:rsid w:val="006C1C44"/>
    <w:rsid w:val="006C1C92"/>
    <w:rsid w:val="006C34ED"/>
    <w:rsid w:val="006C3B12"/>
    <w:rsid w:val="006C3D2D"/>
    <w:rsid w:val="006C4D54"/>
    <w:rsid w:val="006C7199"/>
    <w:rsid w:val="006D04D2"/>
    <w:rsid w:val="006D280F"/>
    <w:rsid w:val="006D383A"/>
    <w:rsid w:val="006D4161"/>
    <w:rsid w:val="006D6131"/>
    <w:rsid w:val="006D66B2"/>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10AF8"/>
    <w:rsid w:val="00710BF9"/>
    <w:rsid w:val="00710F65"/>
    <w:rsid w:val="0071327A"/>
    <w:rsid w:val="00713714"/>
    <w:rsid w:val="0071397B"/>
    <w:rsid w:val="007139D1"/>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2EB5"/>
    <w:rsid w:val="0073326F"/>
    <w:rsid w:val="007343B1"/>
    <w:rsid w:val="00734516"/>
    <w:rsid w:val="00735043"/>
    <w:rsid w:val="00736983"/>
    <w:rsid w:val="00740C3E"/>
    <w:rsid w:val="0074450C"/>
    <w:rsid w:val="00744632"/>
    <w:rsid w:val="007452B3"/>
    <w:rsid w:val="0074683C"/>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4F53"/>
    <w:rsid w:val="00786364"/>
    <w:rsid w:val="00787591"/>
    <w:rsid w:val="00787AC0"/>
    <w:rsid w:val="007900AC"/>
    <w:rsid w:val="00791581"/>
    <w:rsid w:val="00792B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AD"/>
    <w:rsid w:val="0081297F"/>
    <w:rsid w:val="008168F8"/>
    <w:rsid w:val="00820393"/>
    <w:rsid w:val="0082350D"/>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4BA5"/>
    <w:rsid w:val="008565BC"/>
    <w:rsid w:val="00856648"/>
    <w:rsid w:val="00856A67"/>
    <w:rsid w:val="00857D59"/>
    <w:rsid w:val="00861731"/>
    <w:rsid w:val="0086190F"/>
    <w:rsid w:val="00864147"/>
    <w:rsid w:val="0086437F"/>
    <w:rsid w:val="00867FC5"/>
    <w:rsid w:val="008711F1"/>
    <w:rsid w:val="00871B57"/>
    <w:rsid w:val="00871E21"/>
    <w:rsid w:val="008747C9"/>
    <w:rsid w:val="00875402"/>
    <w:rsid w:val="00875858"/>
    <w:rsid w:val="00877E88"/>
    <w:rsid w:val="0088002F"/>
    <w:rsid w:val="008802A2"/>
    <w:rsid w:val="00881072"/>
    <w:rsid w:val="008816A3"/>
    <w:rsid w:val="008829F7"/>
    <w:rsid w:val="00882E18"/>
    <w:rsid w:val="00883B3B"/>
    <w:rsid w:val="00884B09"/>
    <w:rsid w:val="00885345"/>
    <w:rsid w:val="00885469"/>
    <w:rsid w:val="008864D1"/>
    <w:rsid w:val="008865D6"/>
    <w:rsid w:val="008866DF"/>
    <w:rsid w:val="00886AEF"/>
    <w:rsid w:val="00887178"/>
    <w:rsid w:val="0088747B"/>
    <w:rsid w:val="008879D3"/>
    <w:rsid w:val="00890D9C"/>
    <w:rsid w:val="00892F80"/>
    <w:rsid w:val="00893A03"/>
    <w:rsid w:val="00894E27"/>
    <w:rsid w:val="00895566"/>
    <w:rsid w:val="00895CB8"/>
    <w:rsid w:val="0089661E"/>
    <w:rsid w:val="00897D19"/>
    <w:rsid w:val="00897F55"/>
    <w:rsid w:val="008A0D84"/>
    <w:rsid w:val="008A14DB"/>
    <w:rsid w:val="008A1A62"/>
    <w:rsid w:val="008A1D01"/>
    <w:rsid w:val="008A1FFE"/>
    <w:rsid w:val="008A2C51"/>
    <w:rsid w:val="008A328B"/>
    <w:rsid w:val="008A342D"/>
    <w:rsid w:val="008A5963"/>
    <w:rsid w:val="008A5ABF"/>
    <w:rsid w:val="008B0887"/>
    <w:rsid w:val="008B17A0"/>
    <w:rsid w:val="008B22B0"/>
    <w:rsid w:val="008B2C01"/>
    <w:rsid w:val="008B31F7"/>
    <w:rsid w:val="008B33C0"/>
    <w:rsid w:val="008B3869"/>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0C9"/>
    <w:rsid w:val="008E4F24"/>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57950"/>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74A8"/>
    <w:rsid w:val="009A0A09"/>
    <w:rsid w:val="009A245B"/>
    <w:rsid w:val="009A2516"/>
    <w:rsid w:val="009A2FAA"/>
    <w:rsid w:val="009B18D7"/>
    <w:rsid w:val="009B23EE"/>
    <w:rsid w:val="009B3610"/>
    <w:rsid w:val="009B37D3"/>
    <w:rsid w:val="009B4C61"/>
    <w:rsid w:val="009B4CE0"/>
    <w:rsid w:val="009B54CF"/>
    <w:rsid w:val="009B5A8C"/>
    <w:rsid w:val="009B5C74"/>
    <w:rsid w:val="009B6B5C"/>
    <w:rsid w:val="009C01B9"/>
    <w:rsid w:val="009C0342"/>
    <w:rsid w:val="009C0408"/>
    <w:rsid w:val="009C161A"/>
    <w:rsid w:val="009C4088"/>
    <w:rsid w:val="009C7BBD"/>
    <w:rsid w:val="009C7FE0"/>
    <w:rsid w:val="009D05CC"/>
    <w:rsid w:val="009D09AE"/>
    <w:rsid w:val="009D2A1F"/>
    <w:rsid w:val="009D2BAC"/>
    <w:rsid w:val="009D55EE"/>
    <w:rsid w:val="009D5970"/>
    <w:rsid w:val="009D5C32"/>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F2B"/>
    <w:rsid w:val="00A0001D"/>
    <w:rsid w:val="00A0119C"/>
    <w:rsid w:val="00A03332"/>
    <w:rsid w:val="00A0541B"/>
    <w:rsid w:val="00A06208"/>
    <w:rsid w:val="00A0628B"/>
    <w:rsid w:val="00A1016F"/>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168A"/>
    <w:rsid w:val="00A31CD2"/>
    <w:rsid w:val="00A32EFA"/>
    <w:rsid w:val="00A35D28"/>
    <w:rsid w:val="00A35E53"/>
    <w:rsid w:val="00A3635F"/>
    <w:rsid w:val="00A36941"/>
    <w:rsid w:val="00A37995"/>
    <w:rsid w:val="00A41A4E"/>
    <w:rsid w:val="00A41F06"/>
    <w:rsid w:val="00A42621"/>
    <w:rsid w:val="00A436D2"/>
    <w:rsid w:val="00A43752"/>
    <w:rsid w:val="00A443B8"/>
    <w:rsid w:val="00A452B2"/>
    <w:rsid w:val="00A454E3"/>
    <w:rsid w:val="00A463F3"/>
    <w:rsid w:val="00A50258"/>
    <w:rsid w:val="00A51149"/>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49FD"/>
    <w:rsid w:val="00A74B8A"/>
    <w:rsid w:val="00A74C77"/>
    <w:rsid w:val="00A7536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5CDC"/>
    <w:rsid w:val="00AA6669"/>
    <w:rsid w:val="00AA690A"/>
    <w:rsid w:val="00AA6AB3"/>
    <w:rsid w:val="00AA6D26"/>
    <w:rsid w:val="00AB0541"/>
    <w:rsid w:val="00AB09EE"/>
    <w:rsid w:val="00AB2400"/>
    <w:rsid w:val="00AB5377"/>
    <w:rsid w:val="00AB5B77"/>
    <w:rsid w:val="00AB7D08"/>
    <w:rsid w:val="00AC0B81"/>
    <w:rsid w:val="00AC3506"/>
    <w:rsid w:val="00AC387E"/>
    <w:rsid w:val="00AC4DD2"/>
    <w:rsid w:val="00AC5BDF"/>
    <w:rsid w:val="00AC6903"/>
    <w:rsid w:val="00AC6B95"/>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713"/>
    <w:rsid w:val="00AF39DC"/>
    <w:rsid w:val="00AF3FE3"/>
    <w:rsid w:val="00AF4A53"/>
    <w:rsid w:val="00AF52DC"/>
    <w:rsid w:val="00AF6305"/>
    <w:rsid w:val="00AF6A68"/>
    <w:rsid w:val="00B008DF"/>
    <w:rsid w:val="00B00E5C"/>
    <w:rsid w:val="00B0131B"/>
    <w:rsid w:val="00B01819"/>
    <w:rsid w:val="00B022D8"/>
    <w:rsid w:val="00B02540"/>
    <w:rsid w:val="00B04DC3"/>
    <w:rsid w:val="00B0529B"/>
    <w:rsid w:val="00B07FC1"/>
    <w:rsid w:val="00B1077D"/>
    <w:rsid w:val="00B11176"/>
    <w:rsid w:val="00B13CB1"/>
    <w:rsid w:val="00B167CE"/>
    <w:rsid w:val="00B16B62"/>
    <w:rsid w:val="00B17A2E"/>
    <w:rsid w:val="00B20292"/>
    <w:rsid w:val="00B206B1"/>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315F"/>
    <w:rsid w:val="00BB5036"/>
    <w:rsid w:val="00BB6888"/>
    <w:rsid w:val="00BB6EFD"/>
    <w:rsid w:val="00BB7AE0"/>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0CA"/>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2E70"/>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1EE6"/>
    <w:rsid w:val="00C544CC"/>
    <w:rsid w:val="00C55114"/>
    <w:rsid w:val="00C57198"/>
    <w:rsid w:val="00C578CE"/>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6F1D"/>
    <w:rsid w:val="00C974ED"/>
    <w:rsid w:val="00C97A8D"/>
    <w:rsid w:val="00CA04C0"/>
    <w:rsid w:val="00CA4064"/>
    <w:rsid w:val="00CA41D2"/>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4288"/>
    <w:rsid w:val="00CC54B1"/>
    <w:rsid w:val="00CC74ED"/>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5CC"/>
    <w:rsid w:val="00D028B3"/>
    <w:rsid w:val="00D06218"/>
    <w:rsid w:val="00D10566"/>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57ED"/>
    <w:rsid w:val="00D46D32"/>
    <w:rsid w:val="00D47DBB"/>
    <w:rsid w:val="00D51C50"/>
    <w:rsid w:val="00D5266D"/>
    <w:rsid w:val="00D52BBA"/>
    <w:rsid w:val="00D54AEA"/>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126"/>
    <w:rsid w:val="00D67C66"/>
    <w:rsid w:val="00D67E37"/>
    <w:rsid w:val="00D705C5"/>
    <w:rsid w:val="00D706C6"/>
    <w:rsid w:val="00D7140E"/>
    <w:rsid w:val="00D726CE"/>
    <w:rsid w:val="00D73943"/>
    <w:rsid w:val="00D74912"/>
    <w:rsid w:val="00D75805"/>
    <w:rsid w:val="00D779F7"/>
    <w:rsid w:val="00D806A2"/>
    <w:rsid w:val="00D82F54"/>
    <w:rsid w:val="00D83026"/>
    <w:rsid w:val="00D83045"/>
    <w:rsid w:val="00D8411C"/>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42A4"/>
    <w:rsid w:val="00DC42EA"/>
    <w:rsid w:val="00DC693E"/>
    <w:rsid w:val="00DD0C3F"/>
    <w:rsid w:val="00DD1F41"/>
    <w:rsid w:val="00DD26A5"/>
    <w:rsid w:val="00DD26CC"/>
    <w:rsid w:val="00DD3766"/>
    <w:rsid w:val="00DD5C21"/>
    <w:rsid w:val="00DD6DE7"/>
    <w:rsid w:val="00DD71D6"/>
    <w:rsid w:val="00DD73A8"/>
    <w:rsid w:val="00DD7687"/>
    <w:rsid w:val="00DE08C3"/>
    <w:rsid w:val="00DE094A"/>
    <w:rsid w:val="00DE1DAB"/>
    <w:rsid w:val="00DE20A2"/>
    <w:rsid w:val="00DE261E"/>
    <w:rsid w:val="00DE269D"/>
    <w:rsid w:val="00DE52B7"/>
    <w:rsid w:val="00DE6636"/>
    <w:rsid w:val="00DE6C5F"/>
    <w:rsid w:val="00DF0B89"/>
    <w:rsid w:val="00DF131B"/>
    <w:rsid w:val="00DF164A"/>
    <w:rsid w:val="00DF353C"/>
    <w:rsid w:val="00DF3DF8"/>
    <w:rsid w:val="00DF46B7"/>
    <w:rsid w:val="00DF73B6"/>
    <w:rsid w:val="00DF781C"/>
    <w:rsid w:val="00E00398"/>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47520"/>
    <w:rsid w:val="00E50223"/>
    <w:rsid w:val="00E50F61"/>
    <w:rsid w:val="00E51C1B"/>
    <w:rsid w:val="00E53353"/>
    <w:rsid w:val="00E53C45"/>
    <w:rsid w:val="00E53CE0"/>
    <w:rsid w:val="00E53DA7"/>
    <w:rsid w:val="00E55DB0"/>
    <w:rsid w:val="00E567E7"/>
    <w:rsid w:val="00E577EC"/>
    <w:rsid w:val="00E57C4D"/>
    <w:rsid w:val="00E602BD"/>
    <w:rsid w:val="00E62337"/>
    <w:rsid w:val="00E62809"/>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2CAF"/>
    <w:rsid w:val="00E82CEF"/>
    <w:rsid w:val="00E83A79"/>
    <w:rsid w:val="00E83DCE"/>
    <w:rsid w:val="00E842A8"/>
    <w:rsid w:val="00E84360"/>
    <w:rsid w:val="00E84E89"/>
    <w:rsid w:val="00E870BF"/>
    <w:rsid w:val="00E871BC"/>
    <w:rsid w:val="00E90229"/>
    <w:rsid w:val="00E91899"/>
    <w:rsid w:val="00E92268"/>
    <w:rsid w:val="00E92604"/>
    <w:rsid w:val="00E942AE"/>
    <w:rsid w:val="00E96274"/>
    <w:rsid w:val="00E96D36"/>
    <w:rsid w:val="00E974B7"/>
    <w:rsid w:val="00E97DD3"/>
    <w:rsid w:val="00EA00A6"/>
    <w:rsid w:val="00EA0977"/>
    <w:rsid w:val="00EA1489"/>
    <w:rsid w:val="00EA1A6D"/>
    <w:rsid w:val="00EA335A"/>
    <w:rsid w:val="00EA3D63"/>
    <w:rsid w:val="00EA55C1"/>
    <w:rsid w:val="00EA6854"/>
    <w:rsid w:val="00EB0AA6"/>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2215"/>
    <w:rsid w:val="00EF2F02"/>
    <w:rsid w:val="00EF3B49"/>
    <w:rsid w:val="00EF45CF"/>
    <w:rsid w:val="00EF4B52"/>
    <w:rsid w:val="00EF5CDA"/>
    <w:rsid w:val="00EF70BA"/>
    <w:rsid w:val="00F013CB"/>
    <w:rsid w:val="00F0267C"/>
    <w:rsid w:val="00F03379"/>
    <w:rsid w:val="00F0345E"/>
    <w:rsid w:val="00F03FC4"/>
    <w:rsid w:val="00F05790"/>
    <w:rsid w:val="00F06960"/>
    <w:rsid w:val="00F106E4"/>
    <w:rsid w:val="00F1171C"/>
    <w:rsid w:val="00F119FB"/>
    <w:rsid w:val="00F145D4"/>
    <w:rsid w:val="00F14AEC"/>
    <w:rsid w:val="00F16210"/>
    <w:rsid w:val="00F164D5"/>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3A3D"/>
    <w:rsid w:val="00F94C16"/>
    <w:rsid w:val="00F94D3F"/>
    <w:rsid w:val="00F9689E"/>
    <w:rsid w:val="00FA066D"/>
    <w:rsid w:val="00FA1126"/>
    <w:rsid w:val="00FA242E"/>
    <w:rsid w:val="00FA24F3"/>
    <w:rsid w:val="00FA42BC"/>
    <w:rsid w:val="00FA4635"/>
    <w:rsid w:val="00FA509C"/>
    <w:rsid w:val="00FA5FCE"/>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E1D"/>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304D"/>
    <w:rsid w:val="00FF5813"/>
    <w:rsid w:val="00FF5E54"/>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Date"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nhideWhenUsed/>
    <w:rsid w:val="000501A4"/>
    <w:pPr>
      <w:spacing w:before="120" w:line="240" w:lineRule="auto"/>
    </w:pPr>
  </w:style>
  <w:style w:type="character" w:customStyle="1" w:styleId="DateChar">
    <w:name w:val="Date Char"/>
    <w:basedOn w:val="DefaultParagraphFont"/>
    <w:link w:val="Date"/>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AF3713"/>
    <w:pPr>
      <w:tabs>
        <w:tab w:val="right" w:leader="dot" w:pos="8210"/>
      </w:tabs>
      <w:spacing w:after="100"/>
    </w:pPr>
    <w:rPr>
      <w:rFonts w:ascii="Tahoma" w:hAnsi="Tahoma" w:cs="Tahoma"/>
      <w:noProof/>
      <w:szCs w:val="20"/>
    </w:r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paragraph" w:styleId="TOCHeading">
    <w:name w:val="TOC Heading"/>
    <w:basedOn w:val="Heading1"/>
    <w:next w:val="Normal"/>
    <w:uiPriority w:val="39"/>
    <w:unhideWhenUsed/>
    <w:qFormat/>
    <w:rsid w:val="00A75367"/>
    <w:pPr>
      <w:spacing w:before="480"/>
      <w:jc w:val="both"/>
      <w:outlineLvl w:val="9"/>
    </w:pPr>
    <w:rPr>
      <w:rFonts w:asciiTheme="majorHAnsi" w:hAnsiTheme="majorHAnsi" w:cstheme="majorBidi"/>
      <w:b/>
      <w:color w:val="365F91" w:themeColor="accent1" w:themeShade="BF"/>
      <w:sz w:val="28"/>
      <w:szCs w:val="28"/>
      <w:u w:val="none"/>
    </w:rPr>
  </w:style>
  <w:style w:type="character" w:customStyle="1" w:styleId="ListParagraphChar">
    <w:name w:val="List Paragraph Char"/>
    <w:link w:val="ListParagraph"/>
    <w:uiPriority w:val="34"/>
    <w:rsid w:val="00A75367"/>
  </w:style>
  <w:style w:type="character" w:customStyle="1" w:styleId="Bodytext2">
    <w:name w:val="Body text (2)_"/>
    <w:basedOn w:val="DefaultParagraphFont"/>
    <w:link w:val="Bodytext20"/>
    <w:rsid w:val="00A75367"/>
    <w:rPr>
      <w:rFonts w:eastAsia="Times New Roman" w:cs="Times New Roman"/>
      <w:sz w:val="26"/>
      <w:szCs w:val="26"/>
      <w:shd w:val="clear" w:color="auto" w:fill="FFFFFF"/>
    </w:rPr>
  </w:style>
  <w:style w:type="paragraph" w:customStyle="1" w:styleId="Bodytext20">
    <w:name w:val="Body text (2)"/>
    <w:basedOn w:val="Normal"/>
    <w:link w:val="Bodytext2"/>
    <w:rsid w:val="00A75367"/>
    <w:pPr>
      <w:widowControl w:val="0"/>
      <w:shd w:val="clear" w:color="auto" w:fill="FFFFFF"/>
      <w:spacing w:before="300" w:after="180" w:line="240" w:lineRule="exact"/>
      <w:ind w:hanging="400"/>
    </w:pPr>
    <w:rPr>
      <w:rFonts w:eastAsia="Times New Roman" w:cs="Times New Roman"/>
      <w:sz w:val="26"/>
      <w:szCs w:val="26"/>
    </w:rPr>
  </w:style>
  <w:style w:type="character" w:customStyle="1" w:styleId="Bodytext212pt">
    <w:name w:val="Body text (2) + 12 pt"/>
    <w:aliases w:val="Bold"/>
    <w:basedOn w:val="Bodytext2"/>
    <w:rsid w:val="00A7536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he-IL" w:eastAsia="he-IL" w:bidi="he-IL"/>
    </w:rPr>
  </w:style>
  <w:style w:type="character" w:customStyle="1" w:styleId="2">
    <w:name w:val="טקסט הערת שוליים תו2"/>
    <w:uiPriority w:val="99"/>
    <w:rsid w:val="00A75367"/>
    <w:rPr>
      <w:rFonts w:cs="David"/>
    </w:rPr>
  </w:style>
  <w:style w:type="paragraph" w:styleId="PlainText">
    <w:name w:val="Plain Text"/>
    <w:basedOn w:val="Normal"/>
    <w:link w:val="PlainTextChar"/>
    <w:uiPriority w:val="99"/>
    <w:unhideWhenUsed/>
    <w:rsid w:val="00A75367"/>
    <w:pPr>
      <w:spacing w:line="240" w:lineRule="auto"/>
      <w:jc w:val="left"/>
    </w:pPr>
    <w:rPr>
      <w:rFonts w:ascii="Calibri" w:hAnsi="Calibri" w:cs="Times New Roman"/>
      <w:sz w:val="22"/>
      <w:szCs w:val="22"/>
    </w:rPr>
  </w:style>
  <w:style w:type="character" w:customStyle="1" w:styleId="PlainTextChar">
    <w:name w:val="Plain Text Char"/>
    <w:basedOn w:val="DefaultParagraphFont"/>
    <w:link w:val="PlainText"/>
    <w:uiPriority w:val="99"/>
    <w:rsid w:val="00A75367"/>
    <w:rPr>
      <w:rFonts w:ascii="Calibri" w:hAnsi="Calibri" w:cs="Times New Roman"/>
      <w:sz w:val="22"/>
      <w:szCs w:val="22"/>
    </w:rPr>
  </w:style>
  <w:style w:type="character" w:customStyle="1" w:styleId="Bodytext11">
    <w:name w:val="Body text (11)_"/>
    <w:basedOn w:val="DefaultParagraphFont"/>
    <w:link w:val="Bodytext110"/>
    <w:rsid w:val="00A75367"/>
    <w:rPr>
      <w:rFonts w:ascii="David" w:eastAsia="David" w:hAnsi="David"/>
      <w:b/>
      <w:bCs/>
      <w:szCs w:val="20"/>
      <w:shd w:val="clear" w:color="auto" w:fill="FFFFFF"/>
    </w:rPr>
  </w:style>
  <w:style w:type="paragraph" w:customStyle="1" w:styleId="Bodytext110">
    <w:name w:val="Body text (11)"/>
    <w:basedOn w:val="Normal"/>
    <w:link w:val="Bodytext11"/>
    <w:rsid w:val="00A75367"/>
    <w:pPr>
      <w:widowControl w:val="0"/>
      <w:shd w:val="clear" w:color="auto" w:fill="FFFFFF"/>
      <w:spacing w:line="360" w:lineRule="exact"/>
    </w:pPr>
    <w:rPr>
      <w:rFonts w:ascii="David" w:eastAsia="David" w:hAnsi="David"/>
      <w:b/>
      <w:bCs/>
      <w:szCs w:val="20"/>
    </w:rPr>
  </w:style>
  <w:style w:type="character" w:styleId="Emphasis">
    <w:name w:val="Emphasis"/>
    <w:basedOn w:val="DefaultParagraphFont"/>
    <w:uiPriority w:val="20"/>
    <w:qFormat/>
    <w:rsid w:val="00A75367"/>
    <w:rPr>
      <w:i/>
      <w:iCs/>
    </w:rPr>
  </w:style>
  <w:style w:type="paragraph" w:customStyle="1" w:styleId="p00">
    <w:name w:val="p00"/>
    <w:basedOn w:val="Normal"/>
    <w:rsid w:val="00A75367"/>
    <w:pPr>
      <w:bidi w:val="0"/>
      <w:spacing w:before="100" w:beforeAutospacing="1" w:after="100" w:afterAutospacing="1" w:line="240" w:lineRule="auto"/>
      <w:jc w:val="left"/>
    </w:pPr>
    <w:rPr>
      <w:rFonts w:eastAsia="Times New Roman" w:cs="Times New Roman"/>
      <w:sz w:val="24"/>
    </w:rPr>
  </w:style>
  <w:style w:type="character" w:customStyle="1" w:styleId="default">
    <w:name w:val="default"/>
    <w:basedOn w:val="DefaultParagraphFont"/>
    <w:rsid w:val="00A75367"/>
  </w:style>
  <w:style w:type="paragraph" w:customStyle="1" w:styleId="p22">
    <w:name w:val="p22"/>
    <w:basedOn w:val="Normal"/>
    <w:rsid w:val="00A75367"/>
    <w:pPr>
      <w:bidi w:val="0"/>
      <w:spacing w:before="100" w:beforeAutospacing="1" w:after="100" w:afterAutospacing="1" w:line="240" w:lineRule="auto"/>
      <w:jc w:val="left"/>
    </w:pPr>
    <w:rPr>
      <w:rFonts w:eastAsia="Times New Roman" w:cs="Times New Roman"/>
      <w:sz w:val="24"/>
    </w:rPr>
  </w:style>
  <w:style w:type="character" w:customStyle="1" w:styleId="big-number">
    <w:name w:val="big-number"/>
    <w:basedOn w:val="DefaultParagraphFont"/>
    <w:rsid w:val="00A75367"/>
  </w:style>
  <w:style w:type="paragraph" w:customStyle="1" w:styleId="a2">
    <w:name w:val="נבנצלים"/>
    <w:basedOn w:val="Normal"/>
    <w:next w:val="Normal"/>
    <w:link w:val="a3"/>
    <w:rsid w:val="00A75367"/>
    <w:pPr>
      <w:widowControl w:val="0"/>
      <w:ind w:left="-567"/>
    </w:pPr>
    <w:rPr>
      <w:rFonts w:eastAsia="Times New Roman"/>
      <w:szCs w:val="20"/>
      <w:lang w:eastAsia="he-IL"/>
    </w:rPr>
  </w:style>
  <w:style w:type="character" w:customStyle="1" w:styleId="a3">
    <w:name w:val="נבנצלים תו"/>
    <w:basedOn w:val="DefaultParagraphFont"/>
    <w:link w:val="a2"/>
    <w:rsid w:val="00A75367"/>
    <w:rPr>
      <w:rFonts w:eastAsia="Times New Roman"/>
      <w:szCs w:val="20"/>
      <w:lang w:eastAsia="he-IL"/>
    </w:rPr>
  </w:style>
  <w:style w:type="paragraph" w:customStyle="1" w:styleId="P000">
    <w:name w:val="P00"/>
    <w:link w:val="P001"/>
    <w:rsid w:val="00A7536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P001">
    <w:name w:val="P00 תו"/>
    <w:link w:val="P000"/>
    <w:rsid w:val="00A75367"/>
    <w:rPr>
      <w:rFonts w:eastAsia="Times New Roman" w:cs="FrankRuehl"/>
      <w:noProof/>
      <w:szCs w:val="26"/>
      <w:lang w:eastAsia="he-IL"/>
    </w:rPr>
  </w:style>
  <w:style w:type="paragraph" w:styleId="EndnoteText">
    <w:name w:val="endnote text"/>
    <w:basedOn w:val="Normal"/>
    <w:link w:val="EndnoteTextChar"/>
    <w:uiPriority w:val="99"/>
    <w:semiHidden/>
    <w:unhideWhenUsed/>
    <w:rsid w:val="00A75367"/>
    <w:pPr>
      <w:spacing w:line="240" w:lineRule="auto"/>
    </w:pPr>
    <w:rPr>
      <w:szCs w:val="20"/>
    </w:rPr>
  </w:style>
  <w:style w:type="character" w:customStyle="1" w:styleId="EndnoteTextChar">
    <w:name w:val="Endnote Text Char"/>
    <w:basedOn w:val="DefaultParagraphFont"/>
    <w:link w:val="EndnoteText"/>
    <w:uiPriority w:val="99"/>
    <w:semiHidden/>
    <w:rsid w:val="00A75367"/>
    <w:rPr>
      <w:szCs w:val="20"/>
    </w:rPr>
  </w:style>
  <w:style w:type="character" w:styleId="EndnoteReference">
    <w:name w:val="endnote reference"/>
    <w:basedOn w:val="DefaultParagraphFont"/>
    <w:uiPriority w:val="99"/>
    <w:semiHidden/>
    <w:unhideWhenUsed/>
    <w:rsid w:val="00A75367"/>
    <w:rPr>
      <w:vertAlign w:val="superscript"/>
    </w:rPr>
  </w:style>
  <w:style w:type="paragraph" w:styleId="TOC4">
    <w:name w:val="toc 4"/>
    <w:basedOn w:val="Normal"/>
    <w:next w:val="Normal"/>
    <w:autoRedefine/>
    <w:uiPriority w:val="39"/>
    <w:unhideWhenUsed/>
    <w:rsid w:val="00A75367"/>
    <w:pPr>
      <w:spacing w:after="100"/>
      <w:ind w:left="600"/>
    </w:pPr>
  </w:style>
  <w:style w:type="paragraph" w:styleId="BodyText">
    <w:name w:val="Body Text"/>
    <w:basedOn w:val="Normal"/>
    <w:link w:val="BodyTextChar"/>
    <w:uiPriority w:val="99"/>
    <w:unhideWhenUsed/>
    <w:rsid w:val="00A75367"/>
    <w:pPr>
      <w:autoSpaceDE w:val="0"/>
      <w:autoSpaceDN w:val="0"/>
      <w:adjustRightInd w:val="0"/>
      <w:spacing w:after="120"/>
    </w:pPr>
    <w:rPr>
      <w:rFonts w:ascii="Tahoma" w:hAnsi="Tahoma" w:cs="Tahoma"/>
      <w:sz w:val="16"/>
      <w:szCs w:val="20"/>
    </w:rPr>
  </w:style>
  <w:style w:type="character" w:customStyle="1" w:styleId="BodyTextChar">
    <w:name w:val="Body Text Char"/>
    <w:basedOn w:val="DefaultParagraphFont"/>
    <w:link w:val="BodyText"/>
    <w:uiPriority w:val="99"/>
    <w:rsid w:val="00A75367"/>
    <w:rPr>
      <w:rFonts w:ascii="Tahoma" w:hAnsi="Tahoma" w:cs="Tahoma"/>
      <w:sz w:val="16"/>
      <w:szCs w:val="20"/>
    </w:rPr>
  </w:style>
  <w:style w:type="paragraph" w:styleId="BodyText21">
    <w:name w:val="Body Text 2"/>
    <w:basedOn w:val="Normal"/>
    <w:link w:val="BodyText2Char"/>
    <w:uiPriority w:val="99"/>
    <w:unhideWhenUsed/>
    <w:rsid w:val="00A75367"/>
    <w:pPr>
      <w:spacing w:after="120"/>
    </w:pPr>
    <w:rPr>
      <w:rFonts w:ascii="Tahoma" w:hAnsi="Tahoma" w:cs="Tahoma"/>
      <w:sz w:val="16"/>
      <w:szCs w:val="20"/>
    </w:rPr>
  </w:style>
  <w:style w:type="character" w:customStyle="1" w:styleId="BodyText2Char">
    <w:name w:val="Body Text 2 Char"/>
    <w:basedOn w:val="DefaultParagraphFont"/>
    <w:link w:val="BodyText21"/>
    <w:uiPriority w:val="99"/>
    <w:rsid w:val="00A75367"/>
    <w:rPr>
      <w:rFonts w:ascii="Tahoma" w:hAnsi="Tahoma" w:cs="Tahoma"/>
      <w:sz w:val="16"/>
      <w:szCs w:val="20"/>
    </w:rPr>
  </w:style>
  <w:style w:type="paragraph" w:styleId="BodyText3">
    <w:name w:val="Body Text 3"/>
    <w:basedOn w:val="Normal"/>
    <w:link w:val="BodyText3Char"/>
    <w:uiPriority w:val="99"/>
    <w:unhideWhenUsed/>
    <w:rsid w:val="00C51EE6"/>
    <w:pPr>
      <w:spacing w:after="120"/>
    </w:pPr>
    <w:rPr>
      <w:rFonts w:ascii="Tahoma" w:hAnsi="Tahoma" w:cs="Tahoma"/>
      <w:sz w:val="16"/>
      <w:szCs w:val="20"/>
    </w:rPr>
  </w:style>
  <w:style w:type="character" w:customStyle="1" w:styleId="BodyText3Char">
    <w:name w:val="Body Text 3 Char"/>
    <w:basedOn w:val="DefaultParagraphFont"/>
    <w:link w:val="BodyText3"/>
    <w:uiPriority w:val="99"/>
    <w:rsid w:val="00C51EE6"/>
    <w:rPr>
      <w:rFonts w:ascii="Tahoma" w:hAnsi="Tahoma" w:cs="Tahoma"/>
      <w:sz w:val="16"/>
      <w:szCs w:val="20"/>
    </w:rPr>
  </w:style>
  <w:style w:type="paragraph" w:styleId="BodyTextIndent">
    <w:name w:val="Body Text Indent"/>
    <w:basedOn w:val="Normal"/>
    <w:link w:val="BodyTextIndentChar"/>
    <w:uiPriority w:val="99"/>
    <w:unhideWhenUsed/>
    <w:rsid w:val="00732EB5"/>
    <w:pPr>
      <w:spacing w:after="120"/>
      <w:ind w:left="397"/>
    </w:pPr>
    <w:rPr>
      <w:rFonts w:ascii="Tahoma" w:hAnsi="Tahoma" w:cs="Tahoma"/>
      <w:sz w:val="16"/>
      <w:szCs w:val="20"/>
    </w:rPr>
  </w:style>
  <w:style w:type="character" w:customStyle="1" w:styleId="BodyTextIndentChar">
    <w:name w:val="Body Text Indent Char"/>
    <w:basedOn w:val="DefaultParagraphFont"/>
    <w:link w:val="BodyTextIndent"/>
    <w:uiPriority w:val="99"/>
    <w:rsid w:val="00732EB5"/>
    <w:rPr>
      <w:rFonts w:ascii="Tahoma" w:hAnsi="Tahoma" w:cs="Tahoma"/>
      <w:sz w:val="16"/>
      <w:szCs w:val="20"/>
    </w:rPr>
  </w:style>
  <w:style w:type="paragraph" w:styleId="BodyTextIndent2">
    <w:name w:val="Body Text Indent 2"/>
    <w:basedOn w:val="Normal"/>
    <w:link w:val="BodyTextIndent2Char"/>
    <w:uiPriority w:val="99"/>
    <w:unhideWhenUsed/>
    <w:rsid w:val="00732EB5"/>
    <w:pPr>
      <w:spacing w:after="120"/>
      <w:ind w:left="397"/>
    </w:pPr>
    <w:rPr>
      <w:rFonts w:ascii="Tahoma" w:hAnsi="Tahoma" w:cs="Tahoma"/>
      <w:szCs w:val="20"/>
    </w:rPr>
  </w:style>
  <w:style w:type="character" w:customStyle="1" w:styleId="BodyTextIndent2Char">
    <w:name w:val="Body Text Indent 2 Char"/>
    <w:basedOn w:val="DefaultParagraphFont"/>
    <w:link w:val="BodyTextIndent2"/>
    <w:uiPriority w:val="99"/>
    <w:rsid w:val="00732EB5"/>
    <w:rPr>
      <w:rFonts w:ascii="Tahoma" w:hAnsi="Tahoma" w:cs="Tahoma"/>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Date"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nhideWhenUsed/>
    <w:rsid w:val="000501A4"/>
    <w:pPr>
      <w:spacing w:before="120" w:line="240" w:lineRule="auto"/>
    </w:pPr>
  </w:style>
  <w:style w:type="character" w:customStyle="1" w:styleId="DateChar">
    <w:name w:val="Date Char"/>
    <w:basedOn w:val="DefaultParagraphFont"/>
    <w:link w:val="Date"/>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AF3713"/>
    <w:pPr>
      <w:tabs>
        <w:tab w:val="right" w:leader="dot" w:pos="8210"/>
      </w:tabs>
      <w:spacing w:after="100"/>
    </w:pPr>
    <w:rPr>
      <w:rFonts w:ascii="Tahoma" w:hAnsi="Tahoma" w:cs="Tahoma"/>
      <w:noProof/>
      <w:szCs w:val="20"/>
    </w:r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paragraph" w:styleId="TOCHeading">
    <w:name w:val="TOC Heading"/>
    <w:basedOn w:val="Heading1"/>
    <w:next w:val="Normal"/>
    <w:uiPriority w:val="39"/>
    <w:unhideWhenUsed/>
    <w:qFormat/>
    <w:rsid w:val="00A75367"/>
    <w:pPr>
      <w:spacing w:before="480"/>
      <w:jc w:val="both"/>
      <w:outlineLvl w:val="9"/>
    </w:pPr>
    <w:rPr>
      <w:rFonts w:asciiTheme="majorHAnsi" w:hAnsiTheme="majorHAnsi" w:cstheme="majorBidi"/>
      <w:b/>
      <w:color w:val="365F91" w:themeColor="accent1" w:themeShade="BF"/>
      <w:sz w:val="28"/>
      <w:szCs w:val="28"/>
      <w:u w:val="none"/>
    </w:rPr>
  </w:style>
  <w:style w:type="character" w:customStyle="1" w:styleId="ListParagraphChar">
    <w:name w:val="List Paragraph Char"/>
    <w:link w:val="ListParagraph"/>
    <w:uiPriority w:val="34"/>
    <w:rsid w:val="00A75367"/>
  </w:style>
  <w:style w:type="character" w:customStyle="1" w:styleId="Bodytext2">
    <w:name w:val="Body text (2)_"/>
    <w:basedOn w:val="DefaultParagraphFont"/>
    <w:link w:val="Bodytext20"/>
    <w:rsid w:val="00A75367"/>
    <w:rPr>
      <w:rFonts w:eastAsia="Times New Roman" w:cs="Times New Roman"/>
      <w:sz w:val="26"/>
      <w:szCs w:val="26"/>
      <w:shd w:val="clear" w:color="auto" w:fill="FFFFFF"/>
    </w:rPr>
  </w:style>
  <w:style w:type="paragraph" w:customStyle="1" w:styleId="Bodytext20">
    <w:name w:val="Body text (2)"/>
    <w:basedOn w:val="Normal"/>
    <w:link w:val="Bodytext2"/>
    <w:rsid w:val="00A75367"/>
    <w:pPr>
      <w:widowControl w:val="0"/>
      <w:shd w:val="clear" w:color="auto" w:fill="FFFFFF"/>
      <w:spacing w:before="300" w:after="180" w:line="240" w:lineRule="exact"/>
      <w:ind w:hanging="400"/>
    </w:pPr>
    <w:rPr>
      <w:rFonts w:eastAsia="Times New Roman" w:cs="Times New Roman"/>
      <w:sz w:val="26"/>
      <w:szCs w:val="26"/>
    </w:rPr>
  </w:style>
  <w:style w:type="character" w:customStyle="1" w:styleId="Bodytext212pt">
    <w:name w:val="Body text (2) + 12 pt"/>
    <w:aliases w:val="Bold"/>
    <w:basedOn w:val="Bodytext2"/>
    <w:rsid w:val="00A7536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he-IL" w:eastAsia="he-IL" w:bidi="he-IL"/>
    </w:rPr>
  </w:style>
  <w:style w:type="character" w:customStyle="1" w:styleId="2">
    <w:name w:val="טקסט הערת שוליים תו2"/>
    <w:uiPriority w:val="99"/>
    <w:rsid w:val="00A75367"/>
    <w:rPr>
      <w:rFonts w:cs="David"/>
    </w:rPr>
  </w:style>
  <w:style w:type="paragraph" w:styleId="PlainText">
    <w:name w:val="Plain Text"/>
    <w:basedOn w:val="Normal"/>
    <w:link w:val="PlainTextChar"/>
    <w:uiPriority w:val="99"/>
    <w:unhideWhenUsed/>
    <w:rsid w:val="00A75367"/>
    <w:pPr>
      <w:spacing w:line="240" w:lineRule="auto"/>
      <w:jc w:val="left"/>
    </w:pPr>
    <w:rPr>
      <w:rFonts w:ascii="Calibri" w:hAnsi="Calibri" w:cs="Times New Roman"/>
      <w:sz w:val="22"/>
      <w:szCs w:val="22"/>
    </w:rPr>
  </w:style>
  <w:style w:type="character" w:customStyle="1" w:styleId="PlainTextChar">
    <w:name w:val="Plain Text Char"/>
    <w:basedOn w:val="DefaultParagraphFont"/>
    <w:link w:val="PlainText"/>
    <w:uiPriority w:val="99"/>
    <w:rsid w:val="00A75367"/>
    <w:rPr>
      <w:rFonts w:ascii="Calibri" w:hAnsi="Calibri" w:cs="Times New Roman"/>
      <w:sz w:val="22"/>
      <w:szCs w:val="22"/>
    </w:rPr>
  </w:style>
  <w:style w:type="character" w:customStyle="1" w:styleId="Bodytext11">
    <w:name w:val="Body text (11)_"/>
    <w:basedOn w:val="DefaultParagraphFont"/>
    <w:link w:val="Bodytext110"/>
    <w:rsid w:val="00A75367"/>
    <w:rPr>
      <w:rFonts w:ascii="David" w:eastAsia="David" w:hAnsi="David"/>
      <w:b/>
      <w:bCs/>
      <w:szCs w:val="20"/>
      <w:shd w:val="clear" w:color="auto" w:fill="FFFFFF"/>
    </w:rPr>
  </w:style>
  <w:style w:type="paragraph" w:customStyle="1" w:styleId="Bodytext110">
    <w:name w:val="Body text (11)"/>
    <w:basedOn w:val="Normal"/>
    <w:link w:val="Bodytext11"/>
    <w:rsid w:val="00A75367"/>
    <w:pPr>
      <w:widowControl w:val="0"/>
      <w:shd w:val="clear" w:color="auto" w:fill="FFFFFF"/>
      <w:spacing w:line="360" w:lineRule="exact"/>
    </w:pPr>
    <w:rPr>
      <w:rFonts w:ascii="David" w:eastAsia="David" w:hAnsi="David"/>
      <w:b/>
      <w:bCs/>
      <w:szCs w:val="20"/>
    </w:rPr>
  </w:style>
  <w:style w:type="character" w:styleId="Emphasis">
    <w:name w:val="Emphasis"/>
    <w:basedOn w:val="DefaultParagraphFont"/>
    <w:uiPriority w:val="20"/>
    <w:qFormat/>
    <w:rsid w:val="00A75367"/>
    <w:rPr>
      <w:i/>
      <w:iCs/>
    </w:rPr>
  </w:style>
  <w:style w:type="paragraph" w:customStyle="1" w:styleId="p00">
    <w:name w:val="p00"/>
    <w:basedOn w:val="Normal"/>
    <w:rsid w:val="00A75367"/>
    <w:pPr>
      <w:bidi w:val="0"/>
      <w:spacing w:before="100" w:beforeAutospacing="1" w:after="100" w:afterAutospacing="1" w:line="240" w:lineRule="auto"/>
      <w:jc w:val="left"/>
    </w:pPr>
    <w:rPr>
      <w:rFonts w:eastAsia="Times New Roman" w:cs="Times New Roman"/>
      <w:sz w:val="24"/>
    </w:rPr>
  </w:style>
  <w:style w:type="character" w:customStyle="1" w:styleId="default">
    <w:name w:val="default"/>
    <w:basedOn w:val="DefaultParagraphFont"/>
    <w:rsid w:val="00A75367"/>
  </w:style>
  <w:style w:type="paragraph" w:customStyle="1" w:styleId="p22">
    <w:name w:val="p22"/>
    <w:basedOn w:val="Normal"/>
    <w:rsid w:val="00A75367"/>
    <w:pPr>
      <w:bidi w:val="0"/>
      <w:spacing w:before="100" w:beforeAutospacing="1" w:after="100" w:afterAutospacing="1" w:line="240" w:lineRule="auto"/>
      <w:jc w:val="left"/>
    </w:pPr>
    <w:rPr>
      <w:rFonts w:eastAsia="Times New Roman" w:cs="Times New Roman"/>
      <w:sz w:val="24"/>
    </w:rPr>
  </w:style>
  <w:style w:type="character" w:customStyle="1" w:styleId="big-number">
    <w:name w:val="big-number"/>
    <w:basedOn w:val="DefaultParagraphFont"/>
    <w:rsid w:val="00A75367"/>
  </w:style>
  <w:style w:type="paragraph" w:customStyle="1" w:styleId="a2">
    <w:name w:val="נבנצלים"/>
    <w:basedOn w:val="Normal"/>
    <w:next w:val="Normal"/>
    <w:link w:val="a3"/>
    <w:rsid w:val="00A75367"/>
    <w:pPr>
      <w:widowControl w:val="0"/>
      <w:ind w:left="-567"/>
    </w:pPr>
    <w:rPr>
      <w:rFonts w:eastAsia="Times New Roman"/>
      <w:szCs w:val="20"/>
      <w:lang w:eastAsia="he-IL"/>
    </w:rPr>
  </w:style>
  <w:style w:type="character" w:customStyle="1" w:styleId="a3">
    <w:name w:val="נבנצלים תו"/>
    <w:basedOn w:val="DefaultParagraphFont"/>
    <w:link w:val="a2"/>
    <w:rsid w:val="00A75367"/>
    <w:rPr>
      <w:rFonts w:eastAsia="Times New Roman"/>
      <w:szCs w:val="20"/>
      <w:lang w:eastAsia="he-IL"/>
    </w:rPr>
  </w:style>
  <w:style w:type="paragraph" w:customStyle="1" w:styleId="P000">
    <w:name w:val="P00"/>
    <w:link w:val="P001"/>
    <w:rsid w:val="00A7536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P001">
    <w:name w:val="P00 תו"/>
    <w:link w:val="P000"/>
    <w:rsid w:val="00A75367"/>
    <w:rPr>
      <w:rFonts w:eastAsia="Times New Roman" w:cs="FrankRuehl"/>
      <w:noProof/>
      <w:szCs w:val="26"/>
      <w:lang w:eastAsia="he-IL"/>
    </w:rPr>
  </w:style>
  <w:style w:type="paragraph" w:styleId="EndnoteText">
    <w:name w:val="endnote text"/>
    <w:basedOn w:val="Normal"/>
    <w:link w:val="EndnoteTextChar"/>
    <w:uiPriority w:val="99"/>
    <w:semiHidden/>
    <w:unhideWhenUsed/>
    <w:rsid w:val="00A75367"/>
    <w:pPr>
      <w:spacing w:line="240" w:lineRule="auto"/>
    </w:pPr>
    <w:rPr>
      <w:szCs w:val="20"/>
    </w:rPr>
  </w:style>
  <w:style w:type="character" w:customStyle="1" w:styleId="EndnoteTextChar">
    <w:name w:val="Endnote Text Char"/>
    <w:basedOn w:val="DefaultParagraphFont"/>
    <w:link w:val="EndnoteText"/>
    <w:uiPriority w:val="99"/>
    <w:semiHidden/>
    <w:rsid w:val="00A75367"/>
    <w:rPr>
      <w:szCs w:val="20"/>
    </w:rPr>
  </w:style>
  <w:style w:type="character" w:styleId="EndnoteReference">
    <w:name w:val="endnote reference"/>
    <w:basedOn w:val="DefaultParagraphFont"/>
    <w:uiPriority w:val="99"/>
    <w:semiHidden/>
    <w:unhideWhenUsed/>
    <w:rsid w:val="00A75367"/>
    <w:rPr>
      <w:vertAlign w:val="superscript"/>
    </w:rPr>
  </w:style>
  <w:style w:type="paragraph" w:styleId="TOC4">
    <w:name w:val="toc 4"/>
    <w:basedOn w:val="Normal"/>
    <w:next w:val="Normal"/>
    <w:autoRedefine/>
    <w:uiPriority w:val="39"/>
    <w:unhideWhenUsed/>
    <w:rsid w:val="00A75367"/>
    <w:pPr>
      <w:spacing w:after="100"/>
      <w:ind w:left="600"/>
    </w:pPr>
  </w:style>
  <w:style w:type="paragraph" w:styleId="BodyText">
    <w:name w:val="Body Text"/>
    <w:basedOn w:val="Normal"/>
    <w:link w:val="BodyTextChar"/>
    <w:uiPriority w:val="99"/>
    <w:unhideWhenUsed/>
    <w:rsid w:val="00A75367"/>
    <w:pPr>
      <w:autoSpaceDE w:val="0"/>
      <w:autoSpaceDN w:val="0"/>
      <w:adjustRightInd w:val="0"/>
      <w:spacing w:after="120"/>
    </w:pPr>
    <w:rPr>
      <w:rFonts w:ascii="Tahoma" w:hAnsi="Tahoma" w:cs="Tahoma"/>
      <w:sz w:val="16"/>
      <w:szCs w:val="20"/>
    </w:rPr>
  </w:style>
  <w:style w:type="character" w:customStyle="1" w:styleId="BodyTextChar">
    <w:name w:val="Body Text Char"/>
    <w:basedOn w:val="DefaultParagraphFont"/>
    <w:link w:val="BodyText"/>
    <w:uiPriority w:val="99"/>
    <w:rsid w:val="00A75367"/>
    <w:rPr>
      <w:rFonts w:ascii="Tahoma" w:hAnsi="Tahoma" w:cs="Tahoma"/>
      <w:sz w:val="16"/>
      <w:szCs w:val="20"/>
    </w:rPr>
  </w:style>
  <w:style w:type="paragraph" w:styleId="BodyText21">
    <w:name w:val="Body Text 2"/>
    <w:basedOn w:val="Normal"/>
    <w:link w:val="BodyText2Char"/>
    <w:uiPriority w:val="99"/>
    <w:unhideWhenUsed/>
    <w:rsid w:val="00A75367"/>
    <w:pPr>
      <w:spacing w:after="120"/>
    </w:pPr>
    <w:rPr>
      <w:rFonts w:ascii="Tahoma" w:hAnsi="Tahoma" w:cs="Tahoma"/>
      <w:sz w:val="16"/>
      <w:szCs w:val="20"/>
    </w:rPr>
  </w:style>
  <w:style w:type="character" w:customStyle="1" w:styleId="BodyText2Char">
    <w:name w:val="Body Text 2 Char"/>
    <w:basedOn w:val="DefaultParagraphFont"/>
    <w:link w:val="BodyText21"/>
    <w:uiPriority w:val="99"/>
    <w:rsid w:val="00A75367"/>
    <w:rPr>
      <w:rFonts w:ascii="Tahoma" w:hAnsi="Tahoma" w:cs="Tahoma"/>
      <w:sz w:val="16"/>
      <w:szCs w:val="20"/>
    </w:rPr>
  </w:style>
  <w:style w:type="paragraph" w:styleId="BodyText3">
    <w:name w:val="Body Text 3"/>
    <w:basedOn w:val="Normal"/>
    <w:link w:val="BodyText3Char"/>
    <w:uiPriority w:val="99"/>
    <w:unhideWhenUsed/>
    <w:rsid w:val="00C51EE6"/>
    <w:pPr>
      <w:spacing w:after="120"/>
    </w:pPr>
    <w:rPr>
      <w:rFonts w:ascii="Tahoma" w:hAnsi="Tahoma" w:cs="Tahoma"/>
      <w:sz w:val="16"/>
      <w:szCs w:val="20"/>
    </w:rPr>
  </w:style>
  <w:style w:type="character" w:customStyle="1" w:styleId="BodyText3Char">
    <w:name w:val="Body Text 3 Char"/>
    <w:basedOn w:val="DefaultParagraphFont"/>
    <w:link w:val="BodyText3"/>
    <w:uiPriority w:val="99"/>
    <w:rsid w:val="00C51EE6"/>
    <w:rPr>
      <w:rFonts w:ascii="Tahoma" w:hAnsi="Tahoma" w:cs="Tahoma"/>
      <w:sz w:val="16"/>
      <w:szCs w:val="20"/>
    </w:rPr>
  </w:style>
  <w:style w:type="paragraph" w:styleId="BodyTextIndent">
    <w:name w:val="Body Text Indent"/>
    <w:basedOn w:val="Normal"/>
    <w:link w:val="BodyTextIndentChar"/>
    <w:uiPriority w:val="99"/>
    <w:unhideWhenUsed/>
    <w:rsid w:val="00732EB5"/>
    <w:pPr>
      <w:spacing w:after="120"/>
      <w:ind w:left="397"/>
    </w:pPr>
    <w:rPr>
      <w:rFonts w:ascii="Tahoma" w:hAnsi="Tahoma" w:cs="Tahoma"/>
      <w:sz w:val="16"/>
      <w:szCs w:val="20"/>
    </w:rPr>
  </w:style>
  <w:style w:type="character" w:customStyle="1" w:styleId="BodyTextIndentChar">
    <w:name w:val="Body Text Indent Char"/>
    <w:basedOn w:val="DefaultParagraphFont"/>
    <w:link w:val="BodyTextIndent"/>
    <w:uiPriority w:val="99"/>
    <w:rsid w:val="00732EB5"/>
    <w:rPr>
      <w:rFonts w:ascii="Tahoma" w:hAnsi="Tahoma" w:cs="Tahoma"/>
      <w:sz w:val="16"/>
      <w:szCs w:val="20"/>
    </w:rPr>
  </w:style>
  <w:style w:type="paragraph" w:styleId="BodyTextIndent2">
    <w:name w:val="Body Text Indent 2"/>
    <w:basedOn w:val="Normal"/>
    <w:link w:val="BodyTextIndent2Char"/>
    <w:uiPriority w:val="99"/>
    <w:unhideWhenUsed/>
    <w:rsid w:val="00732EB5"/>
    <w:pPr>
      <w:spacing w:after="120"/>
      <w:ind w:left="397"/>
    </w:pPr>
    <w:rPr>
      <w:rFonts w:ascii="Tahoma" w:hAnsi="Tahoma" w:cs="Tahoma"/>
      <w:szCs w:val="20"/>
    </w:rPr>
  </w:style>
  <w:style w:type="character" w:customStyle="1" w:styleId="BodyTextIndent2Char">
    <w:name w:val="Body Text Indent 2 Char"/>
    <w:basedOn w:val="DefaultParagraphFont"/>
    <w:link w:val="BodyTextIndent2"/>
    <w:uiPriority w:val="99"/>
    <w:rsid w:val="00732EB5"/>
    <w:rPr>
      <w:rFonts w:ascii="Tahoma" w:hAnsi="Tahoma" w:cs="Tahom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3.xml"/><Relationship Id="rId35" Type="http://schemas.openxmlformats.org/officeDocument/2006/relationships/customXml" Target="../customXml/item3.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128FD88-C239-4BA9-9120-683EC6C0A577}">
  <ds:schemaRefs>
    <ds:schemaRef ds:uri="http://schemas.openxmlformats.org/officeDocument/2006/bibliography"/>
  </ds:schemaRefs>
</ds:datastoreItem>
</file>

<file path=customXml/itemProps2.xml><?xml version="1.0" encoding="utf-8"?>
<ds:datastoreItem xmlns:ds="http://schemas.openxmlformats.org/officeDocument/2006/customXml" ds:itemID="{A7F31F38-5A7A-4CC0-8FF7-AACDCC0E9319}"/>
</file>

<file path=customXml/itemProps3.xml><?xml version="1.0" encoding="utf-8"?>
<ds:datastoreItem xmlns:ds="http://schemas.openxmlformats.org/officeDocument/2006/customXml" ds:itemID="{7EE8B77C-9CDE-4FC5-AC02-CF98B9FCA887}"/>
</file>

<file path=customXml/itemProps4.xml><?xml version="1.0" encoding="utf-8"?>
<ds:datastoreItem xmlns:ds="http://schemas.openxmlformats.org/officeDocument/2006/customXml" ds:itemID="{858DDA6C-FCB9-4B59-B8B7-8FBC41F85051}"/>
</file>

<file path=docProps/app.xml><?xml version="1.0" encoding="utf-8"?>
<Properties xmlns="http://schemas.openxmlformats.org/officeDocument/2006/extended-properties" xmlns:vt="http://schemas.openxmlformats.org/officeDocument/2006/docPropsVTypes">
  <Template>Normal.dotm</Template>
  <TotalTime>166</TotalTime>
  <Pages>1</Pages>
  <Words>10422</Words>
  <Characters>52114</Characters>
  <Application>Microsoft Office Word</Application>
  <DocSecurity>0</DocSecurity>
  <Lines>434</Lines>
  <Paragraphs>124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62412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34</cp:revision>
  <cp:lastPrinted>2020-03-20T14:43:00Z</cp:lastPrinted>
  <dcterms:created xsi:type="dcterms:W3CDTF">2020-02-05T20:37:00Z</dcterms:created>
  <dcterms:modified xsi:type="dcterms:W3CDTF">2020-03-20T15:13:00Z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