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57ED" w:rsidRPr="00170230" w:rsidRDefault="004457ED" w:rsidP="004457ED">
      <w:pPr>
        <w:spacing w:line="240" w:lineRule="atLeast"/>
        <w:jc w:val="center"/>
        <w:rPr>
          <w:rFonts w:ascii="Tahoma" w:hAnsi="Tahoma" w:cs="Tahoma"/>
          <w:szCs w:val="18"/>
          <w:rtl/>
        </w:rPr>
      </w:pPr>
      <w:r>
        <w:rPr>
          <w:rFonts w:ascii="Tahoma" w:hAnsi="Tahoma" w:cs="Tahoma"/>
          <w:noProof/>
          <w:szCs w:val="18"/>
        </w:rPr>
        <w:drawing>
          <wp:inline distT="0" distB="0" distL="0" distR="0" wp14:anchorId="70655C09" wp14:editId="7B88A9BC">
            <wp:extent cx="658369" cy="810770"/>
            <wp:effectExtent l="0" t="0" r="8890" b="8890"/>
            <wp:docPr id="8" name="Picture 6" descr="סמל מדינת 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28024" name="israel-blu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rsidR="000F76A8" w:rsidRPr="00A10996" w:rsidRDefault="000F76A8" w:rsidP="00482559">
      <w:pPr>
        <w:spacing w:before="120"/>
        <w:jc w:val="center"/>
        <w:rPr>
          <w:rFonts w:ascii="Tahoma" w:hAnsi="Tahoma" w:cs="Tahoma"/>
          <w:sz w:val="28"/>
          <w:szCs w:val="28"/>
          <w:rtl/>
        </w:rPr>
      </w:pPr>
      <w:r w:rsidRPr="00A10996">
        <w:rPr>
          <w:rFonts w:ascii="Tahoma" w:hAnsi="Tahoma" w:cs="Tahoma"/>
          <w:sz w:val="28"/>
          <w:szCs w:val="28"/>
          <w:rtl/>
        </w:rPr>
        <w:t>מבקר המדינה</w:t>
      </w:r>
    </w:p>
    <w:p w:rsidR="00084E3A" w:rsidRDefault="00084E3A" w:rsidP="008D2388">
      <w:pPr>
        <w:spacing w:before="1080" w:line="240" w:lineRule="auto"/>
        <w:jc w:val="center"/>
        <w:rPr>
          <w:rFonts w:ascii="Tahoma" w:hAnsi="Tahoma" w:cs="Tahoma"/>
          <w:color w:val="2A2AA6"/>
          <w:sz w:val="32"/>
          <w:szCs w:val="32"/>
        </w:rPr>
      </w:pPr>
    </w:p>
    <w:p w:rsidR="00084E3A" w:rsidRDefault="00084E3A" w:rsidP="00084E3A">
      <w:pPr>
        <w:spacing w:before="600" w:line="240" w:lineRule="auto"/>
        <w:jc w:val="center"/>
        <w:rPr>
          <w:rFonts w:ascii="Tahoma" w:hAnsi="Tahoma" w:cs="Tahoma"/>
          <w:color w:val="2A2AA6"/>
          <w:sz w:val="32"/>
          <w:szCs w:val="32"/>
          <w:rtl/>
        </w:rPr>
      </w:pPr>
      <w:r>
        <w:rPr>
          <w:rFonts w:ascii="Tahoma" w:hAnsi="Tahoma" w:cs="Tahoma"/>
          <w:color w:val="2A2AA6"/>
          <w:sz w:val="32"/>
          <w:szCs w:val="32"/>
          <w:rtl/>
        </w:rPr>
        <w:t>דוח שנתי 70א</w:t>
      </w:r>
    </w:p>
    <w:p w:rsidR="00084E3A" w:rsidRPr="00154682" w:rsidRDefault="00084E3A" w:rsidP="00154682">
      <w:pPr>
        <w:pStyle w:val="tab-name"/>
        <w:keepNext w:val="0"/>
        <w:spacing w:before="120" w:line="240" w:lineRule="exact"/>
        <w:jc w:val="center"/>
        <w:rPr>
          <w:rFonts w:eastAsiaTheme="minorHAnsi"/>
          <w:color w:val="2A2AA6"/>
          <w:sz w:val="24"/>
          <w:szCs w:val="24"/>
          <w:rtl/>
        </w:rPr>
      </w:pPr>
    </w:p>
    <w:p w:rsidR="00084E3A" w:rsidRDefault="00AC7CAF" w:rsidP="00BE4285">
      <w:pPr>
        <w:pStyle w:val="tab-name"/>
        <w:keepNext w:val="0"/>
        <w:spacing w:before="360" w:line="240" w:lineRule="atLeast"/>
        <w:jc w:val="center"/>
        <w:outlineLvl w:val="0"/>
        <w:rPr>
          <w:color w:val="2A2AA6"/>
          <w:sz w:val="52"/>
          <w:szCs w:val="52"/>
          <w:rtl/>
        </w:rPr>
      </w:pPr>
      <w:r w:rsidRPr="00AC7CAF">
        <w:rPr>
          <w:color w:val="2A2AA6"/>
          <w:sz w:val="52"/>
          <w:szCs w:val="52"/>
          <w:rtl/>
        </w:rPr>
        <w:t>משרד האוצר</w:t>
      </w:r>
      <w:r>
        <w:rPr>
          <w:rFonts w:hint="cs"/>
          <w:color w:val="2A2AA6"/>
          <w:sz w:val="52"/>
          <w:szCs w:val="52"/>
          <w:rtl/>
        </w:rPr>
        <w:t xml:space="preserve"> -</w:t>
      </w:r>
      <w:r w:rsidR="00BE4285">
        <w:rPr>
          <w:color w:val="2A2AA6"/>
          <w:sz w:val="52"/>
          <w:szCs w:val="52"/>
          <w:rtl/>
        </w:rPr>
        <w:br/>
      </w:r>
      <w:r w:rsidRPr="00AC7CAF">
        <w:rPr>
          <w:color w:val="2A2AA6"/>
          <w:sz w:val="52"/>
          <w:szCs w:val="52"/>
          <w:rtl/>
        </w:rPr>
        <w:t>רשות המיסים בישראל</w:t>
      </w:r>
    </w:p>
    <w:p w:rsidR="00AC7CAF" w:rsidRPr="00BE4285" w:rsidRDefault="00AC7CAF" w:rsidP="00AC7CAF">
      <w:pPr>
        <w:pStyle w:val="tab-name"/>
        <w:keepNext w:val="0"/>
        <w:spacing w:before="120" w:line="240" w:lineRule="exact"/>
        <w:jc w:val="center"/>
        <w:rPr>
          <w:rFonts w:eastAsiaTheme="minorHAnsi"/>
          <w:color w:val="2A2AA6"/>
          <w:sz w:val="28"/>
          <w:szCs w:val="28"/>
          <w:rtl/>
        </w:rPr>
      </w:pPr>
      <w:r w:rsidRPr="00BE4285">
        <w:rPr>
          <w:rFonts w:eastAsiaTheme="minorHAnsi"/>
          <w:color w:val="2A2AA6"/>
          <w:sz w:val="28"/>
          <w:szCs w:val="28"/>
          <w:rtl/>
        </w:rPr>
        <w:t>פעילות רשות המיסים בנושא הסדר הסולר</w:t>
      </w:r>
    </w:p>
    <w:p w:rsidR="00AC7CAF" w:rsidRPr="00BE4285" w:rsidRDefault="00AC7CAF" w:rsidP="00AC7CAF">
      <w:pPr>
        <w:pStyle w:val="tab-name"/>
        <w:keepNext w:val="0"/>
        <w:spacing w:before="120" w:line="240" w:lineRule="exact"/>
        <w:jc w:val="center"/>
        <w:rPr>
          <w:rFonts w:eastAsiaTheme="minorHAnsi"/>
          <w:color w:val="2A2AA6"/>
          <w:sz w:val="28"/>
          <w:szCs w:val="28"/>
          <w:rtl/>
        </w:rPr>
      </w:pPr>
      <w:r w:rsidRPr="00BE4285">
        <w:rPr>
          <w:rFonts w:eastAsiaTheme="minorHAnsi" w:hint="cs"/>
          <w:color w:val="2A2AA6"/>
          <w:sz w:val="24"/>
          <w:szCs w:val="24"/>
          <w:rtl/>
        </w:rPr>
        <w:t>ביקורת מעקב</w:t>
      </w:r>
    </w:p>
    <w:p w:rsidR="00084E3A" w:rsidRDefault="00084E3A" w:rsidP="008223F4">
      <w:pPr>
        <w:spacing w:before="3080" w:line="720" w:lineRule="exact"/>
        <w:jc w:val="center"/>
        <w:rPr>
          <w:rFonts w:ascii="Tahoma" w:hAnsi="Tahoma" w:cs="Tahoma"/>
          <w:sz w:val="24"/>
          <w:rtl/>
        </w:rPr>
      </w:pPr>
    </w:p>
    <w:p w:rsidR="00A73796" w:rsidRDefault="00A73796" w:rsidP="00A73796">
      <w:pPr>
        <w:spacing w:line="240" w:lineRule="atLeast"/>
        <w:jc w:val="center"/>
        <w:rPr>
          <w:rFonts w:ascii="Tahoma" w:hAnsi="Tahoma" w:cs="Tahoma"/>
          <w:sz w:val="22"/>
          <w:szCs w:val="22"/>
          <w:rtl/>
        </w:rPr>
      </w:pPr>
      <w:r>
        <w:rPr>
          <w:noProof/>
          <w:rtl/>
        </w:rPr>
        <w:drawing>
          <wp:inline distT="0" distB="0" distL="0" distR="0" wp14:anchorId="4927EFCC" wp14:editId="1C273F7A">
            <wp:extent cx="744855" cy="489585"/>
            <wp:effectExtent l="0" t="0" r="0" b="5715"/>
            <wp:docPr id="15" name="תמונה 15" descr="סמל משרד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4855" cy="489585"/>
                    </a:xfrm>
                    <a:prstGeom prst="rect">
                      <a:avLst/>
                    </a:prstGeom>
                    <a:noFill/>
                  </pic:spPr>
                </pic:pic>
              </a:graphicData>
            </a:graphic>
          </wp:inline>
        </w:drawing>
      </w:r>
    </w:p>
    <w:p w:rsidR="00F62588" w:rsidRDefault="00084E3A" w:rsidP="00084E3A">
      <w:pPr>
        <w:spacing w:line="240" w:lineRule="auto"/>
        <w:jc w:val="center"/>
        <w:rPr>
          <w:rFonts w:ascii="Tahoma" w:hAnsi="Tahoma" w:cs="Tahoma"/>
          <w:sz w:val="22"/>
          <w:szCs w:val="22"/>
          <w:rtl/>
        </w:rPr>
      </w:pPr>
      <w:r>
        <w:rPr>
          <w:rFonts w:ascii="Tahoma" w:hAnsi="Tahoma" w:cs="Tahoma"/>
          <w:sz w:val="22"/>
          <w:szCs w:val="22"/>
          <w:rtl/>
        </w:rPr>
        <w:t xml:space="preserve">ירושלים, אדר </w:t>
      </w:r>
      <w:proofErr w:type="spellStart"/>
      <w:r>
        <w:rPr>
          <w:rFonts w:ascii="Tahoma" w:hAnsi="Tahoma" w:cs="Tahoma"/>
          <w:sz w:val="22"/>
          <w:szCs w:val="22"/>
          <w:rtl/>
        </w:rPr>
        <w:t>התש"ף</w:t>
      </w:r>
      <w:proofErr w:type="spellEnd"/>
      <w:r>
        <w:rPr>
          <w:rFonts w:ascii="Tahoma" w:hAnsi="Tahoma" w:cs="Tahoma"/>
          <w:sz w:val="22"/>
          <w:szCs w:val="22"/>
          <w:rtl/>
        </w:rPr>
        <w:t>, מרץ 2020</w:t>
      </w:r>
    </w:p>
    <w:p w:rsidR="00DE6C5F" w:rsidRDefault="00F62588">
      <w:pPr>
        <w:bidi w:val="0"/>
        <w:spacing w:after="200" w:line="276" w:lineRule="auto"/>
        <w:rPr>
          <w:rFonts w:ascii="Tahoma" w:hAnsi="Tahoma" w:cs="Tahoma"/>
          <w:sz w:val="22"/>
          <w:szCs w:val="22"/>
          <w:rtl/>
        </w:rPr>
        <w:sectPr w:rsidR="00DE6C5F" w:rsidSect="00431222">
          <w:headerReference w:type="default" r:id="rId11"/>
          <w:footerReference w:type="default" r:id="rId12"/>
          <w:pgSz w:w="11906" w:h="16838" w:code="9"/>
          <w:pgMar w:top="2268" w:right="1985" w:bottom="2155" w:left="1701" w:header="1559" w:footer="709" w:gutter="0"/>
          <w:pgNumType w:start="547"/>
          <w:cols w:space="720"/>
          <w:titlePg/>
          <w:bidi/>
          <w:rtlGutter/>
          <w:docGrid w:linePitch="272"/>
        </w:sectPr>
      </w:pPr>
      <w:r>
        <w:rPr>
          <w:rFonts w:ascii="Tahoma" w:hAnsi="Tahoma" w:cs="Tahoma"/>
          <w:sz w:val="22"/>
          <w:szCs w:val="22"/>
          <w:rtl/>
        </w:rPr>
        <w:br w:type="page"/>
      </w:r>
    </w:p>
    <w:p w:rsidR="00F62588" w:rsidRDefault="00F62588">
      <w:pPr>
        <w:bidi w:val="0"/>
        <w:spacing w:after="200" w:line="276" w:lineRule="auto"/>
        <w:rPr>
          <w:rFonts w:ascii="Tahoma" w:hAnsi="Tahoma" w:cs="Tahoma"/>
          <w:sz w:val="22"/>
          <w:szCs w:val="22"/>
          <w:rtl/>
        </w:rPr>
      </w:pPr>
    </w:p>
    <w:p w:rsidR="00084E3A" w:rsidRDefault="00084E3A" w:rsidP="00084E3A">
      <w:pPr>
        <w:spacing w:line="240" w:lineRule="auto"/>
        <w:jc w:val="center"/>
        <w:rPr>
          <w:rFonts w:ascii="Tahoma" w:hAnsi="Tahoma" w:cs="Tahoma"/>
          <w:sz w:val="22"/>
          <w:szCs w:val="22"/>
          <w:rtl/>
        </w:rPr>
      </w:pPr>
    </w:p>
    <w:p w:rsidR="00DE6C5F" w:rsidRDefault="00DE6C5F" w:rsidP="00C017CA">
      <w:pPr>
        <w:bidi w:val="0"/>
        <w:spacing w:after="200" w:line="276" w:lineRule="auto"/>
        <w:rPr>
          <w:rFonts w:ascii="Tahoma" w:hAnsi="Tahoma" w:cs="Tahoma"/>
          <w:sz w:val="22"/>
          <w:szCs w:val="22"/>
        </w:rPr>
        <w:sectPr w:rsidR="00DE6C5F" w:rsidSect="00F77786">
          <w:pgSz w:w="11906" w:h="16838" w:code="9"/>
          <w:pgMar w:top="2268" w:right="1985" w:bottom="2155" w:left="1701" w:header="1559" w:footer="709" w:gutter="0"/>
          <w:cols w:space="720"/>
          <w:titlePg/>
          <w:bidi/>
          <w:rtlGutter/>
          <w:docGrid w:linePitch="272"/>
        </w:sectPr>
      </w:pPr>
    </w:p>
    <w:p w:rsidR="00327593" w:rsidRDefault="002562FF" w:rsidP="004702A3">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extent cx="5220000" cy="7043855"/>
            <wp:effectExtent l="0" t="0" r="0" b="5080"/>
            <wp:docPr id="7" name="תמונה 7" descr="תקציר&#10;&#10;רקע&#10;הבלו על הדלק הוא מס קצוב שמוטל על סוגי דלק, כגון נפט, סולר ובנזין. הבלו מוסדר בחוק הבלו על דלק, התשי''ח-1958. בינואר 2005 אישרה ועדת הכספים של הכנסת להעלות את סכום הבלו על הסולר בהדרגה במשך ארבע שנים, עד שישתווה לבלו על הבנזין.&#10;כדי לצמצם את הפגיעה הכלכלית בעוסקים בענפים שבהם הסולר הוא אחד האמצעים העיקריים לייצור ההכנסה הופעל מנגנון הישבון, שמטרתו להשיב לעוסקים בענפים אלה חלק מהוצאותיהם על רכישת סולר (הסדר הסולר או ההסדר).&#10;&#10;נתוני מפתח&#10;94 מיליארד ש״ח - הכנסות המדינה ב-2018 מגביית בלו על סולר.&#10;5.76 מיליארד ש״ח - הכנסות המדינה נטו ב-2018 מגביית בלו על סולר, לאחר ניכוי הישבון בגין הסדר הסולר וקיזוז הבלו עבור הרשות הפלסטינית.&#10;3.59 מיליארד ש״ח - ההחזר שניתן לעוסקים בשנת 2018 במסגרת הסדר הישבון הסולר.&#10;3.59 מיליארד ש״ח - קיזוז הבלו עבור הרשות הפלסטינית בשנת 2018.&#10;53,000 - מספר העוסקים שנכללו בשנת 2018 במסגרת הסדר הישבון הסולר.&#10;600 - מספר העוסקים שהיחס בין היקף הוצאות הסולר שדרשו בהסדר לבין המחזור הכספי שלהם לא היה סביר&#10;&#10;פעולות הביקורת&#10;בשנת 2015 פרסם משרד מבקר המדינה דוח בעניין הסדר הסולר (הדוח הקודם). בדוח הנוכחי מובאים ממצאי המעקב אחר תיקון הליקויים המרכזיים שצוינו בדוח הקודם. בחודשים מרץ עד מאי 2019 בדק משרד מבקר המדינה את פעולותיה של רשות המיסים לתיקון הליקויים המרכזיים שצוינו בדוח הקודם בתחום הסדר הסולר (המעקב). המעקב נעשה בהנהלת רשות המיסים, ביחידת הסולר ובמשרדים האזוריים של מס הכנסה ומע״ם ברחובות ובחדרה.&#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7-מותאם.jpg"/>
                    <pic:cNvPicPr/>
                  </pic:nvPicPr>
                  <pic:blipFill rotWithShape="1">
                    <a:blip r:embed="rId13" cstate="print">
                      <a:extLst>
                        <a:ext uri="{28A0092B-C50C-407E-A947-70E740481C1C}">
                          <a14:useLocalDpi xmlns:a14="http://schemas.microsoft.com/office/drawing/2010/main" val="0"/>
                        </a:ext>
                      </a:extLst>
                    </a:blip>
                    <a:srcRect l="12226" t="9633" r="12044" b="8631"/>
                    <a:stretch/>
                  </pic:blipFill>
                  <pic:spPr bwMode="auto">
                    <a:xfrm>
                      <a:off x="0" y="0"/>
                      <a:ext cx="5220000" cy="7043855"/>
                    </a:xfrm>
                    <a:prstGeom prst="rect">
                      <a:avLst/>
                    </a:prstGeom>
                    <a:ln>
                      <a:noFill/>
                    </a:ln>
                    <a:extLst>
                      <a:ext uri="{53640926-AAD7-44D8-BBD7-CCE9431645EC}">
                        <a14:shadowObscured xmlns:a14="http://schemas.microsoft.com/office/drawing/2010/main"/>
                      </a:ext>
                    </a:extLst>
                  </pic:spPr>
                </pic:pic>
              </a:graphicData>
            </a:graphic>
          </wp:inline>
        </w:drawing>
      </w:r>
    </w:p>
    <w:p w:rsidR="00154682" w:rsidRDefault="002562FF" w:rsidP="004702A3">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4983FC8A" wp14:editId="677C1E89">
            <wp:extent cx="5219700" cy="7060565"/>
            <wp:effectExtent l="0" t="0" r="0" b="6985"/>
            <wp:docPr id="9" name="תמונה 9" descr="תמונת המצב העולה מביקורת המעקב&#10;בביקורת הקודמת נמצא כי תדלוק באמצעות צוברים מאפשר לעוסק לרשום את כמות הסולר המוערכת עבור כל כלי רכב או כלי עבודה או אף עבור כלי רכב שאינו מזכה בהישבון, בלי שאפשר לפקח על כך. במצב זה קיים חשש שמוחזר בלו על סולר לעוסקים שלא היו זכאים לו. המעקב העלה כי ליקוי זה לא תוקן.&#10;בביקורת הקודמת נמצאו מקרים שבהם עוסקים קיבלו הישבון סולר על פי חשבוניות פיקטיביות שהגישו. המעקב העלה כי ליקוי זה לא תוקן.&#10;בביקורת הקודמת נמצא כי רק כמחצית מהעוסקים שהיו זכאים להישבון סולר ב-2014 אכן נכללו בהסדר הסולר והגישו בקשות לקבלת הישבון, דבר המלמד על כך שחלק מהעוסקים נמנעים מלהיכלל בהסדר כדי לא לחשוף את נתוני צריכת הסולר שלהם ולהימנע מביקורת על עסקותיהם. המעקב העלה כי רשות המיסים הוציאה אוטומטית ממאגר העוסקים הזכאים להיכלל בהסדר הסולר את מי שעמדו בדרישות אך לא הגישו בקשה לקבלת הישבון.&#10;בביקורת הקודמת נמצא כי היחידה הכלכלית של רשות המיסים מוסרת למשרדים האזוריים של מע״ם רשימה של כ-600 עוסקים שדיווחיהם על צריכת הסולר חריגים ביחס למחזור העסקאות שלהם. נמצא כי משרדי מע״ם לא השתמשו ברשימה שמסרה להם היחידה הכלכלית לבדיקת הדיווחים החריגים. המעקב העלה כי ליקוי זה לא תוקן.&#10;נמצא כי גם כיום אין הקפדה על כך שמפקחי המס יבדקו את התיקים של נישומים שקיבלו את סכומי ההישבון הגבוהים ביותר.&#10;&#10;בביקורת הקודמת נמצא כי רשות המיסים אינה מבצעת מספיק בקרה כדי לוודא שעוסקים שקיבלו שוברים ידניים לתשלום חוב בגין הישבון שניתן להם ביתר, אכן שילמו את החוב. המעקב העלה כי הליקוי תוקן.&#10;בביקורת הקודמת נמצא כי המערכת הממוחשבת איפשרה לעוסק לקבל הישבון סולר גם עבור תקופה שבה רישיון הרכב שלו לא היה בתוקף. המעקב העלה כי הליקוי תוקן.&#10;בביקורת הקודמת נמצא כי משרדי מע״ם לא מילאו את הנחיות רשות המיסים, וכי בשנת 2013 הם ביצעו ביקורת חשבונות בנושא הסדר הסולר רק בכ-75% ממכסת התיקים שנקבעה להם. המעקב העלה כי הליקוי תוקן.&#10;בביקורת הקודמת נמצא כי רשות המיסים לא פרסמה הנחיות לנישומים ולמייצגים כיצד עליהם לדווח למס הכנסה על הישבון הסולר. בהיעדר הנחיות כאלה, מרבית הנישומים לא דיווחו על ההכנסה שנוצרה להם בגין הישבון הסולר. המעקב העלה כי הנישומים והמייצגים הונחו לדווח בטופס שמצורף לדוח השנתי על החזרי הבלו שקיבלו על סולר.&#10;בביקורת הקודמת נמצא כי רשות המיסים לא בחנה במשך תשע השנים שבהן פעל הסדר הסולר את המשך הפעלתו של ההסדר ואת השפעתו בהיבט הכלכלי, החברתי והסביבתי. המעקב העלה כי הליקוי תוקן במידה רבה. במרץ 2018 פורסם תיקון לצו ההישבון, ובו נקבע כי החזרי הבלו על הסולר יצומצמו בהדרגה עד סוף שנת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7-מותאם2.jpg"/>
                    <pic:cNvPicPr/>
                  </pic:nvPicPr>
                  <pic:blipFill rotWithShape="1">
                    <a:blip r:embed="rId14" cstate="print">
                      <a:extLst>
                        <a:ext uri="{28A0092B-C50C-407E-A947-70E740481C1C}">
                          <a14:useLocalDpi xmlns:a14="http://schemas.microsoft.com/office/drawing/2010/main" val="0"/>
                        </a:ext>
                      </a:extLst>
                    </a:blip>
                    <a:srcRect l="12227" t="9925" r="12225" b="8339"/>
                    <a:stretch/>
                  </pic:blipFill>
                  <pic:spPr bwMode="auto">
                    <a:xfrm>
                      <a:off x="0" y="0"/>
                      <a:ext cx="5219700" cy="7060565"/>
                    </a:xfrm>
                    <a:prstGeom prst="rect">
                      <a:avLst/>
                    </a:prstGeom>
                    <a:ln>
                      <a:noFill/>
                    </a:ln>
                    <a:extLst>
                      <a:ext uri="{53640926-AAD7-44D8-BBD7-CCE9431645EC}">
                        <a14:shadowObscured xmlns:a14="http://schemas.microsoft.com/office/drawing/2010/main"/>
                      </a:ext>
                    </a:extLst>
                  </pic:spPr>
                </pic:pic>
              </a:graphicData>
            </a:graphic>
          </wp:inline>
        </w:drawing>
      </w:r>
    </w:p>
    <w:p w:rsidR="00327593" w:rsidRDefault="002562FF" w:rsidP="004702A3">
      <w:pPr>
        <w:spacing w:after="200" w:line="276" w:lineRule="auto"/>
        <w:jc w:val="center"/>
        <w:rPr>
          <w:rFonts w:ascii="Tahoma" w:hAnsi="Tahoma" w:cs="Tahoma"/>
          <w:sz w:val="22"/>
          <w:szCs w:val="22"/>
        </w:rPr>
      </w:pPr>
      <w:r>
        <w:rPr>
          <w:rFonts w:ascii="Tahoma" w:hAnsi="Tahoma" w:cs="Tahoma"/>
          <w:noProof/>
          <w:sz w:val="22"/>
          <w:szCs w:val="22"/>
        </w:rPr>
        <w:lastRenderedPageBreak/>
        <w:drawing>
          <wp:inline distT="0" distB="0" distL="0" distR="0" wp14:anchorId="065D48F8" wp14:editId="43C4F5AF">
            <wp:extent cx="5219700" cy="6997065"/>
            <wp:effectExtent l="0" t="0" r="0" b="0"/>
            <wp:docPr id="10" name="תמונה 10" descr="עיקרי המלצות הביקורת&#10;על רשות המיסים לקדם את החקיקה בנושא תקנות הוראות ניהול ספרים, כך שיכללו גם שימוש באמצעי מדידה טכנולוגיים כמצוין בתשובת רשות המיסים.&#10;על רשות המיסים לבחון את הנחיותיה למשרדי מע״ם האזוריים בעניין בחינת הכללת תיקי עוסקים לביקורת במקרים שבהם קיימת אי-התאמה ניכרת בין הוצאות הסולר של העסק על פי הדיווח שלו ובין סך המחזור של העסק או במקרים שבהם עלו ליקויים בדיווח של העסק על כמות הסולר שצרך.&#10;סיכום&#10;הסדר הסולר נועד לצמצם את הפגיעה בענפים כלכליים שבהם הסולר וכלי הרכב הם האמצעים העיקריים לייצור ההכנסה. עלות הסדר הסולר למשק הישראלי בשנת 2018 הייתה כ-3.59 מיליארד ש״ח. בדוח הקודם הועלה כי רשות המיסים אינה מטפלת כראוי בנושא הסדר הסולר, וכי הוא אינו מגשים את מטרותיו ויוצר תמריץ שלילי לשימוש בסוגי דלק ירוקים שאינם מזהמים. הביקורת הנוכחית העלתה כי מקצת הליקויים תוקנו, מקצתם תוקנו חלקית ומקצתם לא תוקנו כלל.&#10;הממצאים שהועלו בדוח המעקב&#10;תיאור התמונה: בתרשים מוצג מצב תיקון הליקויים כדלהלן: בחינה מחדש של הסדר הסולר - תוקן. בקרה לקויה של המערכת הממוחשבת להישבון סולר - תוקן במידה חלקית. ליקויים בטיפול של משרד מע&quot;ם ומס הכנסה בהישבון הסולר - תוקן במידה חלקית. ניצול לרעה של התנאים שנקבעו להישבון הסולר - לא תוקן כלל. שימוש בחשבוניות פיקטיביות לקבלת הישבון סולר - לא תוקן כל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7-מותאם3.jpg"/>
                    <pic:cNvPicPr/>
                  </pic:nvPicPr>
                  <pic:blipFill rotWithShape="1">
                    <a:blip r:embed="rId15" cstate="print">
                      <a:extLst>
                        <a:ext uri="{28A0092B-C50C-407E-A947-70E740481C1C}">
                          <a14:useLocalDpi xmlns:a14="http://schemas.microsoft.com/office/drawing/2010/main" val="0"/>
                        </a:ext>
                      </a:extLst>
                    </a:blip>
                    <a:srcRect l="12044" t="9779" r="11861" b="8631"/>
                    <a:stretch/>
                  </pic:blipFill>
                  <pic:spPr bwMode="auto">
                    <a:xfrm>
                      <a:off x="0" y="0"/>
                      <a:ext cx="5219700" cy="6997065"/>
                    </a:xfrm>
                    <a:prstGeom prst="rect">
                      <a:avLst/>
                    </a:prstGeom>
                    <a:ln>
                      <a:noFill/>
                    </a:ln>
                    <a:extLst>
                      <a:ext uri="{53640926-AAD7-44D8-BBD7-CCE9431645EC}">
                        <a14:shadowObscured xmlns:a14="http://schemas.microsoft.com/office/drawing/2010/main"/>
                      </a:ext>
                    </a:extLst>
                  </pic:spPr>
                </pic:pic>
              </a:graphicData>
            </a:graphic>
          </wp:inline>
        </w:drawing>
      </w:r>
    </w:p>
    <w:p w:rsidR="004702A3" w:rsidRDefault="004702A3" w:rsidP="004702A3">
      <w:pPr>
        <w:spacing w:after="200" w:line="276" w:lineRule="auto"/>
        <w:jc w:val="center"/>
        <w:rPr>
          <w:rFonts w:ascii="Tahoma" w:hAnsi="Tahoma" w:cs="Tahoma"/>
          <w:sz w:val="22"/>
          <w:szCs w:val="22"/>
        </w:rPr>
        <w:sectPr w:rsidR="004702A3" w:rsidSect="008A6979">
          <w:pgSz w:w="11906" w:h="16838" w:code="9"/>
          <w:pgMar w:top="2268" w:right="1985" w:bottom="2155" w:left="1701" w:header="709" w:footer="709" w:gutter="0"/>
          <w:cols w:space="720"/>
          <w:bidi/>
          <w:rtlGutter/>
          <w:docGrid w:linePitch="272"/>
        </w:sectPr>
      </w:pPr>
    </w:p>
    <w:p w:rsidR="004702A3" w:rsidRDefault="004702A3" w:rsidP="004702A3">
      <w:pPr>
        <w:spacing w:after="200" w:line="276" w:lineRule="auto"/>
        <w:jc w:val="center"/>
        <w:rPr>
          <w:rFonts w:ascii="Tahoma" w:hAnsi="Tahoma" w:cs="Tahoma"/>
          <w:sz w:val="22"/>
          <w:szCs w:val="22"/>
        </w:rPr>
      </w:pPr>
    </w:p>
    <w:p w:rsidR="00084E3A" w:rsidRDefault="00084E3A" w:rsidP="00084E3A">
      <w:pPr>
        <w:bidi w:val="0"/>
        <w:spacing w:line="240" w:lineRule="auto"/>
        <w:jc w:val="left"/>
        <w:rPr>
          <w:rFonts w:ascii="Tahoma" w:hAnsi="Tahoma" w:cs="Tahoma"/>
          <w:sz w:val="22"/>
          <w:szCs w:val="22"/>
          <w:rtl/>
        </w:rPr>
        <w:sectPr w:rsidR="00084E3A" w:rsidSect="008A6979">
          <w:pgSz w:w="11906" w:h="16838" w:code="9"/>
          <w:pgMar w:top="2268" w:right="1985" w:bottom="2155" w:left="1701" w:header="709" w:footer="709" w:gutter="0"/>
          <w:cols w:space="720"/>
          <w:titlePg/>
          <w:bidi/>
          <w:rtlGutter/>
          <w:docGrid w:linePitch="272"/>
        </w:sectPr>
      </w:pPr>
    </w:p>
    <w:p w:rsidR="00AC7CAF" w:rsidRPr="00AC7CAF" w:rsidRDefault="00AC7CAF" w:rsidP="00AC7CAF">
      <w:pPr>
        <w:pStyle w:val="11"/>
        <w:rPr>
          <w:rtl/>
        </w:rPr>
      </w:pPr>
      <w:r w:rsidRPr="00AC7CAF">
        <w:rPr>
          <w:rtl/>
        </w:rPr>
        <w:lastRenderedPageBreak/>
        <w:t>משרד האוצר</w:t>
      </w:r>
      <w:r w:rsidRPr="00AC7CAF">
        <w:rPr>
          <w:rFonts w:hint="cs"/>
          <w:rtl/>
        </w:rPr>
        <w:t xml:space="preserve"> - </w:t>
      </w:r>
      <w:r w:rsidRPr="00AC7CAF">
        <w:rPr>
          <w:rtl/>
        </w:rPr>
        <w:t>רשות המיסים בישראל</w:t>
      </w:r>
    </w:p>
    <w:p w:rsidR="00AC7CAF" w:rsidRDefault="00AC7CAF" w:rsidP="00AC7CAF">
      <w:pPr>
        <w:pStyle w:val="21"/>
        <w:jc w:val="center"/>
        <w:rPr>
          <w:rFonts w:eastAsiaTheme="minorHAnsi"/>
          <w:rtl/>
        </w:rPr>
      </w:pPr>
      <w:r w:rsidRPr="00AC7CAF">
        <w:rPr>
          <w:rFonts w:eastAsiaTheme="minorHAnsi"/>
          <w:rtl/>
        </w:rPr>
        <w:t>פעילות רשות המיסים בנושא הסדר הסולר</w:t>
      </w:r>
    </w:p>
    <w:p w:rsidR="00AC7CAF" w:rsidRPr="00AC7CAF" w:rsidRDefault="00AC7CAF" w:rsidP="00AC7CAF">
      <w:pPr>
        <w:pStyle w:val="tab-name"/>
        <w:keepNext w:val="0"/>
        <w:spacing w:before="120" w:line="240" w:lineRule="exact"/>
        <w:jc w:val="center"/>
        <w:rPr>
          <w:rFonts w:eastAsiaTheme="minorHAnsi"/>
          <w:color w:val="2A2AA6"/>
          <w:sz w:val="24"/>
          <w:szCs w:val="24"/>
          <w:rtl/>
        </w:rPr>
      </w:pPr>
      <w:r w:rsidRPr="00AC7CAF">
        <w:rPr>
          <w:rFonts w:eastAsiaTheme="minorHAnsi" w:hint="cs"/>
          <w:color w:val="2A2AA6"/>
          <w:sz w:val="24"/>
          <w:szCs w:val="24"/>
          <w:rtl/>
        </w:rPr>
        <w:t>ביקורת מעקב</w:t>
      </w:r>
    </w:p>
    <w:p w:rsidR="009169B9" w:rsidRPr="00530118" w:rsidRDefault="009169B9" w:rsidP="00530118">
      <w:pPr>
        <w:pStyle w:val="31"/>
        <w:rPr>
          <w:rtl/>
        </w:rPr>
      </w:pPr>
      <w:r w:rsidRPr="00530118">
        <w:rPr>
          <w:rtl/>
        </w:rPr>
        <w:t>מבוא</w:t>
      </w:r>
    </w:p>
    <w:p w:rsidR="009169B9" w:rsidRPr="00743C5C" w:rsidRDefault="009169B9" w:rsidP="009169B9">
      <w:pPr>
        <w:spacing w:after="120"/>
        <w:rPr>
          <w:rFonts w:ascii="Tahoma" w:hAnsi="Tahoma" w:cs="Tahoma"/>
          <w:szCs w:val="20"/>
          <w:rtl/>
        </w:rPr>
      </w:pPr>
      <w:r w:rsidRPr="00743C5C">
        <w:rPr>
          <w:rFonts w:ascii="Tahoma" w:hAnsi="Tahoma" w:cs="Tahoma"/>
          <w:szCs w:val="20"/>
          <w:rtl/>
        </w:rPr>
        <w:t xml:space="preserve">הבְּלוֹ על דלק הוא מס קצוב שמוטל על סוגי דלק, כגון נפט, סולר ובנזין. הבלו מוסדר בחוק הבלו על דלק, התשי''ח-1958 (להלן - חוק הבלו). על הדלק לסוגיו המיוצר בישראל מוטל בלו בשיעורים שקובע שר האוצר. עד ינואר 2005 היה הבלו על הסולר נמוך במידה ניכרת מהבלו על הבנזין: 0.68 ש"ח לליטר סולר, לעומת 2.2 ש"ח לליטר בנזין (במחירי שנת 2005). בינואר 2005 אישרה ועדת הכספים של הכנסת להעלות את סכום הבלו על הסולר החל מספטמבר 2005 וקבעה כי הוא יועלה בהדרגה במשך ארבע שנים עד שהבלו על הסולר ישתווה לבלו על הבנזין. העלאת הבלו על הסולר נבעה, בין היתר, מהעלייה בשימוש בו גם בכלי רכב פרטיים. להעלאת הבלו על הסולר היו כמה מטרות: הקצאה יעילה יותר של מקורות במשק </w:t>
      </w:r>
      <w:proofErr w:type="spellStart"/>
      <w:r w:rsidRPr="00743C5C">
        <w:rPr>
          <w:rFonts w:ascii="Tahoma" w:hAnsi="Tahoma" w:cs="Tahoma"/>
          <w:szCs w:val="20"/>
          <w:rtl/>
        </w:rPr>
        <w:t>האנרגייה</w:t>
      </w:r>
      <w:proofErr w:type="spellEnd"/>
      <w:r w:rsidRPr="00743C5C">
        <w:rPr>
          <w:rFonts w:ascii="Tahoma" w:hAnsi="Tahoma" w:cs="Tahoma"/>
          <w:szCs w:val="20"/>
          <w:rtl/>
        </w:rPr>
        <w:t>, שימוש בסוגי דלק והנעה מזהמים פחות והגדלת הכנסות המדינה ממיסוי הסולר.</w:t>
      </w:r>
    </w:p>
    <w:p w:rsidR="009169B9" w:rsidRPr="00743C5C" w:rsidRDefault="009169B9" w:rsidP="009169B9">
      <w:pPr>
        <w:spacing w:after="120"/>
        <w:rPr>
          <w:rFonts w:ascii="Tahoma" w:hAnsi="Tahoma" w:cs="Tahoma"/>
          <w:szCs w:val="20"/>
          <w:rtl/>
        </w:rPr>
      </w:pPr>
      <w:r w:rsidRPr="00743C5C">
        <w:rPr>
          <w:rFonts w:ascii="Tahoma" w:hAnsi="Tahoma" w:cs="Tahoma"/>
          <w:szCs w:val="20"/>
          <w:rtl/>
        </w:rPr>
        <w:t>במסגרת האישור האמור של ועדת הכספים של הכנסת, הוגדרו ענפים כלכליים שניתן להם פטור מהבלו, כגון ענף התעשייה, ההובלות, ההסעות, הציוד המכני ההנדסי, החקלאות והתעשייה. בענפים אלה הסולר, המשמש להנעת כלי רכב או מכונות, הוא אחד האמצעים העיקריים לייצור ההכנסה</w:t>
      </w:r>
      <w:r w:rsidRPr="00743C5C">
        <w:rPr>
          <w:rFonts w:ascii="Tahoma" w:hAnsi="Tahoma" w:cs="Tahoma"/>
          <w:sz w:val="16"/>
          <w:szCs w:val="20"/>
          <w:rtl/>
        </w:rPr>
        <w:t xml:space="preserve">. </w:t>
      </w:r>
      <w:r w:rsidRPr="00743C5C">
        <w:rPr>
          <w:rFonts w:ascii="Tahoma" w:hAnsi="Tahoma" w:cs="Tahoma"/>
          <w:szCs w:val="20"/>
          <w:rtl/>
        </w:rPr>
        <w:t xml:space="preserve">כדי לצמצם את הפגיעה הכלכלית בעוסקים בענפים אלה, הופעל מנגנון </w:t>
      </w:r>
      <w:proofErr w:type="spellStart"/>
      <w:r w:rsidRPr="00743C5C">
        <w:rPr>
          <w:rFonts w:ascii="Tahoma" w:hAnsi="Tahoma" w:cs="Tahoma"/>
          <w:szCs w:val="20"/>
          <w:rtl/>
        </w:rPr>
        <w:t>הישָבון</w:t>
      </w:r>
      <w:proofErr w:type="spellEnd"/>
      <w:r w:rsidRPr="00743C5C">
        <w:rPr>
          <w:rFonts w:ascii="Tahoma" w:hAnsi="Tahoma" w:cs="Tahoma"/>
          <w:szCs w:val="20"/>
          <w:rtl/>
        </w:rPr>
        <w:t xml:space="preserve"> שמטרתו להשיב למגזרים אלה חלק מהוצאותיהם על רכישת סולר (להלן - הסדר הסולר או ההסדר). </w:t>
      </w:r>
      <w:r w:rsidRPr="00743C5C">
        <w:rPr>
          <w:rFonts w:ascii="Tahoma" w:hAnsi="Tahoma" w:cs="Tahoma"/>
          <w:sz w:val="16"/>
          <w:szCs w:val="20"/>
          <w:rtl/>
        </w:rPr>
        <w:t>מתן הפטור בענפי הכלכלה הללו אף משמש כלי לקידום יעדים חברתיים וכלכליים</w:t>
      </w:r>
      <w:r w:rsidRPr="00743C5C">
        <w:rPr>
          <w:rFonts w:ascii="Tahoma" w:hAnsi="Tahoma" w:cs="Tahoma"/>
          <w:szCs w:val="20"/>
          <w:rtl/>
        </w:rPr>
        <w:t xml:space="preserve">. הסדר הסולר מעוגן בחוק הבלו ובצו הבלו על דלק (פטור </w:t>
      </w:r>
      <w:proofErr w:type="spellStart"/>
      <w:r w:rsidRPr="00743C5C">
        <w:rPr>
          <w:rFonts w:ascii="Tahoma" w:hAnsi="Tahoma" w:cs="Tahoma"/>
          <w:szCs w:val="20"/>
          <w:rtl/>
        </w:rPr>
        <w:t>והישבון</w:t>
      </w:r>
      <w:proofErr w:type="spellEnd"/>
      <w:r w:rsidRPr="00743C5C">
        <w:rPr>
          <w:rFonts w:ascii="Tahoma" w:hAnsi="Tahoma" w:cs="Tahoma"/>
          <w:szCs w:val="20"/>
          <w:rtl/>
        </w:rPr>
        <w:t xml:space="preserve">), התשס"ה-2005 (להלן - צו </w:t>
      </w:r>
      <w:proofErr w:type="spellStart"/>
      <w:r w:rsidRPr="00743C5C">
        <w:rPr>
          <w:rFonts w:ascii="Tahoma" w:hAnsi="Tahoma" w:cs="Tahoma"/>
          <w:szCs w:val="20"/>
          <w:rtl/>
        </w:rPr>
        <w:t>ההישבון</w:t>
      </w:r>
      <w:proofErr w:type="spellEnd"/>
      <w:r w:rsidRPr="00743C5C">
        <w:rPr>
          <w:rFonts w:ascii="Tahoma" w:hAnsi="Tahoma" w:cs="Tahoma"/>
          <w:szCs w:val="20"/>
          <w:rtl/>
        </w:rPr>
        <w:t>).</w:t>
      </w:r>
    </w:p>
    <w:p w:rsidR="009169B9" w:rsidRPr="00743C5C" w:rsidRDefault="009169B9" w:rsidP="009169B9">
      <w:pPr>
        <w:spacing w:after="120"/>
        <w:rPr>
          <w:rFonts w:ascii="Tahoma" w:hAnsi="Tahoma" w:cs="Tahoma"/>
          <w:szCs w:val="20"/>
          <w:rtl/>
        </w:rPr>
      </w:pPr>
      <w:r w:rsidRPr="00743C5C">
        <w:rPr>
          <w:rFonts w:ascii="Tahoma" w:hAnsi="Tahoma" w:cs="Tahoma"/>
          <w:szCs w:val="20"/>
          <w:rtl/>
        </w:rPr>
        <w:t>להלן נתוני רשות המיסים בישראל (להלן - רשות המיסים או הרשות) בדבר הכנסות המדינה מבלו על סולר, בשנים 2005 - 2018:</w:t>
      </w:r>
    </w:p>
    <w:p w:rsidR="009169B9" w:rsidRPr="00743C5C" w:rsidRDefault="00530118" w:rsidP="00530118">
      <w:pPr>
        <w:pStyle w:val="a1"/>
        <w:rPr>
          <w:rtl/>
        </w:rPr>
      </w:pPr>
      <w:r w:rsidRPr="00530118">
        <w:rPr>
          <w:b w:val="0"/>
          <w:bCs w:val="0"/>
          <w:rtl/>
        </w:rPr>
        <w:lastRenderedPageBreak/>
        <w:t>תרשים 1:</w:t>
      </w:r>
      <w:r w:rsidR="009169B9" w:rsidRPr="00743C5C">
        <w:rPr>
          <w:rtl/>
        </w:rPr>
        <w:t xml:space="preserve"> הכנסות המדינה מבלו על סולר, 2005 - 2018</w:t>
      </w:r>
    </w:p>
    <w:p w:rsidR="00431222" w:rsidRPr="00743C5C" w:rsidRDefault="00431222" w:rsidP="009169B9">
      <w:pPr>
        <w:spacing w:after="120"/>
        <w:rPr>
          <w:rFonts w:ascii="Tahoma" w:hAnsi="Tahoma" w:cs="Tahoma"/>
          <w:szCs w:val="20"/>
          <w:rtl/>
        </w:rPr>
      </w:pPr>
      <w:bookmarkStart w:id="0" w:name="_GoBack"/>
      <w:bookmarkEnd w:id="0"/>
      <w:r>
        <w:rPr>
          <w:rFonts w:ascii="Tahoma" w:hAnsi="Tahoma" w:cs="Tahoma"/>
          <w:noProof/>
          <w:szCs w:val="20"/>
        </w:rPr>
        <w:drawing>
          <wp:inline distT="0" distB="0" distL="0" distR="0" wp14:anchorId="058EEAA8">
            <wp:extent cx="5231130" cy="3054350"/>
            <wp:effectExtent l="0" t="0" r="7620" b="0"/>
            <wp:docPr id="1" name="Picture 1" descr="ניכרת מגמת עלייה בהכנסות המדינה מבלו על סולר בשנים 2005 - 2018: בשנת 2005 היו ההכנסות מבלו על סולר 3.21 מיליארד ש&quot;ח; בשנת 2006 - 4.53 מיליארד ש&quot;ח; בשנת 2007 - 5.42 מיליארד ש&quot;ח; בשנת 2008 - 6.68 מיליארד ש&quot;ח; בשנת 2009 - 7.1 מיליארד ש&quot;ח;  בשנת 2010 - 8.21 מיליארד ש&quot;ח; בשנת 2011 - 8.85 מיליארד ש&quot;ח; בשנת 2012 - 9.28 מיליארד ש&quot;ח; בשנת 2013 - 9.47 מיליארד ש&quot;ח; בשנת 2014 - 10 מיליארד ש&quot;ח; בשנת  2015 - 10.64 מיליארד ש&quot;ח; בשנת 2016 - 11.04 מיליארד ש&quot;ח; בשנת 2017 - 11.68 מיליארד ש&quot;ח; בשנת 2018 היו ההכנסות 10.94 מיליארד ש&quot;ח.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1130" cy="3054350"/>
                    </a:xfrm>
                    <a:prstGeom prst="rect">
                      <a:avLst/>
                    </a:prstGeom>
                    <a:noFill/>
                  </pic:spPr>
                </pic:pic>
              </a:graphicData>
            </a:graphic>
          </wp:inline>
        </w:drawing>
      </w:r>
    </w:p>
    <w:p w:rsidR="009169B9" w:rsidRPr="00743C5C" w:rsidRDefault="009169B9" w:rsidP="009169B9">
      <w:pPr>
        <w:spacing w:after="120"/>
        <w:rPr>
          <w:rFonts w:ascii="Tahoma" w:hAnsi="Tahoma" w:cs="Tahoma"/>
          <w:szCs w:val="20"/>
          <w:rtl/>
        </w:rPr>
      </w:pPr>
      <w:r w:rsidRPr="00743C5C">
        <w:rPr>
          <w:rFonts w:ascii="Tahoma" w:hAnsi="Tahoma" w:cs="Tahoma"/>
          <w:szCs w:val="20"/>
          <w:rtl/>
        </w:rPr>
        <w:t xml:space="preserve">בצו </w:t>
      </w:r>
      <w:proofErr w:type="spellStart"/>
      <w:r w:rsidRPr="00743C5C">
        <w:rPr>
          <w:rFonts w:ascii="Tahoma" w:hAnsi="Tahoma" w:cs="Tahoma"/>
          <w:szCs w:val="20"/>
          <w:rtl/>
        </w:rPr>
        <w:t>ההישבון</w:t>
      </w:r>
      <w:proofErr w:type="spellEnd"/>
      <w:r w:rsidRPr="00743C5C">
        <w:rPr>
          <w:rFonts w:ascii="Tahoma" w:hAnsi="Tahoma" w:cs="Tahoma"/>
          <w:szCs w:val="20"/>
          <w:rtl/>
        </w:rPr>
        <w:t xml:space="preserve"> נקבע כי מי שזכאי לדרוש את </w:t>
      </w:r>
      <w:proofErr w:type="spellStart"/>
      <w:r w:rsidRPr="00743C5C">
        <w:rPr>
          <w:rFonts w:ascii="Tahoma" w:hAnsi="Tahoma" w:cs="Tahoma"/>
          <w:szCs w:val="20"/>
          <w:rtl/>
        </w:rPr>
        <w:t>ההישבון</w:t>
      </w:r>
      <w:proofErr w:type="spellEnd"/>
      <w:r w:rsidRPr="00743C5C">
        <w:rPr>
          <w:rFonts w:ascii="Tahoma" w:hAnsi="Tahoma" w:cs="Tahoma"/>
          <w:szCs w:val="20"/>
          <w:rtl/>
        </w:rPr>
        <w:t xml:space="preserve"> הוא עוסק מורשה שמשתמש בכלי רכב</w:t>
      </w:r>
      <w:r w:rsidRPr="00743C5C">
        <w:rPr>
          <w:rStyle w:val="FootnoteReference"/>
          <w:rFonts w:ascii="Tahoma" w:hAnsi="Tahoma" w:cs="Tahoma"/>
          <w:szCs w:val="20"/>
          <w:rtl/>
        </w:rPr>
        <w:footnoteReference w:id="1"/>
      </w:r>
      <w:r w:rsidRPr="00743C5C">
        <w:rPr>
          <w:rFonts w:ascii="Tahoma" w:hAnsi="Tahoma" w:cs="Tahoma"/>
          <w:szCs w:val="20"/>
          <w:rtl/>
        </w:rPr>
        <w:t xml:space="preserve"> המשמש להכנסה בעסק, </w:t>
      </w:r>
      <w:r w:rsidRPr="00743C5C">
        <w:rPr>
          <w:rFonts w:ascii="Tahoma" w:hAnsi="Tahoma" w:cs="Tahoma"/>
          <w:sz w:val="16"/>
          <w:szCs w:val="20"/>
          <w:rtl/>
        </w:rPr>
        <w:t>והוא בעל רישיון רכב תקף בכלי הרכב הזה</w:t>
      </w:r>
      <w:r w:rsidRPr="00743C5C">
        <w:rPr>
          <w:rFonts w:ascii="Tahoma" w:hAnsi="Tahoma" w:cs="Tahoma"/>
          <w:szCs w:val="20"/>
          <w:rtl/>
        </w:rPr>
        <w:t xml:space="preserve">. עוד נקבע בצו כי </w:t>
      </w:r>
      <w:proofErr w:type="spellStart"/>
      <w:r w:rsidRPr="00743C5C">
        <w:rPr>
          <w:rFonts w:ascii="Tahoma" w:hAnsi="Tahoma" w:cs="Tahoma"/>
          <w:szCs w:val="20"/>
          <w:rtl/>
        </w:rPr>
        <w:t>ההישבון</w:t>
      </w:r>
      <w:proofErr w:type="spellEnd"/>
      <w:r w:rsidRPr="00743C5C">
        <w:rPr>
          <w:rFonts w:ascii="Tahoma" w:hAnsi="Tahoma" w:cs="Tahoma"/>
          <w:szCs w:val="20"/>
          <w:rtl/>
        </w:rPr>
        <w:t xml:space="preserve"> </w:t>
      </w:r>
      <w:r w:rsidRPr="00743C5C">
        <w:rPr>
          <w:rFonts w:ascii="Tahoma" w:hAnsi="Tahoma" w:cs="Tahoma"/>
          <w:sz w:val="16"/>
          <w:szCs w:val="20"/>
          <w:rtl/>
        </w:rPr>
        <w:t xml:space="preserve">"יינתן רק אם הוגשה על כך בקשה על גבי טופס שהורה עליו המנהל, והתקיימו התנאים בדבר רישום, ניהול ספרים, דיווח ואישורים לפי כל דין והוראות המנהל, לרבות לעניין האסמכתאות לרכישת הדלק". </w:t>
      </w:r>
      <w:r w:rsidRPr="00743C5C">
        <w:rPr>
          <w:rFonts w:ascii="Tahoma" w:hAnsi="Tahoma" w:cs="Tahoma"/>
          <w:szCs w:val="20"/>
          <w:rtl/>
        </w:rPr>
        <w:t xml:space="preserve">כלי הרכב הכלולים בהסדר הסולר הם </w:t>
      </w:r>
      <w:r w:rsidRPr="00743C5C">
        <w:rPr>
          <w:rFonts w:ascii="Tahoma" w:hAnsi="Tahoma" w:cs="Tahoma"/>
          <w:sz w:val="16"/>
          <w:szCs w:val="20"/>
          <w:rtl/>
        </w:rPr>
        <w:t>מהסוגים המפורטים בתוספת לצו</w:t>
      </w:r>
      <w:r w:rsidRPr="00743C5C">
        <w:rPr>
          <w:rFonts w:ascii="Tahoma" w:hAnsi="Tahoma" w:cs="Tahoma"/>
          <w:szCs w:val="20"/>
          <w:rtl/>
        </w:rPr>
        <w:t xml:space="preserve"> </w:t>
      </w:r>
      <w:proofErr w:type="spellStart"/>
      <w:r w:rsidRPr="00743C5C">
        <w:rPr>
          <w:rFonts w:ascii="Tahoma" w:hAnsi="Tahoma" w:cs="Tahoma"/>
          <w:szCs w:val="20"/>
          <w:rtl/>
        </w:rPr>
        <w:t>ההישבון</w:t>
      </w:r>
      <w:proofErr w:type="spellEnd"/>
      <w:r w:rsidRPr="00743C5C">
        <w:rPr>
          <w:rFonts w:ascii="Tahoma" w:hAnsi="Tahoma" w:cs="Tahoma"/>
          <w:szCs w:val="20"/>
          <w:rtl/>
        </w:rPr>
        <w:t xml:space="preserve">, כמו כלי רכב מסחרי שמשקלו יותר מ-4.5 טונות, אוטובוס שמשקלו יותר מ-5 טונות, אוטובוס ציבורי זעיר, טרקטור שמשמש לחקלאות, מונית וכלי רכב להוראת נהיגה. נוסף על כך ניתנת זכאות </w:t>
      </w:r>
      <w:proofErr w:type="spellStart"/>
      <w:r w:rsidRPr="00743C5C">
        <w:rPr>
          <w:rFonts w:ascii="Tahoma" w:hAnsi="Tahoma" w:cs="Tahoma"/>
          <w:szCs w:val="20"/>
          <w:rtl/>
        </w:rPr>
        <w:t>להישבון</w:t>
      </w:r>
      <w:proofErr w:type="spellEnd"/>
      <w:r w:rsidRPr="00743C5C">
        <w:rPr>
          <w:rFonts w:ascii="Tahoma" w:hAnsi="Tahoma" w:cs="Tahoma"/>
          <w:szCs w:val="20"/>
          <w:rtl/>
        </w:rPr>
        <w:t xml:space="preserve"> למפעל תעשייתי הצורך יותר מ-5,000 ליטרים סולר בחודש בממוצע (לא כולל צריכת סולר להפעלת גנרטורים או להנעת כלי רכב), וכן עבור סולר המשמש ספינות דיג ועבור סולר המשמש להפעלת ציוד הנדסי.</w:t>
      </w:r>
    </w:p>
    <w:p w:rsidR="009169B9" w:rsidRPr="00743C5C" w:rsidRDefault="009169B9" w:rsidP="009169B9">
      <w:pPr>
        <w:spacing w:after="120"/>
        <w:rPr>
          <w:rFonts w:ascii="Tahoma" w:hAnsi="Tahoma" w:cs="Tahoma"/>
          <w:sz w:val="16"/>
          <w:szCs w:val="20"/>
          <w:rtl/>
        </w:rPr>
      </w:pPr>
      <w:r w:rsidRPr="00743C5C">
        <w:rPr>
          <w:rFonts w:ascii="Tahoma" w:hAnsi="Tahoma" w:cs="Tahoma"/>
          <w:szCs w:val="20"/>
          <w:rtl/>
        </w:rPr>
        <w:t xml:space="preserve">חוק הבלו וצו </w:t>
      </w:r>
      <w:proofErr w:type="spellStart"/>
      <w:r w:rsidRPr="00743C5C">
        <w:rPr>
          <w:rFonts w:ascii="Tahoma" w:hAnsi="Tahoma" w:cs="Tahoma"/>
          <w:szCs w:val="20"/>
          <w:rtl/>
        </w:rPr>
        <w:t>ההישבון</w:t>
      </w:r>
      <w:proofErr w:type="spellEnd"/>
      <w:r w:rsidRPr="00743C5C">
        <w:rPr>
          <w:rFonts w:ascii="Tahoma" w:hAnsi="Tahoma" w:cs="Tahoma"/>
          <w:szCs w:val="20"/>
          <w:rtl/>
        </w:rPr>
        <w:t xml:space="preserve"> קובעים את התנאים לקבלת </w:t>
      </w:r>
      <w:proofErr w:type="spellStart"/>
      <w:r w:rsidRPr="00743C5C">
        <w:rPr>
          <w:rFonts w:ascii="Tahoma" w:hAnsi="Tahoma" w:cs="Tahoma"/>
          <w:szCs w:val="20"/>
          <w:rtl/>
        </w:rPr>
        <w:t>ההישבון</w:t>
      </w:r>
      <w:proofErr w:type="spellEnd"/>
      <w:r w:rsidRPr="00743C5C">
        <w:rPr>
          <w:rFonts w:ascii="Tahoma" w:hAnsi="Tahoma" w:cs="Tahoma"/>
          <w:szCs w:val="20"/>
          <w:rtl/>
        </w:rPr>
        <w:t xml:space="preserve"> ומסמיכים את מנהל המכס והבלו לקבוע דרישות שמילוין הוא תנאי </w:t>
      </w:r>
      <w:proofErr w:type="spellStart"/>
      <w:r w:rsidRPr="00743C5C">
        <w:rPr>
          <w:rFonts w:ascii="Tahoma" w:hAnsi="Tahoma" w:cs="Tahoma"/>
          <w:szCs w:val="20"/>
          <w:rtl/>
        </w:rPr>
        <w:t>להישבון</w:t>
      </w:r>
      <w:proofErr w:type="spellEnd"/>
      <w:r w:rsidRPr="00743C5C">
        <w:rPr>
          <w:rFonts w:ascii="Tahoma" w:hAnsi="Tahoma" w:cs="Tahoma"/>
          <w:szCs w:val="20"/>
          <w:rtl/>
        </w:rPr>
        <w:t>. דרישות אלה צוינו</w:t>
      </w:r>
      <w:r w:rsidRPr="00743C5C">
        <w:rPr>
          <w:rFonts w:ascii="Tahoma" w:hAnsi="Tahoma" w:cs="Tahoma"/>
          <w:sz w:val="16"/>
          <w:szCs w:val="20"/>
          <w:rtl/>
        </w:rPr>
        <w:t xml:space="preserve"> </w:t>
      </w:r>
      <w:r w:rsidRPr="00743C5C">
        <w:rPr>
          <w:rFonts w:ascii="Tahoma" w:hAnsi="Tahoma" w:cs="Tahoma"/>
          <w:szCs w:val="20"/>
          <w:rtl/>
        </w:rPr>
        <w:t xml:space="preserve">גם בנוהלי העבודה של רשות המיסים ופורסמו באתר המרשתת (האינטרנט) שלה. על פי הדרישות שנקבעו, על עוסקים שזכאים </w:t>
      </w:r>
      <w:proofErr w:type="spellStart"/>
      <w:r w:rsidRPr="00743C5C">
        <w:rPr>
          <w:rFonts w:ascii="Tahoma" w:hAnsi="Tahoma" w:cs="Tahoma"/>
          <w:szCs w:val="20"/>
          <w:rtl/>
        </w:rPr>
        <w:t>להישבון</w:t>
      </w:r>
      <w:proofErr w:type="spellEnd"/>
      <w:r w:rsidRPr="00743C5C">
        <w:rPr>
          <w:rFonts w:ascii="Tahoma" w:hAnsi="Tahoma" w:cs="Tahoma"/>
          <w:szCs w:val="20"/>
          <w:rtl/>
        </w:rPr>
        <w:t xml:space="preserve"> בלו על סולר להגיש לרשות המיסים בקשה </w:t>
      </w:r>
      <w:proofErr w:type="spellStart"/>
      <w:r w:rsidRPr="00743C5C">
        <w:rPr>
          <w:rFonts w:ascii="Tahoma" w:hAnsi="Tahoma" w:cs="Tahoma"/>
          <w:szCs w:val="20"/>
          <w:rtl/>
        </w:rPr>
        <w:t>להישבון</w:t>
      </w:r>
      <w:proofErr w:type="spellEnd"/>
      <w:r w:rsidRPr="00743C5C">
        <w:rPr>
          <w:rFonts w:ascii="Tahoma" w:hAnsi="Tahoma" w:cs="Tahoma"/>
          <w:szCs w:val="20"/>
          <w:rtl/>
        </w:rPr>
        <w:t xml:space="preserve"> בלו אחת לחודשיים. בבקשה עליהם לציין את כמות הסולר שהם רכשו וצרכו לשם השגת אחת ממטרות השימוש המנויות בצו </w:t>
      </w:r>
      <w:proofErr w:type="spellStart"/>
      <w:r w:rsidRPr="00743C5C">
        <w:rPr>
          <w:rFonts w:ascii="Tahoma" w:hAnsi="Tahoma" w:cs="Tahoma"/>
          <w:szCs w:val="20"/>
          <w:rtl/>
        </w:rPr>
        <w:t>ההישבון</w:t>
      </w:r>
      <w:proofErr w:type="spellEnd"/>
      <w:r w:rsidRPr="00743C5C">
        <w:rPr>
          <w:rFonts w:ascii="Tahoma" w:hAnsi="Tahoma" w:cs="Tahoma"/>
          <w:szCs w:val="20"/>
          <w:rtl/>
        </w:rPr>
        <w:t xml:space="preserve">. </w:t>
      </w:r>
      <w:r w:rsidRPr="00743C5C">
        <w:rPr>
          <w:rFonts w:ascii="Tahoma" w:hAnsi="Tahoma" w:cs="Tahoma"/>
          <w:sz w:val="16"/>
          <w:szCs w:val="20"/>
          <w:rtl/>
        </w:rPr>
        <w:t xml:space="preserve">שיעור </w:t>
      </w:r>
      <w:proofErr w:type="spellStart"/>
      <w:r w:rsidRPr="00743C5C">
        <w:rPr>
          <w:rFonts w:ascii="Tahoma" w:hAnsi="Tahoma" w:cs="Tahoma"/>
          <w:sz w:val="16"/>
          <w:szCs w:val="20"/>
          <w:rtl/>
        </w:rPr>
        <w:t>ההישבון</w:t>
      </w:r>
      <w:proofErr w:type="spellEnd"/>
      <w:r w:rsidRPr="00743C5C">
        <w:rPr>
          <w:rFonts w:ascii="Tahoma" w:hAnsi="Tahoma" w:cs="Tahoma"/>
          <w:sz w:val="16"/>
          <w:szCs w:val="20"/>
          <w:rtl/>
        </w:rPr>
        <w:t xml:space="preserve"> הניתן לזכאים משתנה לפי תחום העיסוק שלהם והענף </w:t>
      </w:r>
      <w:r w:rsidRPr="00743C5C">
        <w:rPr>
          <w:rFonts w:ascii="Tahoma" w:hAnsi="Tahoma" w:cs="Tahoma"/>
          <w:sz w:val="16"/>
          <w:szCs w:val="20"/>
          <w:rtl/>
        </w:rPr>
        <w:lastRenderedPageBreak/>
        <w:t xml:space="preserve">הכלכלי שאליו הוא שייך, עד לתקרת צריכה שנתית (בליטרים). תקרת הצריכה השנתית נקבעה על פי הצריכה השנתית הממוצעת בכל ענף מהענפים הזכאים </w:t>
      </w:r>
      <w:proofErr w:type="spellStart"/>
      <w:r w:rsidRPr="00743C5C">
        <w:rPr>
          <w:rFonts w:ascii="Tahoma" w:hAnsi="Tahoma" w:cs="Tahoma"/>
          <w:sz w:val="16"/>
          <w:szCs w:val="20"/>
          <w:rtl/>
        </w:rPr>
        <w:t>להישבון</w:t>
      </w:r>
      <w:proofErr w:type="spellEnd"/>
      <w:r w:rsidRPr="00743C5C">
        <w:rPr>
          <w:rStyle w:val="FootnoteReference"/>
          <w:rFonts w:ascii="Tahoma" w:hAnsi="Tahoma" w:cs="Tahoma"/>
          <w:sz w:val="16"/>
          <w:szCs w:val="20"/>
          <w:rtl/>
        </w:rPr>
        <w:footnoteReference w:id="2"/>
      </w:r>
      <w:r w:rsidRPr="00743C5C">
        <w:rPr>
          <w:rFonts w:ascii="Tahoma" w:hAnsi="Tahoma" w:cs="Tahoma"/>
          <w:sz w:val="16"/>
          <w:szCs w:val="20"/>
          <w:rtl/>
        </w:rPr>
        <w:t xml:space="preserve">. </w:t>
      </w:r>
    </w:p>
    <w:p w:rsidR="009169B9" w:rsidRPr="00743C5C" w:rsidRDefault="009169B9" w:rsidP="009169B9">
      <w:pPr>
        <w:spacing w:after="120"/>
        <w:rPr>
          <w:rFonts w:ascii="Tahoma" w:hAnsi="Tahoma" w:cs="Tahoma"/>
          <w:sz w:val="16"/>
          <w:szCs w:val="20"/>
          <w:rtl/>
        </w:rPr>
      </w:pPr>
      <w:r w:rsidRPr="00743C5C">
        <w:rPr>
          <w:rFonts w:ascii="Tahoma" w:hAnsi="Tahoma" w:cs="Tahoma"/>
          <w:sz w:val="16"/>
          <w:szCs w:val="20"/>
          <w:rtl/>
        </w:rPr>
        <w:t>בשנת 2015 פרסם משרד מבקר המדינה דוח בעניין הסדר הסולר</w:t>
      </w:r>
      <w:r w:rsidRPr="00743C5C">
        <w:rPr>
          <w:rStyle w:val="FootnoteReference"/>
          <w:rFonts w:ascii="Tahoma" w:hAnsi="Tahoma" w:cs="Tahoma"/>
          <w:sz w:val="16"/>
          <w:szCs w:val="20"/>
          <w:rtl/>
        </w:rPr>
        <w:footnoteReference w:id="3"/>
      </w:r>
      <w:r w:rsidRPr="00743C5C">
        <w:rPr>
          <w:rFonts w:ascii="Tahoma" w:hAnsi="Tahoma" w:cs="Tahoma"/>
          <w:sz w:val="16"/>
          <w:szCs w:val="20"/>
          <w:rtl/>
        </w:rPr>
        <w:t xml:space="preserve"> (להלן - הדוח הקודם). בדוח הנוכחי מובאים ממצאי המעקב אחר תיקון הליקויים המרכזיים שצוינו בדוח הקודם.</w:t>
      </w:r>
    </w:p>
    <w:p w:rsidR="009169B9" w:rsidRPr="00743C5C" w:rsidRDefault="009169B9" w:rsidP="009169B9">
      <w:pPr>
        <w:spacing w:after="120"/>
        <w:rPr>
          <w:rFonts w:ascii="Tahoma" w:hAnsi="Tahoma" w:cs="Tahoma"/>
          <w:szCs w:val="20"/>
          <w:rtl/>
        </w:rPr>
      </w:pPr>
      <w:r w:rsidRPr="00743C5C">
        <w:rPr>
          <w:rFonts w:ascii="Tahoma" w:hAnsi="Tahoma" w:cs="Tahoma"/>
          <w:szCs w:val="20"/>
          <w:rtl/>
        </w:rPr>
        <w:t xml:space="preserve">להלן נתוני רשות המיסים (במיליארדי ש"ח) על הכנסות המדינה מבלו על סולר, וכן נתוני </w:t>
      </w:r>
      <w:proofErr w:type="spellStart"/>
      <w:r w:rsidRPr="00743C5C">
        <w:rPr>
          <w:rFonts w:ascii="Tahoma" w:hAnsi="Tahoma" w:cs="Tahoma"/>
          <w:szCs w:val="20"/>
          <w:rtl/>
        </w:rPr>
        <w:t>הישבון</w:t>
      </w:r>
      <w:proofErr w:type="spellEnd"/>
      <w:r w:rsidRPr="00743C5C">
        <w:rPr>
          <w:rFonts w:ascii="Tahoma" w:hAnsi="Tahoma" w:cs="Tahoma"/>
          <w:szCs w:val="20"/>
          <w:rtl/>
        </w:rPr>
        <w:t xml:space="preserve"> סולר ונתוני</w:t>
      </w:r>
      <w:r w:rsidRPr="00743C5C">
        <w:rPr>
          <w:rFonts w:ascii="Tahoma" w:hAnsi="Tahoma" w:cs="Tahoma"/>
          <w:sz w:val="16"/>
          <w:szCs w:val="20"/>
          <w:rtl/>
        </w:rPr>
        <w:t xml:space="preserve"> החזר של הבלו על סולר שמדינת ישראל העבירה לרשות הפלסטינית בגין סולר שהועבר לתחומיה דרך מעברי הגבול היבשתיים</w:t>
      </w:r>
      <w:r w:rsidRPr="00743C5C">
        <w:rPr>
          <w:rFonts w:ascii="Tahoma" w:hAnsi="Tahoma" w:cs="Tahoma"/>
          <w:szCs w:val="20"/>
          <w:rtl/>
        </w:rPr>
        <w:t>, בשנים 2014 - 2018:</w:t>
      </w:r>
    </w:p>
    <w:p w:rsidR="009169B9" w:rsidRPr="00A02557" w:rsidRDefault="009169B9" w:rsidP="00A02557">
      <w:pPr>
        <w:pStyle w:val="a1"/>
        <w:rPr>
          <w:rtl/>
        </w:rPr>
      </w:pPr>
      <w:r w:rsidRPr="00A02557">
        <w:rPr>
          <w:b w:val="0"/>
          <w:bCs w:val="0"/>
          <w:rtl/>
        </w:rPr>
        <w:t>לוח 1:</w:t>
      </w:r>
      <w:r w:rsidRPr="00743C5C">
        <w:rPr>
          <w:rtl/>
        </w:rPr>
        <w:t xml:space="preserve"> הכנסות המדינה (במיליארדי ש"ח) מבלו על סולר ונתוני </w:t>
      </w:r>
      <w:proofErr w:type="spellStart"/>
      <w:r w:rsidRPr="00743C5C">
        <w:rPr>
          <w:rtl/>
        </w:rPr>
        <w:t>הישבון</w:t>
      </w:r>
      <w:proofErr w:type="spellEnd"/>
      <w:r w:rsidRPr="00743C5C">
        <w:rPr>
          <w:rtl/>
        </w:rPr>
        <w:t xml:space="preserve"> סולר, </w:t>
      </w:r>
      <w:r w:rsidR="00A02557">
        <w:rPr>
          <w:rFonts w:hint="cs"/>
          <w:rtl/>
        </w:rPr>
        <w:br/>
      </w:r>
      <w:r w:rsidRPr="00743C5C">
        <w:rPr>
          <w:rtl/>
        </w:rPr>
        <w:t>2014 - 2018</w:t>
      </w:r>
    </w:p>
    <w:tbl>
      <w:tblPr>
        <w:tblStyle w:val="TableGrid"/>
        <w:bidiVisual/>
        <w:tblW w:w="8222" w:type="dxa"/>
        <w:tblLook w:val="04A0" w:firstRow="1" w:lastRow="0" w:firstColumn="1" w:lastColumn="0" w:noHBand="0" w:noVBand="1"/>
      </w:tblPr>
      <w:tblGrid>
        <w:gridCol w:w="982"/>
        <w:gridCol w:w="1564"/>
        <w:gridCol w:w="1668"/>
        <w:gridCol w:w="2028"/>
        <w:gridCol w:w="1980"/>
      </w:tblGrid>
      <w:tr w:rsidR="009169B9" w:rsidRPr="00743C5C" w:rsidTr="00A02557">
        <w:trPr>
          <w:tblHeader/>
        </w:trPr>
        <w:tc>
          <w:tcPr>
            <w:tcW w:w="0" w:type="auto"/>
            <w:shd w:val="clear" w:color="auto" w:fill="C6D9F1"/>
            <w:vAlign w:val="bottom"/>
          </w:tcPr>
          <w:p w:rsidR="009169B9" w:rsidRPr="00A02557" w:rsidRDefault="009169B9" w:rsidP="00A02557">
            <w:pPr>
              <w:tabs>
                <w:tab w:val="left" w:pos="1148"/>
              </w:tabs>
              <w:spacing w:before="40" w:after="40"/>
              <w:jc w:val="left"/>
              <w:rPr>
                <w:rFonts w:ascii="Tahoma" w:eastAsiaTheme="minorEastAsia" w:hAnsi="Tahoma" w:cs="Tahoma"/>
                <w:b/>
                <w:bCs/>
                <w:szCs w:val="20"/>
                <w:rtl/>
              </w:rPr>
            </w:pPr>
            <w:r w:rsidRPr="00A02557">
              <w:rPr>
                <w:rFonts w:ascii="Tahoma" w:eastAsiaTheme="minorEastAsia" w:hAnsi="Tahoma" w:cs="Tahoma"/>
                <w:b/>
                <w:bCs/>
                <w:szCs w:val="20"/>
                <w:rtl/>
              </w:rPr>
              <w:t>השנה</w:t>
            </w:r>
          </w:p>
        </w:tc>
        <w:tc>
          <w:tcPr>
            <w:tcW w:w="0" w:type="auto"/>
            <w:shd w:val="clear" w:color="auto" w:fill="C6D9F1"/>
            <w:vAlign w:val="bottom"/>
          </w:tcPr>
          <w:p w:rsidR="009169B9" w:rsidRPr="00A02557" w:rsidRDefault="009169B9" w:rsidP="00A02557">
            <w:pPr>
              <w:tabs>
                <w:tab w:val="left" w:pos="1148"/>
              </w:tabs>
              <w:spacing w:before="40" w:after="40"/>
              <w:jc w:val="left"/>
              <w:rPr>
                <w:rFonts w:ascii="Tahoma" w:eastAsiaTheme="minorEastAsia" w:hAnsi="Tahoma" w:cs="Tahoma"/>
                <w:b/>
                <w:bCs/>
                <w:szCs w:val="20"/>
                <w:rtl/>
              </w:rPr>
            </w:pPr>
            <w:r w:rsidRPr="00A02557">
              <w:rPr>
                <w:rFonts w:ascii="Tahoma" w:eastAsiaTheme="minorEastAsia" w:hAnsi="Tahoma" w:cs="Tahoma"/>
                <w:b/>
                <w:bCs/>
                <w:szCs w:val="20"/>
                <w:rtl/>
              </w:rPr>
              <w:t xml:space="preserve">סך הגבייה </w:t>
            </w:r>
            <w:r w:rsidR="00A02557" w:rsidRPr="00A02557">
              <w:rPr>
                <w:rFonts w:ascii="Tahoma" w:eastAsiaTheme="minorEastAsia" w:hAnsi="Tahoma" w:cs="Tahoma" w:hint="cs"/>
                <w:b/>
                <w:bCs/>
                <w:szCs w:val="20"/>
                <w:rtl/>
              </w:rPr>
              <w:br/>
            </w:r>
            <w:r w:rsidRPr="00A02557">
              <w:rPr>
                <w:rFonts w:ascii="Tahoma" w:eastAsiaTheme="minorEastAsia" w:hAnsi="Tahoma" w:cs="Tahoma"/>
                <w:b/>
                <w:bCs/>
                <w:szCs w:val="20"/>
                <w:rtl/>
              </w:rPr>
              <w:t xml:space="preserve">של בלו </w:t>
            </w:r>
            <w:r w:rsidR="00A02557" w:rsidRPr="00A02557">
              <w:rPr>
                <w:rFonts w:ascii="Tahoma" w:eastAsiaTheme="minorEastAsia" w:hAnsi="Tahoma" w:cs="Tahoma" w:hint="cs"/>
                <w:b/>
                <w:bCs/>
                <w:szCs w:val="20"/>
                <w:rtl/>
              </w:rPr>
              <w:br/>
            </w:r>
            <w:r w:rsidRPr="00A02557">
              <w:rPr>
                <w:rFonts w:ascii="Tahoma" w:eastAsiaTheme="minorEastAsia" w:hAnsi="Tahoma" w:cs="Tahoma"/>
                <w:b/>
                <w:bCs/>
                <w:szCs w:val="20"/>
                <w:rtl/>
              </w:rPr>
              <w:t>על סולר</w:t>
            </w:r>
          </w:p>
        </w:tc>
        <w:tc>
          <w:tcPr>
            <w:tcW w:w="0" w:type="auto"/>
            <w:shd w:val="clear" w:color="auto" w:fill="C6D9F1"/>
            <w:vAlign w:val="bottom"/>
          </w:tcPr>
          <w:p w:rsidR="009169B9" w:rsidRPr="00A02557" w:rsidRDefault="009169B9" w:rsidP="00A02557">
            <w:pPr>
              <w:tabs>
                <w:tab w:val="left" w:pos="1148"/>
              </w:tabs>
              <w:spacing w:before="40" w:after="40"/>
              <w:jc w:val="left"/>
              <w:rPr>
                <w:rFonts w:ascii="Tahoma" w:eastAsiaTheme="minorEastAsia" w:hAnsi="Tahoma" w:cs="Tahoma"/>
                <w:b/>
                <w:bCs/>
                <w:szCs w:val="20"/>
                <w:rtl/>
              </w:rPr>
            </w:pPr>
            <w:r w:rsidRPr="00A02557">
              <w:rPr>
                <w:rFonts w:ascii="Tahoma" w:eastAsiaTheme="minorEastAsia" w:hAnsi="Tahoma" w:cs="Tahoma"/>
                <w:b/>
                <w:bCs/>
                <w:szCs w:val="20"/>
                <w:rtl/>
              </w:rPr>
              <w:t xml:space="preserve">החזר בלו </w:t>
            </w:r>
            <w:r w:rsidR="00A02557" w:rsidRPr="00A02557">
              <w:rPr>
                <w:rFonts w:ascii="Tahoma" w:eastAsiaTheme="minorEastAsia" w:hAnsi="Tahoma" w:cs="Tahoma" w:hint="cs"/>
                <w:b/>
                <w:bCs/>
                <w:szCs w:val="20"/>
                <w:rtl/>
              </w:rPr>
              <w:br/>
            </w:r>
            <w:r w:rsidRPr="00A02557">
              <w:rPr>
                <w:rFonts w:ascii="Tahoma" w:eastAsiaTheme="minorEastAsia" w:hAnsi="Tahoma" w:cs="Tahoma"/>
                <w:b/>
                <w:bCs/>
                <w:szCs w:val="20"/>
                <w:rtl/>
              </w:rPr>
              <w:t xml:space="preserve">לרשות </w:t>
            </w:r>
            <w:r w:rsidR="00A02557" w:rsidRPr="00A02557">
              <w:rPr>
                <w:rFonts w:ascii="Tahoma" w:eastAsiaTheme="minorEastAsia" w:hAnsi="Tahoma" w:cs="Tahoma" w:hint="cs"/>
                <w:b/>
                <w:bCs/>
                <w:szCs w:val="20"/>
                <w:rtl/>
              </w:rPr>
              <w:br/>
            </w:r>
            <w:r w:rsidRPr="00A02557">
              <w:rPr>
                <w:rFonts w:ascii="Tahoma" w:eastAsiaTheme="minorEastAsia" w:hAnsi="Tahoma" w:cs="Tahoma"/>
                <w:b/>
                <w:bCs/>
                <w:szCs w:val="20"/>
                <w:rtl/>
              </w:rPr>
              <w:t>הפלסטינית</w:t>
            </w:r>
          </w:p>
        </w:tc>
        <w:tc>
          <w:tcPr>
            <w:tcW w:w="0" w:type="auto"/>
            <w:shd w:val="clear" w:color="auto" w:fill="C6D9F1"/>
            <w:vAlign w:val="bottom"/>
          </w:tcPr>
          <w:p w:rsidR="009169B9" w:rsidRPr="00A02557" w:rsidRDefault="009169B9" w:rsidP="00A02557">
            <w:pPr>
              <w:tabs>
                <w:tab w:val="left" w:pos="1148"/>
              </w:tabs>
              <w:spacing w:before="40" w:after="40"/>
              <w:jc w:val="left"/>
              <w:rPr>
                <w:rFonts w:ascii="Tahoma" w:eastAsiaTheme="minorEastAsia" w:hAnsi="Tahoma" w:cs="Tahoma"/>
                <w:b/>
                <w:bCs/>
                <w:szCs w:val="20"/>
                <w:rtl/>
              </w:rPr>
            </w:pPr>
            <w:r w:rsidRPr="00A02557">
              <w:rPr>
                <w:rFonts w:ascii="Tahoma" w:eastAsiaTheme="minorEastAsia" w:hAnsi="Tahoma" w:cs="Tahoma"/>
                <w:b/>
                <w:bCs/>
                <w:szCs w:val="20"/>
                <w:rtl/>
              </w:rPr>
              <w:t xml:space="preserve">החזר במסגרת </w:t>
            </w:r>
            <w:r w:rsidR="00A02557" w:rsidRPr="00A02557">
              <w:rPr>
                <w:rFonts w:ascii="Tahoma" w:eastAsiaTheme="minorEastAsia" w:hAnsi="Tahoma" w:cs="Tahoma" w:hint="cs"/>
                <w:b/>
                <w:bCs/>
                <w:szCs w:val="20"/>
                <w:rtl/>
              </w:rPr>
              <w:br/>
            </w:r>
            <w:r w:rsidRPr="00A02557">
              <w:rPr>
                <w:rFonts w:ascii="Tahoma" w:eastAsiaTheme="minorEastAsia" w:hAnsi="Tahoma" w:cs="Tahoma"/>
                <w:b/>
                <w:bCs/>
                <w:szCs w:val="20"/>
                <w:rtl/>
              </w:rPr>
              <w:t xml:space="preserve">הסדר </w:t>
            </w:r>
            <w:proofErr w:type="spellStart"/>
            <w:r w:rsidRPr="00A02557">
              <w:rPr>
                <w:rFonts w:ascii="Tahoma" w:eastAsiaTheme="minorEastAsia" w:hAnsi="Tahoma" w:cs="Tahoma"/>
                <w:b/>
                <w:bCs/>
                <w:szCs w:val="20"/>
                <w:rtl/>
              </w:rPr>
              <w:t>הישבון</w:t>
            </w:r>
            <w:proofErr w:type="spellEnd"/>
            <w:r w:rsidRPr="00A02557">
              <w:rPr>
                <w:rFonts w:ascii="Tahoma" w:eastAsiaTheme="minorEastAsia" w:hAnsi="Tahoma" w:cs="Tahoma"/>
                <w:b/>
                <w:bCs/>
                <w:szCs w:val="20"/>
                <w:rtl/>
              </w:rPr>
              <w:t xml:space="preserve"> </w:t>
            </w:r>
            <w:r w:rsidR="00A02557" w:rsidRPr="00A02557">
              <w:rPr>
                <w:rFonts w:ascii="Tahoma" w:eastAsiaTheme="minorEastAsia" w:hAnsi="Tahoma" w:cs="Tahoma" w:hint="cs"/>
                <w:b/>
                <w:bCs/>
                <w:szCs w:val="20"/>
                <w:rtl/>
              </w:rPr>
              <w:br/>
            </w:r>
            <w:r w:rsidRPr="00A02557">
              <w:rPr>
                <w:rFonts w:ascii="Tahoma" w:eastAsiaTheme="minorEastAsia" w:hAnsi="Tahoma" w:cs="Tahoma"/>
                <w:b/>
                <w:bCs/>
                <w:szCs w:val="20"/>
                <w:rtl/>
              </w:rPr>
              <w:t>הסולר</w:t>
            </w:r>
          </w:p>
        </w:tc>
        <w:tc>
          <w:tcPr>
            <w:tcW w:w="0" w:type="auto"/>
            <w:shd w:val="clear" w:color="auto" w:fill="C6D9F1"/>
            <w:vAlign w:val="bottom"/>
          </w:tcPr>
          <w:p w:rsidR="009169B9" w:rsidRPr="00A02557" w:rsidRDefault="009169B9" w:rsidP="00A02557">
            <w:pPr>
              <w:tabs>
                <w:tab w:val="left" w:pos="1148"/>
              </w:tabs>
              <w:spacing w:before="40" w:after="40"/>
              <w:jc w:val="left"/>
              <w:rPr>
                <w:rFonts w:ascii="Tahoma" w:eastAsiaTheme="minorEastAsia" w:hAnsi="Tahoma" w:cs="Tahoma"/>
                <w:b/>
                <w:bCs/>
                <w:szCs w:val="20"/>
                <w:rtl/>
              </w:rPr>
            </w:pPr>
            <w:r w:rsidRPr="00A02557">
              <w:rPr>
                <w:rFonts w:ascii="Tahoma" w:eastAsiaTheme="minorEastAsia" w:hAnsi="Tahoma" w:cs="Tahoma"/>
                <w:b/>
                <w:bCs/>
                <w:szCs w:val="20"/>
                <w:rtl/>
              </w:rPr>
              <w:t xml:space="preserve">סה"כ הכנסות </w:t>
            </w:r>
            <w:r w:rsidR="00A02557" w:rsidRPr="00A02557">
              <w:rPr>
                <w:rFonts w:ascii="Tahoma" w:eastAsiaTheme="minorEastAsia" w:hAnsi="Tahoma" w:cs="Tahoma" w:hint="cs"/>
                <w:b/>
                <w:bCs/>
                <w:szCs w:val="20"/>
                <w:rtl/>
              </w:rPr>
              <w:br/>
            </w:r>
            <w:r w:rsidRPr="00A02557">
              <w:rPr>
                <w:rFonts w:ascii="Tahoma" w:eastAsiaTheme="minorEastAsia" w:hAnsi="Tahoma" w:cs="Tahoma"/>
                <w:b/>
                <w:bCs/>
                <w:szCs w:val="20"/>
                <w:rtl/>
              </w:rPr>
              <w:t xml:space="preserve">המדינה נטו </w:t>
            </w:r>
            <w:r w:rsidR="00A02557" w:rsidRPr="00A02557">
              <w:rPr>
                <w:rFonts w:ascii="Tahoma" w:eastAsiaTheme="minorEastAsia" w:hAnsi="Tahoma" w:cs="Tahoma" w:hint="cs"/>
                <w:b/>
                <w:bCs/>
                <w:szCs w:val="20"/>
                <w:rtl/>
              </w:rPr>
              <w:br/>
            </w:r>
            <w:r w:rsidRPr="00A02557">
              <w:rPr>
                <w:rFonts w:ascii="Tahoma" w:eastAsiaTheme="minorEastAsia" w:hAnsi="Tahoma" w:cs="Tahoma"/>
                <w:b/>
                <w:bCs/>
                <w:szCs w:val="20"/>
                <w:rtl/>
              </w:rPr>
              <w:t>מבלו על סולר</w:t>
            </w:r>
          </w:p>
        </w:tc>
      </w:tr>
      <w:tr w:rsidR="009169B9" w:rsidRPr="00743C5C" w:rsidTr="00A02557">
        <w:tc>
          <w:tcPr>
            <w:tcW w:w="0" w:type="auto"/>
            <w:vAlign w:val="bottom"/>
          </w:tcPr>
          <w:p w:rsidR="009169B9" w:rsidRPr="00A02557" w:rsidRDefault="009169B9" w:rsidP="00A02557">
            <w:pPr>
              <w:tabs>
                <w:tab w:val="left" w:pos="1148"/>
              </w:tabs>
              <w:spacing w:before="40" w:after="40"/>
              <w:jc w:val="left"/>
              <w:rPr>
                <w:rFonts w:ascii="Tahoma" w:eastAsiaTheme="minorEastAsia" w:hAnsi="Tahoma" w:cs="Tahoma"/>
                <w:szCs w:val="20"/>
                <w:rtl/>
              </w:rPr>
            </w:pPr>
            <w:r w:rsidRPr="00A02557">
              <w:rPr>
                <w:rFonts w:ascii="Tahoma" w:eastAsiaTheme="minorEastAsia" w:hAnsi="Tahoma" w:cs="Tahoma"/>
                <w:szCs w:val="20"/>
                <w:rtl/>
              </w:rPr>
              <w:t>2014</w:t>
            </w:r>
          </w:p>
        </w:tc>
        <w:tc>
          <w:tcPr>
            <w:tcW w:w="0" w:type="auto"/>
            <w:vAlign w:val="bottom"/>
          </w:tcPr>
          <w:p w:rsidR="009169B9" w:rsidRPr="00A02557" w:rsidRDefault="009169B9" w:rsidP="00A02557">
            <w:pPr>
              <w:tabs>
                <w:tab w:val="left" w:pos="1148"/>
              </w:tabs>
              <w:spacing w:before="40" w:after="40"/>
              <w:jc w:val="left"/>
              <w:rPr>
                <w:rFonts w:ascii="Tahoma" w:eastAsiaTheme="minorEastAsia" w:hAnsi="Tahoma" w:cs="Tahoma"/>
                <w:szCs w:val="20"/>
                <w:rtl/>
              </w:rPr>
            </w:pPr>
            <w:r w:rsidRPr="00A02557">
              <w:rPr>
                <w:rFonts w:ascii="Tahoma" w:eastAsiaTheme="minorEastAsia" w:hAnsi="Tahoma" w:cs="Tahoma"/>
                <w:szCs w:val="20"/>
                <w:rtl/>
              </w:rPr>
              <w:t>10.002</w:t>
            </w:r>
          </w:p>
        </w:tc>
        <w:tc>
          <w:tcPr>
            <w:tcW w:w="0" w:type="auto"/>
            <w:vAlign w:val="bottom"/>
          </w:tcPr>
          <w:p w:rsidR="009169B9" w:rsidRPr="00A02557" w:rsidRDefault="009169B9" w:rsidP="00A02557">
            <w:pPr>
              <w:tabs>
                <w:tab w:val="left" w:pos="1148"/>
              </w:tabs>
              <w:spacing w:before="40" w:after="40"/>
              <w:jc w:val="left"/>
              <w:rPr>
                <w:rFonts w:ascii="Tahoma" w:eastAsiaTheme="minorEastAsia" w:hAnsi="Tahoma" w:cs="Tahoma"/>
                <w:szCs w:val="20"/>
                <w:rtl/>
              </w:rPr>
            </w:pPr>
            <w:r w:rsidRPr="00A02557">
              <w:rPr>
                <w:rFonts w:ascii="Tahoma" w:eastAsiaTheme="minorEastAsia" w:hAnsi="Tahoma" w:cs="Tahoma"/>
                <w:szCs w:val="20"/>
                <w:rtl/>
              </w:rPr>
              <w:t>1.729</w:t>
            </w:r>
          </w:p>
        </w:tc>
        <w:tc>
          <w:tcPr>
            <w:tcW w:w="0" w:type="auto"/>
            <w:vAlign w:val="bottom"/>
          </w:tcPr>
          <w:p w:rsidR="009169B9" w:rsidRPr="00A02557" w:rsidRDefault="009169B9" w:rsidP="00A02557">
            <w:pPr>
              <w:tabs>
                <w:tab w:val="left" w:pos="1148"/>
              </w:tabs>
              <w:spacing w:before="40" w:after="40"/>
              <w:jc w:val="left"/>
              <w:rPr>
                <w:rFonts w:ascii="Tahoma" w:eastAsiaTheme="minorEastAsia" w:hAnsi="Tahoma" w:cs="Tahoma"/>
                <w:szCs w:val="20"/>
                <w:rtl/>
              </w:rPr>
            </w:pPr>
            <w:r w:rsidRPr="00A02557">
              <w:rPr>
                <w:rFonts w:ascii="Tahoma" w:eastAsiaTheme="minorEastAsia" w:hAnsi="Tahoma" w:cs="Tahoma"/>
                <w:szCs w:val="20"/>
                <w:rtl/>
              </w:rPr>
              <w:t>2.978</w:t>
            </w:r>
          </w:p>
        </w:tc>
        <w:tc>
          <w:tcPr>
            <w:tcW w:w="0" w:type="auto"/>
            <w:vAlign w:val="bottom"/>
          </w:tcPr>
          <w:p w:rsidR="009169B9" w:rsidRPr="00A02557" w:rsidRDefault="009169B9" w:rsidP="00A02557">
            <w:pPr>
              <w:tabs>
                <w:tab w:val="left" w:pos="1148"/>
              </w:tabs>
              <w:spacing w:before="40" w:after="40"/>
              <w:jc w:val="left"/>
              <w:rPr>
                <w:rFonts w:ascii="Tahoma" w:eastAsiaTheme="minorEastAsia" w:hAnsi="Tahoma" w:cs="Tahoma"/>
                <w:szCs w:val="20"/>
                <w:rtl/>
              </w:rPr>
            </w:pPr>
            <w:r w:rsidRPr="00A02557">
              <w:rPr>
                <w:rFonts w:ascii="Tahoma" w:eastAsiaTheme="minorEastAsia" w:hAnsi="Tahoma" w:cs="Tahoma"/>
                <w:szCs w:val="20"/>
                <w:rtl/>
              </w:rPr>
              <w:t>5.295</w:t>
            </w:r>
          </w:p>
        </w:tc>
      </w:tr>
      <w:tr w:rsidR="009169B9" w:rsidRPr="00743C5C" w:rsidTr="00A02557">
        <w:tc>
          <w:tcPr>
            <w:tcW w:w="0" w:type="auto"/>
            <w:vAlign w:val="bottom"/>
          </w:tcPr>
          <w:p w:rsidR="009169B9" w:rsidRPr="00A02557" w:rsidRDefault="009169B9" w:rsidP="00A02557">
            <w:pPr>
              <w:tabs>
                <w:tab w:val="left" w:pos="1148"/>
              </w:tabs>
              <w:spacing w:before="40" w:after="40"/>
              <w:jc w:val="left"/>
              <w:rPr>
                <w:rFonts w:ascii="Tahoma" w:eastAsiaTheme="minorEastAsia" w:hAnsi="Tahoma" w:cs="Tahoma"/>
                <w:szCs w:val="20"/>
                <w:rtl/>
              </w:rPr>
            </w:pPr>
            <w:r w:rsidRPr="00A02557">
              <w:rPr>
                <w:rFonts w:ascii="Tahoma" w:eastAsiaTheme="minorEastAsia" w:hAnsi="Tahoma" w:cs="Tahoma"/>
                <w:szCs w:val="20"/>
                <w:rtl/>
              </w:rPr>
              <w:t>2015</w:t>
            </w:r>
          </w:p>
        </w:tc>
        <w:tc>
          <w:tcPr>
            <w:tcW w:w="0" w:type="auto"/>
            <w:vAlign w:val="bottom"/>
          </w:tcPr>
          <w:p w:rsidR="009169B9" w:rsidRPr="00A02557" w:rsidRDefault="009169B9" w:rsidP="00A02557">
            <w:pPr>
              <w:tabs>
                <w:tab w:val="left" w:pos="1148"/>
              </w:tabs>
              <w:spacing w:before="40" w:after="40"/>
              <w:jc w:val="left"/>
              <w:rPr>
                <w:rFonts w:ascii="Tahoma" w:eastAsiaTheme="minorEastAsia" w:hAnsi="Tahoma" w:cs="Tahoma"/>
                <w:szCs w:val="20"/>
                <w:rtl/>
              </w:rPr>
            </w:pPr>
            <w:r w:rsidRPr="00A02557">
              <w:rPr>
                <w:rFonts w:ascii="Tahoma" w:eastAsiaTheme="minorEastAsia" w:hAnsi="Tahoma" w:cs="Tahoma"/>
                <w:szCs w:val="20"/>
                <w:rtl/>
              </w:rPr>
              <w:t>10.638</w:t>
            </w:r>
          </w:p>
        </w:tc>
        <w:tc>
          <w:tcPr>
            <w:tcW w:w="0" w:type="auto"/>
            <w:vAlign w:val="bottom"/>
          </w:tcPr>
          <w:p w:rsidR="009169B9" w:rsidRPr="00A02557" w:rsidRDefault="009169B9" w:rsidP="00A02557">
            <w:pPr>
              <w:tabs>
                <w:tab w:val="left" w:pos="1148"/>
              </w:tabs>
              <w:spacing w:before="40" w:after="40"/>
              <w:jc w:val="left"/>
              <w:rPr>
                <w:rFonts w:ascii="Tahoma" w:eastAsiaTheme="minorEastAsia" w:hAnsi="Tahoma" w:cs="Tahoma"/>
                <w:szCs w:val="20"/>
                <w:rtl/>
              </w:rPr>
            </w:pPr>
            <w:r w:rsidRPr="00A02557">
              <w:rPr>
                <w:rFonts w:ascii="Tahoma" w:eastAsiaTheme="minorEastAsia" w:hAnsi="Tahoma" w:cs="Tahoma"/>
                <w:szCs w:val="20"/>
                <w:rtl/>
              </w:rPr>
              <w:t>1.976</w:t>
            </w:r>
          </w:p>
        </w:tc>
        <w:tc>
          <w:tcPr>
            <w:tcW w:w="0" w:type="auto"/>
            <w:vAlign w:val="bottom"/>
          </w:tcPr>
          <w:p w:rsidR="009169B9" w:rsidRPr="00A02557" w:rsidRDefault="009169B9" w:rsidP="00A02557">
            <w:pPr>
              <w:tabs>
                <w:tab w:val="left" w:pos="1148"/>
              </w:tabs>
              <w:spacing w:before="40" w:after="40"/>
              <w:jc w:val="left"/>
              <w:rPr>
                <w:rFonts w:ascii="Tahoma" w:eastAsiaTheme="minorEastAsia" w:hAnsi="Tahoma" w:cs="Tahoma"/>
                <w:szCs w:val="20"/>
                <w:rtl/>
              </w:rPr>
            </w:pPr>
            <w:r w:rsidRPr="00A02557">
              <w:rPr>
                <w:rFonts w:ascii="Tahoma" w:eastAsiaTheme="minorEastAsia" w:hAnsi="Tahoma" w:cs="Tahoma"/>
                <w:szCs w:val="20"/>
                <w:rtl/>
              </w:rPr>
              <w:t>3.130</w:t>
            </w:r>
          </w:p>
        </w:tc>
        <w:tc>
          <w:tcPr>
            <w:tcW w:w="0" w:type="auto"/>
            <w:vAlign w:val="bottom"/>
          </w:tcPr>
          <w:p w:rsidR="009169B9" w:rsidRPr="00A02557" w:rsidRDefault="009169B9" w:rsidP="00A02557">
            <w:pPr>
              <w:tabs>
                <w:tab w:val="left" w:pos="1148"/>
              </w:tabs>
              <w:spacing w:before="40" w:after="40"/>
              <w:jc w:val="left"/>
              <w:rPr>
                <w:rFonts w:ascii="Tahoma" w:eastAsiaTheme="minorEastAsia" w:hAnsi="Tahoma" w:cs="Tahoma"/>
                <w:szCs w:val="20"/>
                <w:rtl/>
              </w:rPr>
            </w:pPr>
            <w:r w:rsidRPr="00A02557">
              <w:rPr>
                <w:rFonts w:ascii="Tahoma" w:eastAsiaTheme="minorEastAsia" w:hAnsi="Tahoma" w:cs="Tahoma"/>
                <w:szCs w:val="20"/>
                <w:rtl/>
              </w:rPr>
              <w:t>5.532</w:t>
            </w:r>
          </w:p>
        </w:tc>
      </w:tr>
      <w:tr w:rsidR="009169B9" w:rsidRPr="00743C5C" w:rsidTr="00A02557">
        <w:tc>
          <w:tcPr>
            <w:tcW w:w="0" w:type="auto"/>
            <w:vAlign w:val="bottom"/>
          </w:tcPr>
          <w:p w:rsidR="009169B9" w:rsidRPr="00A02557" w:rsidRDefault="009169B9" w:rsidP="00A02557">
            <w:pPr>
              <w:tabs>
                <w:tab w:val="left" w:pos="1148"/>
              </w:tabs>
              <w:spacing w:before="40" w:after="40"/>
              <w:jc w:val="left"/>
              <w:rPr>
                <w:rFonts w:ascii="Tahoma" w:eastAsiaTheme="minorEastAsia" w:hAnsi="Tahoma" w:cs="Tahoma"/>
                <w:szCs w:val="20"/>
                <w:rtl/>
              </w:rPr>
            </w:pPr>
            <w:r w:rsidRPr="00A02557">
              <w:rPr>
                <w:rFonts w:ascii="Tahoma" w:eastAsiaTheme="minorEastAsia" w:hAnsi="Tahoma" w:cs="Tahoma"/>
                <w:szCs w:val="20"/>
                <w:rtl/>
              </w:rPr>
              <w:t>2016</w:t>
            </w:r>
          </w:p>
        </w:tc>
        <w:tc>
          <w:tcPr>
            <w:tcW w:w="0" w:type="auto"/>
            <w:vAlign w:val="bottom"/>
          </w:tcPr>
          <w:p w:rsidR="009169B9" w:rsidRPr="00A02557" w:rsidRDefault="009169B9" w:rsidP="00A02557">
            <w:pPr>
              <w:tabs>
                <w:tab w:val="left" w:pos="1148"/>
              </w:tabs>
              <w:spacing w:before="40" w:after="40"/>
              <w:jc w:val="left"/>
              <w:rPr>
                <w:rFonts w:ascii="Tahoma" w:eastAsiaTheme="minorEastAsia" w:hAnsi="Tahoma" w:cs="Tahoma"/>
                <w:szCs w:val="20"/>
                <w:rtl/>
              </w:rPr>
            </w:pPr>
            <w:r w:rsidRPr="00A02557">
              <w:rPr>
                <w:rFonts w:ascii="Tahoma" w:eastAsiaTheme="minorEastAsia" w:hAnsi="Tahoma" w:cs="Tahoma"/>
                <w:szCs w:val="20"/>
                <w:rtl/>
              </w:rPr>
              <w:t>11.043</w:t>
            </w:r>
          </w:p>
        </w:tc>
        <w:tc>
          <w:tcPr>
            <w:tcW w:w="0" w:type="auto"/>
            <w:vAlign w:val="bottom"/>
          </w:tcPr>
          <w:p w:rsidR="009169B9" w:rsidRPr="00A02557" w:rsidRDefault="009169B9" w:rsidP="00A02557">
            <w:pPr>
              <w:tabs>
                <w:tab w:val="left" w:pos="1148"/>
              </w:tabs>
              <w:spacing w:before="40" w:after="40"/>
              <w:jc w:val="left"/>
              <w:rPr>
                <w:rFonts w:ascii="Tahoma" w:eastAsiaTheme="minorEastAsia" w:hAnsi="Tahoma" w:cs="Tahoma"/>
                <w:szCs w:val="20"/>
                <w:rtl/>
              </w:rPr>
            </w:pPr>
            <w:r w:rsidRPr="00A02557">
              <w:rPr>
                <w:rFonts w:ascii="Tahoma" w:eastAsiaTheme="minorEastAsia" w:hAnsi="Tahoma" w:cs="Tahoma"/>
                <w:szCs w:val="20"/>
                <w:rtl/>
              </w:rPr>
              <w:t>2.112</w:t>
            </w:r>
          </w:p>
        </w:tc>
        <w:tc>
          <w:tcPr>
            <w:tcW w:w="0" w:type="auto"/>
            <w:vAlign w:val="bottom"/>
          </w:tcPr>
          <w:p w:rsidR="009169B9" w:rsidRPr="00A02557" w:rsidRDefault="009169B9" w:rsidP="00A02557">
            <w:pPr>
              <w:tabs>
                <w:tab w:val="left" w:pos="1148"/>
              </w:tabs>
              <w:spacing w:before="40" w:after="40"/>
              <w:jc w:val="left"/>
              <w:rPr>
                <w:rFonts w:ascii="Tahoma" w:eastAsiaTheme="minorEastAsia" w:hAnsi="Tahoma" w:cs="Tahoma"/>
                <w:szCs w:val="20"/>
                <w:rtl/>
              </w:rPr>
            </w:pPr>
            <w:r w:rsidRPr="00A02557">
              <w:rPr>
                <w:rFonts w:ascii="Tahoma" w:eastAsiaTheme="minorEastAsia" w:hAnsi="Tahoma" w:cs="Tahoma"/>
                <w:szCs w:val="20"/>
                <w:rtl/>
              </w:rPr>
              <w:t>3.293</w:t>
            </w:r>
          </w:p>
        </w:tc>
        <w:tc>
          <w:tcPr>
            <w:tcW w:w="0" w:type="auto"/>
            <w:vAlign w:val="bottom"/>
          </w:tcPr>
          <w:p w:rsidR="009169B9" w:rsidRPr="00A02557" w:rsidRDefault="009169B9" w:rsidP="00A02557">
            <w:pPr>
              <w:tabs>
                <w:tab w:val="left" w:pos="1148"/>
              </w:tabs>
              <w:spacing w:before="40" w:after="40"/>
              <w:jc w:val="left"/>
              <w:rPr>
                <w:rFonts w:ascii="Tahoma" w:eastAsiaTheme="minorEastAsia" w:hAnsi="Tahoma" w:cs="Tahoma"/>
                <w:szCs w:val="20"/>
                <w:rtl/>
              </w:rPr>
            </w:pPr>
            <w:r w:rsidRPr="00A02557">
              <w:rPr>
                <w:rFonts w:ascii="Tahoma" w:eastAsiaTheme="minorEastAsia" w:hAnsi="Tahoma" w:cs="Tahoma"/>
                <w:szCs w:val="20"/>
                <w:rtl/>
              </w:rPr>
              <w:t>5.638</w:t>
            </w:r>
          </w:p>
        </w:tc>
      </w:tr>
      <w:tr w:rsidR="009169B9" w:rsidRPr="00743C5C" w:rsidTr="00A02557">
        <w:tc>
          <w:tcPr>
            <w:tcW w:w="0" w:type="auto"/>
            <w:vAlign w:val="bottom"/>
          </w:tcPr>
          <w:p w:rsidR="009169B9" w:rsidRPr="00A02557" w:rsidRDefault="009169B9" w:rsidP="00A02557">
            <w:pPr>
              <w:tabs>
                <w:tab w:val="left" w:pos="1148"/>
              </w:tabs>
              <w:spacing w:before="40" w:after="40"/>
              <w:jc w:val="left"/>
              <w:rPr>
                <w:rFonts w:ascii="Tahoma" w:eastAsiaTheme="minorEastAsia" w:hAnsi="Tahoma" w:cs="Tahoma"/>
                <w:szCs w:val="20"/>
                <w:rtl/>
              </w:rPr>
            </w:pPr>
            <w:r w:rsidRPr="00A02557">
              <w:rPr>
                <w:rFonts w:ascii="Tahoma" w:eastAsiaTheme="minorEastAsia" w:hAnsi="Tahoma" w:cs="Tahoma"/>
                <w:szCs w:val="20"/>
                <w:rtl/>
              </w:rPr>
              <w:t>2017</w:t>
            </w:r>
          </w:p>
        </w:tc>
        <w:tc>
          <w:tcPr>
            <w:tcW w:w="0" w:type="auto"/>
            <w:vAlign w:val="bottom"/>
          </w:tcPr>
          <w:p w:rsidR="009169B9" w:rsidRPr="00A02557" w:rsidRDefault="009169B9" w:rsidP="00A02557">
            <w:pPr>
              <w:tabs>
                <w:tab w:val="left" w:pos="1148"/>
              </w:tabs>
              <w:spacing w:before="40" w:after="40"/>
              <w:jc w:val="left"/>
              <w:rPr>
                <w:rFonts w:ascii="Tahoma" w:eastAsiaTheme="minorEastAsia" w:hAnsi="Tahoma" w:cs="Tahoma"/>
                <w:szCs w:val="20"/>
                <w:rtl/>
              </w:rPr>
            </w:pPr>
            <w:r w:rsidRPr="00A02557">
              <w:rPr>
                <w:rFonts w:ascii="Tahoma" w:eastAsiaTheme="minorEastAsia" w:hAnsi="Tahoma" w:cs="Tahoma"/>
                <w:szCs w:val="20"/>
                <w:rtl/>
              </w:rPr>
              <w:t>11.681</w:t>
            </w:r>
          </w:p>
        </w:tc>
        <w:tc>
          <w:tcPr>
            <w:tcW w:w="0" w:type="auto"/>
            <w:vAlign w:val="bottom"/>
          </w:tcPr>
          <w:p w:rsidR="009169B9" w:rsidRPr="00A02557" w:rsidRDefault="009169B9" w:rsidP="00A02557">
            <w:pPr>
              <w:tabs>
                <w:tab w:val="left" w:pos="1148"/>
              </w:tabs>
              <w:spacing w:before="40" w:after="40"/>
              <w:jc w:val="left"/>
              <w:rPr>
                <w:rFonts w:ascii="Tahoma" w:eastAsiaTheme="minorEastAsia" w:hAnsi="Tahoma" w:cs="Tahoma"/>
                <w:szCs w:val="20"/>
                <w:rtl/>
              </w:rPr>
            </w:pPr>
            <w:r w:rsidRPr="00A02557">
              <w:rPr>
                <w:rFonts w:ascii="Tahoma" w:eastAsiaTheme="minorEastAsia" w:hAnsi="Tahoma" w:cs="Tahoma"/>
                <w:szCs w:val="20"/>
                <w:rtl/>
              </w:rPr>
              <w:t>2.157</w:t>
            </w:r>
          </w:p>
        </w:tc>
        <w:tc>
          <w:tcPr>
            <w:tcW w:w="0" w:type="auto"/>
            <w:vAlign w:val="bottom"/>
          </w:tcPr>
          <w:p w:rsidR="009169B9" w:rsidRPr="00A02557" w:rsidRDefault="009169B9" w:rsidP="00A02557">
            <w:pPr>
              <w:tabs>
                <w:tab w:val="left" w:pos="1148"/>
              </w:tabs>
              <w:spacing w:before="40" w:after="40"/>
              <w:jc w:val="left"/>
              <w:rPr>
                <w:rFonts w:ascii="Tahoma" w:eastAsiaTheme="minorEastAsia" w:hAnsi="Tahoma" w:cs="Tahoma"/>
                <w:szCs w:val="20"/>
                <w:rtl/>
              </w:rPr>
            </w:pPr>
            <w:r w:rsidRPr="00A02557">
              <w:rPr>
                <w:rFonts w:ascii="Tahoma" w:eastAsiaTheme="minorEastAsia" w:hAnsi="Tahoma" w:cs="Tahoma"/>
                <w:szCs w:val="20"/>
                <w:rtl/>
              </w:rPr>
              <w:t>3.430</w:t>
            </w:r>
          </w:p>
        </w:tc>
        <w:tc>
          <w:tcPr>
            <w:tcW w:w="0" w:type="auto"/>
            <w:vAlign w:val="bottom"/>
          </w:tcPr>
          <w:p w:rsidR="009169B9" w:rsidRPr="00A02557" w:rsidRDefault="009169B9" w:rsidP="00A02557">
            <w:pPr>
              <w:tabs>
                <w:tab w:val="left" w:pos="1148"/>
              </w:tabs>
              <w:spacing w:before="40" w:after="40"/>
              <w:jc w:val="left"/>
              <w:rPr>
                <w:rFonts w:ascii="Tahoma" w:eastAsiaTheme="minorEastAsia" w:hAnsi="Tahoma" w:cs="Tahoma"/>
                <w:szCs w:val="20"/>
                <w:rtl/>
              </w:rPr>
            </w:pPr>
            <w:r w:rsidRPr="00A02557">
              <w:rPr>
                <w:rFonts w:ascii="Tahoma" w:eastAsiaTheme="minorEastAsia" w:hAnsi="Tahoma" w:cs="Tahoma"/>
                <w:szCs w:val="20"/>
                <w:rtl/>
              </w:rPr>
              <w:t>6.094</w:t>
            </w:r>
          </w:p>
        </w:tc>
      </w:tr>
      <w:tr w:rsidR="009169B9" w:rsidRPr="00743C5C" w:rsidTr="00A02557">
        <w:tc>
          <w:tcPr>
            <w:tcW w:w="0" w:type="auto"/>
            <w:vAlign w:val="bottom"/>
          </w:tcPr>
          <w:p w:rsidR="009169B9" w:rsidRPr="00A02557" w:rsidRDefault="009169B9" w:rsidP="00A02557">
            <w:pPr>
              <w:tabs>
                <w:tab w:val="left" w:pos="1148"/>
              </w:tabs>
              <w:spacing w:before="40" w:after="40"/>
              <w:jc w:val="left"/>
              <w:rPr>
                <w:rFonts w:ascii="Tahoma" w:eastAsiaTheme="minorEastAsia" w:hAnsi="Tahoma" w:cs="Tahoma"/>
                <w:szCs w:val="20"/>
                <w:rtl/>
              </w:rPr>
            </w:pPr>
            <w:r w:rsidRPr="00A02557">
              <w:rPr>
                <w:rFonts w:ascii="Tahoma" w:eastAsiaTheme="minorEastAsia" w:hAnsi="Tahoma" w:cs="Tahoma"/>
                <w:szCs w:val="20"/>
                <w:rtl/>
              </w:rPr>
              <w:t>2018</w:t>
            </w:r>
          </w:p>
        </w:tc>
        <w:tc>
          <w:tcPr>
            <w:tcW w:w="0" w:type="auto"/>
            <w:vAlign w:val="bottom"/>
          </w:tcPr>
          <w:p w:rsidR="009169B9" w:rsidRPr="00A02557" w:rsidRDefault="009169B9" w:rsidP="00A02557">
            <w:pPr>
              <w:tabs>
                <w:tab w:val="left" w:pos="1148"/>
              </w:tabs>
              <w:spacing w:before="40" w:after="40"/>
              <w:jc w:val="left"/>
              <w:rPr>
                <w:rFonts w:ascii="Tahoma" w:eastAsiaTheme="minorEastAsia" w:hAnsi="Tahoma" w:cs="Tahoma"/>
                <w:szCs w:val="20"/>
                <w:rtl/>
              </w:rPr>
            </w:pPr>
            <w:r w:rsidRPr="00A02557">
              <w:rPr>
                <w:rFonts w:ascii="Tahoma" w:eastAsiaTheme="minorEastAsia" w:hAnsi="Tahoma" w:cs="Tahoma"/>
                <w:szCs w:val="20"/>
                <w:rtl/>
              </w:rPr>
              <w:t>10.935</w:t>
            </w:r>
          </w:p>
        </w:tc>
        <w:tc>
          <w:tcPr>
            <w:tcW w:w="0" w:type="auto"/>
            <w:vAlign w:val="bottom"/>
          </w:tcPr>
          <w:p w:rsidR="009169B9" w:rsidRPr="00A02557" w:rsidRDefault="009169B9" w:rsidP="00A02557">
            <w:pPr>
              <w:tabs>
                <w:tab w:val="left" w:pos="1148"/>
              </w:tabs>
              <w:spacing w:before="40" w:after="40"/>
              <w:jc w:val="left"/>
              <w:rPr>
                <w:rFonts w:ascii="Tahoma" w:eastAsiaTheme="minorEastAsia" w:hAnsi="Tahoma" w:cs="Tahoma"/>
                <w:szCs w:val="20"/>
                <w:rtl/>
              </w:rPr>
            </w:pPr>
            <w:r w:rsidRPr="00A02557">
              <w:rPr>
                <w:rFonts w:ascii="Tahoma" w:eastAsiaTheme="minorEastAsia" w:hAnsi="Tahoma" w:cs="Tahoma"/>
                <w:szCs w:val="20"/>
                <w:rtl/>
              </w:rPr>
              <w:t>1.591</w:t>
            </w:r>
          </w:p>
        </w:tc>
        <w:tc>
          <w:tcPr>
            <w:tcW w:w="0" w:type="auto"/>
            <w:vAlign w:val="bottom"/>
          </w:tcPr>
          <w:p w:rsidR="009169B9" w:rsidRPr="00A02557" w:rsidRDefault="009169B9" w:rsidP="00A02557">
            <w:pPr>
              <w:tabs>
                <w:tab w:val="left" w:pos="1148"/>
              </w:tabs>
              <w:spacing w:before="40" w:after="40"/>
              <w:jc w:val="left"/>
              <w:rPr>
                <w:rFonts w:ascii="Tahoma" w:eastAsiaTheme="minorEastAsia" w:hAnsi="Tahoma" w:cs="Tahoma"/>
                <w:szCs w:val="20"/>
                <w:rtl/>
              </w:rPr>
            </w:pPr>
            <w:r w:rsidRPr="00A02557">
              <w:rPr>
                <w:rFonts w:ascii="Tahoma" w:eastAsiaTheme="minorEastAsia" w:hAnsi="Tahoma" w:cs="Tahoma"/>
                <w:szCs w:val="20"/>
                <w:rtl/>
              </w:rPr>
              <w:t>3.589</w:t>
            </w:r>
          </w:p>
        </w:tc>
        <w:tc>
          <w:tcPr>
            <w:tcW w:w="0" w:type="auto"/>
            <w:vAlign w:val="bottom"/>
          </w:tcPr>
          <w:p w:rsidR="009169B9" w:rsidRPr="00A02557" w:rsidRDefault="009169B9" w:rsidP="00A02557">
            <w:pPr>
              <w:tabs>
                <w:tab w:val="left" w:pos="1148"/>
              </w:tabs>
              <w:spacing w:before="40" w:after="40"/>
              <w:jc w:val="left"/>
              <w:rPr>
                <w:rFonts w:ascii="Tahoma" w:eastAsiaTheme="minorEastAsia" w:hAnsi="Tahoma" w:cs="Tahoma"/>
                <w:szCs w:val="20"/>
                <w:rtl/>
              </w:rPr>
            </w:pPr>
            <w:r w:rsidRPr="00A02557">
              <w:rPr>
                <w:rFonts w:ascii="Tahoma" w:eastAsiaTheme="minorEastAsia" w:hAnsi="Tahoma" w:cs="Tahoma"/>
                <w:szCs w:val="20"/>
                <w:rtl/>
              </w:rPr>
              <w:t>5.755</w:t>
            </w:r>
          </w:p>
        </w:tc>
      </w:tr>
    </w:tbl>
    <w:p w:rsidR="009169B9" w:rsidRPr="00A02557" w:rsidRDefault="009169B9" w:rsidP="00A02557">
      <w:pPr>
        <w:pStyle w:val="text-source"/>
        <w:spacing w:line="260" w:lineRule="exact"/>
        <w:ind w:right="0"/>
        <w:jc w:val="center"/>
        <w:rPr>
          <w:sz w:val="16"/>
          <w:szCs w:val="16"/>
          <w:rtl/>
        </w:rPr>
      </w:pPr>
      <w:r w:rsidRPr="00A02557">
        <w:rPr>
          <w:sz w:val="16"/>
          <w:szCs w:val="16"/>
          <w:rtl/>
        </w:rPr>
        <w:t>רשות המיסים הסבירה כי הירידה בהכנסות מבלו על סולר בשנת 2018 נובעת מהמעבר מסולר לדלק שאינו מזהם או לגז טבעי.</w:t>
      </w:r>
    </w:p>
    <w:p w:rsidR="009169B9" w:rsidRPr="00743C5C" w:rsidRDefault="009169B9" w:rsidP="009169B9">
      <w:pPr>
        <w:spacing w:after="120"/>
        <w:rPr>
          <w:rFonts w:ascii="Tahoma" w:hAnsi="Tahoma" w:cs="Tahoma"/>
          <w:sz w:val="16"/>
          <w:szCs w:val="20"/>
          <w:rtl/>
        </w:rPr>
      </w:pPr>
      <w:r w:rsidRPr="00743C5C">
        <w:rPr>
          <w:rFonts w:ascii="Tahoma" w:hAnsi="Tahoma" w:cs="Tahoma"/>
          <w:sz w:val="16"/>
          <w:szCs w:val="20"/>
          <w:rtl/>
        </w:rPr>
        <w:t xml:space="preserve">על תחום מימוש הסדר הסולר מופקדת היחידה הארצית לבלו ומס קנייה ברשות המיסים (להלן - יחידת הסולר), המבצעת בקרה על הסדר הסולר. היחידה מונה עשרה עובדים. במסגרת פעילותה מקבלת היחידה בקשות (כולל באופן מקוון) של עוסקים </w:t>
      </w:r>
      <w:proofErr w:type="spellStart"/>
      <w:r w:rsidRPr="00743C5C">
        <w:rPr>
          <w:rFonts w:ascii="Tahoma" w:hAnsi="Tahoma" w:cs="Tahoma"/>
          <w:sz w:val="16"/>
          <w:szCs w:val="20"/>
          <w:rtl/>
        </w:rPr>
        <w:t>להישבון</w:t>
      </w:r>
      <w:proofErr w:type="spellEnd"/>
      <w:r w:rsidRPr="00743C5C">
        <w:rPr>
          <w:rFonts w:ascii="Tahoma" w:hAnsi="Tahoma" w:cs="Tahoma"/>
          <w:sz w:val="16"/>
          <w:szCs w:val="20"/>
          <w:rtl/>
        </w:rPr>
        <w:t xml:space="preserve">, בוחנת אם הן עומדות בתנאי צו </w:t>
      </w:r>
      <w:proofErr w:type="spellStart"/>
      <w:r w:rsidRPr="00743C5C">
        <w:rPr>
          <w:rFonts w:ascii="Tahoma" w:hAnsi="Tahoma" w:cs="Tahoma"/>
          <w:sz w:val="16"/>
          <w:szCs w:val="20"/>
          <w:rtl/>
        </w:rPr>
        <w:t>ההישבון</w:t>
      </w:r>
      <w:proofErr w:type="spellEnd"/>
      <w:r w:rsidRPr="00743C5C">
        <w:rPr>
          <w:rFonts w:ascii="Tahoma" w:hAnsi="Tahoma" w:cs="Tahoma"/>
          <w:sz w:val="16"/>
          <w:szCs w:val="20"/>
          <w:rtl/>
        </w:rPr>
        <w:t xml:space="preserve">, ואם כן היא מאשרת לעוסקים, באופן מקוון את קבלת </w:t>
      </w:r>
      <w:proofErr w:type="spellStart"/>
      <w:r w:rsidRPr="00743C5C">
        <w:rPr>
          <w:rFonts w:ascii="Tahoma" w:hAnsi="Tahoma" w:cs="Tahoma"/>
          <w:sz w:val="16"/>
          <w:szCs w:val="20"/>
          <w:rtl/>
        </w:rPr>
        <w:t>ההישבון</w:t>
      </w:r>
      <w:proofErr w:type="spellEnd"/>
      <w:r w:rsidRPr="00743C5C">
        <w:rPr>
          <w:rFonts w:ascii="Tahoma" w:hAnsi="Tahoma" w:cs="Tahoma"/>
          <w:sz w:val="16"/>
          <w:szCs w:val="20"/>
          <w:rtl/>
        </w:rPr>
        <w:t xml:space="preserve">. הזיכוי מועבר לחשבון הבנק של העוסק לאחר קיזוז חובות לרשות המיסים, אם היה לו. נוסף על כך, מבצעת יחידת הסולר מדי פעם בפעם ביקורות אצל עוסקים, כדי להשוות את בקשותיהם </w:t>
      </w:r>
      <w:proofErr w:type="spellStart"/>
      <w:r w:rsidRPr="00743C5C">
        <w:rPr>
          <w:rFonts w:ascii="Tahoma" w:hAnsi="Tahoma" w:cs="Tahoma"/>
          <w:sz w:val="16"/>
          <w:szCs w:val="20"/>
          <w:rtl/>
        </w:rPr>
        <w:t>להישבון</w:t>
      </w:r>
      <w:proofErr w:type="spellEnd"/>
      <w:r w:rsidRPr="00743C5C">
        <w:rPr>
          <w:rFonts w:ascii="Tahoma" w:hAnsi="Tahoma" w:cs="Tahoma"/>
          <w:sz w:val="16"/>
          <w:szCs w:val="20"/>
          <w:rtl/>
        </w:rPr>
        <w:t xml:space="preserve"> סולר לחשבוניות שהם מציגים. עיקר ביקורת החשבונות על דיווחי העוסקים מבוצעת במשרדים האזוריים של </w:t>
      </w:r>
      <w:proofErr w:type="spellStart"/>
      <w:r w:rsidRPr="00743C5C">
        <w:rPr>
          <w:rFonts w:ascii="Tahoma" w:hAnsi="Tahoma" w:cs="Tahoma"/>
          <w:sz w:val="16"/>
          <w:szCs w:val="20"/>
          <w:rtl/>
        </w:rPr>
        <w:t>מע"ם</w:t>
      </w:r>
      <w:proofErr w:type="spellEnd"/>
      <w:r w:rsidRPr="00743C5C">
        <w:rPr>
          <w:rFonts w:ascii="Tahoma" w:hAnsi="Tahoma" w:cs="Tahoma"/>
          <w:sz w:val="16"/>
          <w:szCs w:val="20"/>
          <w:rtl/>
        </w:rPr>
        <w:t>.</w:t>
      </w:r>
    </w:p>
    <w:p w:rsidR="009169B9" w:rsidRPr="00743C5C" w:rsidRDefault="009169B9" w:rsidP="009169B9">
      <w:pPr>
        <w:spacing w:after="120"/>
        <w:rPr>
          <w:rFonts w:ascii="Tahoma" w:hAnsi="Tahoma" w:cs="Tahoma"/>
          <w:szCs w:val="20"/>
          <w:rtl/>
        </w:rPr>
      </w:pPr>
      <w:r w:rsidRPr="00743C5C">
        <w:rPr>
          <w:rFonts w:ascii="Tahoma" w:hAnsi="Tahoma" w:cs="Tahoma"/>
          <w:szCs w:val="20"/>
          <w:rtl/>
        </w:rPr>
        <w:t>להלן נתוני רשות המיסים על ביקורות אצל עוסקים בתחום הסדר הסולר, שביצעה יחידת הסולר בשנים 2017 - 2018:</w:t>
      </w:r>
    </w:p>
    <w:p w:rsidR="009169B9" w:rsidRPr="00A02557" w:rsidRDefault="009169B9" w:rsidP="00A02557">
      <w:pPr>
        <w:pStyle w:val="a1"/>
        <w:rPr>
          <w:rtl/>
        </w:rPr>
      </w:pPr>
      <w:r w:rsidRPr="00A02557">
        <w:rPr>
          <w:b w:val="0"/>
          <w:bCs w:val="0"/>
          <w:rtl/>
        </w:rPr>
        <w:lastRenderedPageBreak/>
        <w:t>לוח 2:</w:t>
      </w:r>
      <w:r w:rsidRPr="00743C5C">
        <w:rPr>
          <w:rtl/>
        </w:rPr>
        <w:t xml:space="preserve"> ביקורות אצל עוסקים שביצעה יחידת הסולר, 2017 - 2018</w:t>
      </w:r>
    </w:p>
    <w:tbl>
      <w:tblPr>
        <w:tblStyle w:val="TableGrid"/>
        <w:bidiVisual/>
        <w:tblW w:w="0" w:type="auto"/>
        <w:jc w:val="center"/>
        <w:tblBorders>
          <w:insideH w:val="single" w:sz="6" w:space="0" w:color="auto"/>
          <w:insideV w:val="single" w:sz="6" w:space="0" w:color="auto"/>
        </w:tblBorders>
        <w:shd w:val="clear" w:color="auto" w:fill="C6D9F1"/>
        <w:tblLook w:val="04A0" w:firstRow="1" w:lastRow="0" w:firstColumn="1" w:lastColumn="0" w:noHBand="0" w:noVBand="1"/>
      </w:tblPr>
      <w:tblGrid>
        <w:gridCol w:w="653"/>
        <w:gridCol w:w="2588"/>
        <w:gridCol w:w="2188"/>
        <w:gridCol w:w="2332"/>
      </w:tblGrid>
      <w:tr w:rsidR="009169B9" w:rsidRPr="00743C5C" w:rsidTr="00A02557">
        <w:trPr>
          <w:tblHeader/>
          <w:jc w:val="center"/>
        </w:trPr>
        <w:tc>
          <w:tcPr>
            <w:tcW w:w="0" w:type="auto"/>
            <w:tcBorders>
              <w:bottom w:val="single" w:sz="6" w:space="0" w:color="auto"/>
            </w:tcBorders>
            <w:shd w:val="clear" w:color="auto" w:fill="C6D9F1"/>
            <w:vAlign w:val="bottom"/>
          </w:tcPr>
          <w:p w:rsidR="009169B9" w:rsidRPr="00A02557" w:rsidRDefault="009169B9" w:rsidP="00A02557">
            <w:pPr>
              <w:tabs>
                <w:tab w:val="left" w:pos="1148"/>
              </w:tabs>
              <w:spacing w:before="40" w:after="40"/>
              <w:jc w:val="left"/>
              <w:rPr>
                <w:rFonts w:ascii="Tahoma" w:eastAsiaTheme="minorEastAsia" w:hAnsi="Tahoma" w:cs="Tahoma"/>
                <w:b/>
                <w:bCs/>
                <w:szCs w:val="20"/>
                <w:rtl/>
              </w:rPr>
            </w:pPr>
            <w:r w:rsidRPr="00A02557">
              <w:rPr>
                <w:rFonts w:ascii="Tahoma" w:eastAsiaTheme="minorEastAsia" w:hAnsi="Tahoma" w:cs="Tahoma"/>
                <w:b/>
                <w:bCs/>
                <w:szCs w:val="20"/>
                <w:rtl/>
              </w:rPr>
              <w:t>שנה</w:t>
            </w:r>
          </w:p>
        </w:tc>
        <w:tc>
          <w:tcPr>
            <w:tcW w:w="0" w:type="auto"/>
            <w:tcBorders>
              <w:bottom w:val="single" w:sz="6" w:space="0" w:color="auto"/>
            </w:tcBorders>
            <w:shd w:val="clear" w:color="auto" w:fill="C6D9F1"/>
            <w:vAlign w:val="bottom"/>
          </w:tcPr>
          <w:p w:rsidR="009169B9" w:rsidRPr="00A02557" w:rsidRDefault="009169B9" w:rsidP="00A02557">
            <w:pPr>
              <w:tabs>
                <w:tab w:val="left" w:pos="1148"/>
              </w:tabs>
              <w:spacing w:before="40" w:after="40"/>
              <w:jc w:val="left"/>
              <w:rPr>
                <w:rFonts w:ascii="Tahoma" w:eastAsiaTheme="minorEastAsia" w:hAnsi="Tahoma" w:cs="Tahoma"/>
                <w:b/>
                <w:bCs/>
                <w:szCs w:val="20"/>
                <w:rtl/>
              </w:rPr>
            </w:pPr>
            <w:r w:rsidRPr="00A02557">
              <w:rPr>
                <w:rFonts w:ascii="Tahoma" w:eastAsiaTheme="minorEastAsia" w:hAnsi="Tahoma" w:cs="Tahoma"/>
                <w:b/>
                <w:bCs/>
                <w:szCs w:val="20"/>
                <w:rtl/>
              </w:rPr>
              <w:t>ביקורת במפעלי תעשייה</w:t>
            </w:r>
          </w:p>
        </w:tc>
        <w:tc>
          <w:tcPr>
            <w:tcW w:w="0" w:type="auto"/>
            <w:tcBorders>
              <w:bottom w:val="single" w:sz="6" w:space="0" w:color="auto"/>
            </w:tcBorders>
            <w:shd w:val="clear" w:color="auto" w:fill="C6D9F1"/>
            <w:vAlign w:val="bottom"/>
          </w:tcPr>
          <w:p w:rsidR="009169B9" w:rsidRPr="00A02557" w:rsidRDefault="009169B9" w:rsidP="00A02557">
            <w:pPr>
              <w:tabs>
                <w:tab w:val="left" w:pos="1148"/>
              </w:tabs>
              <w:spacing w:before="40" w:after="40"/>
              <w:jc w:val="left"/>
              <w:rPr>
                <w:rFonts w:ascii="Tahoma" w:eastAsiaTheme="minorEastAsia" w:hAnsi="Tahoma" w:cs="Tahoma"/>
                <w:b/>
                <w:bCs/>
                <w:szCs w:val="20"/>
                <w:rtl/>
              </w:rPr>
            </w:pPr>
            <w:r w:rsidRPr="00A02557">
              <w:rPr>
                <w:rFonts w:ascii="Tahoma" w:eastAsiaTheme="minorEastAsia" w:hAnsi="Tahoma" w:cs="Tahoma"/>
                <w:b/>
                <w:bCs/>
                <w:szCs w:val="20"/>
                <w:rtl/>
              </w:rPr>
              <w:t>ביקורת בספינות דיג</w:t>
            </w:r>
          </w:p>
        </w:tc>
        <w:tc>
          <w:tcPr>
            <w:tcW w:w="0" w:type="auto"/>
            <w:tcBorders>
              <w:bottom w:val="single" w:sz="6" w:space="0" w:color="auto"/>
            </w:tcBorders>
            <w:shd w:val="clear" w:color="auto" w:fill="C6D9F1"/>
            <w:vAlign w:val="bottom"/>
          </w:tcPr>
          <w:p w:rsidR="009169B9" w:rsidRPr="00A02557" w:rsidRDefault="009169B9" w:rsidP="00A02557">
            <w:pPr>
              <w:tabs>
                <w:tab w:val="left" w:pos="1148"/>
              </w:tabs>
              <w:spacing w:before="40" w:after="40"/>
              <w:jc w:val="left"/>
              <w:rPr>
                <w:rFonts w:ascii="Tahoma" w:eastAsiaTheme="minorEastAsia" w:hAnsi="Tahoma" w:cs="Tahoma"/>
                <w:b/>
                <w:bCs/>
                <w:szCs w:val="20"/>
                <w:rtl/>
              </w:rPr>
            </w:pPr>
            <w:r w:rsidRPr="00A02557">
              <w:rPr>
                <w:rFonts w:ascii="Tahoma" w:eastAsiaTheme="minorEastAsia" w:hAnsi="Tahoma" w:cs="Tahoma"/>
                <w:b/>
                <w:bCs/>
                <w:szCs w:val="20"/>
                <w:rtl/>
              </w:rPr>
              <w:t>ביקורת מכונות ניידות</w:t>
            </w:r>
          </w:p>
        </w:tc>
      </w:tr>
      <w:tr w:rsidR="009169B9" w:rsidRPr="00743C5C" w:rsidTr="00A02557">
        <w:trPr>
          <w:jc w:val="center"/>
        </w:trPr>
        <w:tc>
          <w:tcPr>
            <w:tcW w:w="0" w:type="auto"/>
            <w:tcBorders>
              <w:top w:val="single" w:sz="6" w:space="0" w:color="auto"/>
              <w:bottom w:val="single" w:sz="6" w:space="0" w:color="auto"/>
            </w:tcBorders>
            <w:shd w:val="clear" w:color="auto" w:fill="auto"/>
            <w:vAlign w:val="bottom"/>
          </w:tcPr>
          <w:p w:rsidR="009169B9" w:rsidRPr="00A02557" w:rsidRDefault="009169B9" w:rsidP="00A02557">
            <w:pPr>
              <w:tabs>
                <w:tab w:val="left" w:pos="1148"/>
                <w:tab w:val="right" w:pos="3766"/>
              </w:tabs>
              <w:spacing w:before="40" w:after="40"/>
              <w:jc w:val="left"/>
              <w:rPr>
                <w:rFonts w:ascii="Tahoma" w:eastAsiaTheme="minorEastAsia" w:hAnsi="Tahoma" w:cs="Tahoma"/>
                <w:szCs w:val="20"/>
                <w:rtl/>
              </w:rPr>
            </w:pPr>
            <w:r w:rsidRPr="00A02557">
              <w:rPr>
                <w:rFonts w:ascii="Tahoma" w:eastAsiaTheme="minorEastAsia" w:hAnsi="Tahoma" w:cs="Tahoma"/>
                <w:szCs w:val="20"/>
                <w:rtl/>
              </w:rPr>
              <w:t>2017</w:t>
            </w:r>
          </w:p>
        </w:tc>
        <w:tc>
          <w:tcPr>
            <w:tcW w:w="0" w:type="auto"/>
            <w:tcBorders>
              <w:top w:val="single" w:sz="6" w:space="0" w:color="auto"/>
              <w:bottom w:val="single" w:sz="6" w:space="0" w:color="auto"/>
            </w:tcBorders>
            <w:shd w:val="clear" w:color="auto" w:fill="auto"/>
            <w:vAlign w:val="bottom"/>
          </w:tcPr>
          <w:p w:rsidR="009169B9" w:rsidRPr="00A02557" w:rsidRDefault="009169B9" w:rsidP="00A02557">
            <w:pPr>
              <w:tabs>
                <w:tab w:val="left" w:pos="1148"/>
                <w:tab w:val="right" w:pos="3766"/>
              </w:tabs>
              <w:spacing w:before="40" w:after="40"/>
              <w:jc w:val="left"/>
              <w:rPr>
                <w:rFonts w:ascii="Tahoma" w:eastAsiaTheme="minorEastAsia" w:hAnsi="Tahoma" w:cs="Tahoma"/>
                <w:szCs w:val="20"/>
                <w:rtl/>
              </w:rPr>
            </w:pPr>
            <w:r w:rsidRPr="00A02557">
              <w:rPr>
                <w:rFonts w:ascii="Tahoma" w:eastAsiaTheme="minorEastAsia" w:hAnsi="Tahoma" w:cs="Tahoma"/>
                <w:szCs w:val="20"/>
                <w:rtl/>
              </w:rPr>
              <w:t>40</w:t>
            </w:r>
          </w:p>
        </w:tc>
        <w:tc>
          <w:tcPr>
            <w:tcW w:w="0" w:type="auto"/>
            <w:tcBorders>
              <w:top w:val="single" w:sz="6" w:space="0" w:color="auto"/>
              <w:bottom w:val="single" w:sz="6" w:space="0" w:color="auto"/>
            </w:tcBorders>
            <w:shd w:val="clear" w:color="auto" w:fill="auto"/>
            <w:vAlign w:val="bottom"/>
          </w:tcPr>
          <w:p w:rsidR="009169B9" w:rsidRPr="00A02557" w:rsidRDefault="009169B9" w:rsidP="00A02557">
            <w:pPr>
              <w:tabs>
                <w:tab w:val="left" w:pos="1148"/>
                <w:tab w:val="right" w:pos="3766"/>
              </w:tabs>
              <w:spacing w:before="40" w:after="40"/>
              <w:jc w:val="left"/>
              <w:rPr>
                <w:rFonts w:ascii="Tahoma" w:eastAsiaTheme="minorEastAsia" w:hAnsi="Tahoma" w:cs="Tahoma"/>
                <w:szCs w:val="20"/>
                <w:rtl/>
              </w:rPr>
            </w:pPr>
            <w:r w:rsidRPr="00A02557">
              <w:rPr>
                <w:rFonts w:ascii="Tahoma" w:eastAsiaTheme="minorEastAsia" w:hAnsi="Tahoma" w:cs="Tahoma"/>
                <w:szCs w:val="20"/>
                <w:rtl/>
              </w:rPr>
              <w:t>7</w:t>
            </w:r>
          </w:p>
        </w:tc>
        <w:tc>
          <w:tcPr>
            <w:tcW w:w="0" w:type="auto"/>
            <w:tcBorders>
              <w:top w:val="single" w:sz="6" w:space="0" w:color="auto"/>
              <w:bottom w:val="single" w:sz="6" w:space="0" w:color="auto"/>
            </w:tcBorders>
            <w:shd w:val="clear" w:color="auto" w:fill="auto"/>
            <w:vAlign w:val="bottom"/>
          </w:tcPr>
          <w:p w:rsidR="009169B9" w:rsidRPr="00A02557" w:rsidRDefault="009169B9" w:rsidP="00A02557">
            <w:pPr>
              <w:tabs>
                <w:tab w:val="left" w:pos="1148"/>
                <w:tab w:val="right" w:pos="3766"/>
              </w:tabs>
              <w:spacing w:before="40" w:after="40"/>
              <w:jc w:val="left"/>
              <w:rPr>
                <w:rFonts w:ascii="Tahoma" w:eastAsiaTheme="minorEastAsia" w:hAnsi="Tahoma" w:cs="Tahoma"/>
                <w:szCs w:val="20"/>
                <w:rtl/>
              </w:rPr>
            </w:pPr>
            <w:r w:rsidRPr="00A02557">
              <w:rPr>
                <w:rFonts w:ascii="Tahoma" w:eastAsiaTheme="minorEastAsia" w:hAnsi="Tahoma" w:cs="Tahoma"/>
                <w:szCs w:val="20"/>
                <w:rtl/>
              </w:rPr>
              <w:t>30</w:t>
            </w:r>
          </w:p>
        </w:tc>
      </w:tr>
      <w:tr w:rsidR="009169B9" w:rsidRPr="00743C5C" w:rsidTr="00A02557">
        <w:trPr>
          <w:jc w:val="center"/>
        </w:trPr>
        <w:tc>
          <w:tcPr>
            <w:tcW w:w="0" w:type="auto"/>
            <w:tcBorders>
              <w:top w:val="single" w:sz="6" w:space="0" w:color="auto"/>
              <w:bottom w:val="single" w:sz="4" w:space="0" w:color="auto"/>
            </w:tcBorders>
            <w:shd w:val="clear" w:color="auto" w:fill="auto"/>
            <w:vAlign w:val="bottom"/>
          </w:tcPr>
          <w:p w:rsidR="009169B9" w:rsidRPr="00A02557" w:rsidRDefault="009169B9" w:rsidP="00A02557">
            <w:pPr>
              <w:tabs>
                <w:tab w:val="left" w:pos="1148"/>
                <w:tab w:val="right" w:pos="3766"/>
              </w:tabs>
              <w:spacing w:before="40" w:after="40"/>
              <w:jc w:val="left"/>
              <w:rPr>
                <w:rFonts w:ascii="Tahoma" w:eastAsiaTheme="minorEastAsia" w:hAnsi="Tahoma" w:cs="Tahoma"/>
                <w:szCs w:val="20"/>
                <w:rtl/>
              </w:rPr>
            </w:pPr>
            <w:r w:rsidRPr="00A02557">
              <w:rPr>
                <w:rFonts w:ascii="Tahoma" w:eastAsiaTheme="minorEastAsia" w:hAnsi="Tahoma" w:cs="Tahoma"/>
                <w:szCs w:val="20"/>
                <w:rtl/>
              </w:rPr>
              <w:t>2018</w:t>
            </w:r>
          </w:p>
        </w:tc>
        <w:tc>
          <w:tcPr>
            <w:tcW w:w="0" w:type="auto"/>
            <w:tcBorders>
              <w:top w:val="single" w:sz="6" w:space="0" w:color="auto"/>
              <w:bottom w:val="single" w:sz="4" w:space="0" w:color="auto"/>
            </w:tcBorders>
            <w:shd w:val="clear" w:color="auto" w:fill="auto"/>
            <w:vAlign w:val="bottom"/>
          </w:tcPr>
          <w:p w:rsidR="009169B9" w:rsidRPr="00A02557" w:rsidRDefault="009169B9" w:rsidP="00A02557">
            <w:pPr>
              <w:tabs>
                <w:tab w:val="left" w:pos="1148"/>
                <w:tab w:val="right" w:pos="3766"/>
              </w:tabs>
              <w:spacing w:before="40" w:after="40"/>
              <w:jc w:val="left"/>
              <w:rPr>
                <w:rFonts w:ascii="Tahoma" w:eastAsiaTheme="minorEastAsia" w:hAnsi="Tahoma" w:cs="Tahoma"/>
                <w:szCs w:val="20"/>
                <w:rtl/>
              </w:rPr>
            </w:pPr>
            <w:r w:rsidRPr="00A02557">
              <w:rPr>
                <w:rFonts w:ascii="Tahoma" w:eastAsiaTheme="minorEastAsia" w:hAnsi="Tahoma" w:cs="Tahoma"/>
                <w:szCs w:val="20"/>
                <w:rtl/>
              </w:rPr>
              <w:t>41</w:t>
            </w:r>
          </w:p>
        </w:tc>
        <w:tc>
          <w:tcPr>
            <w:tcW w:w="0" w:type="auto"/>
            <w:tcBorders>
              <w:top w:val="single" w:sz="6" w:space="0" w:color="auto"/>
              <w:bottom w:val="single" w:sz="4" w:space="0" w:color="auto"/>
            </w:tcBorders>
            <w:shd w:val="clear" w:color="auto" w:fill="auto"/>
            <w:vAlign w:val="bottom"/>
          </w:tcPr>
          <w:p w:rsidR="009169B9" w:rsidRPr="00A02557" w:rsidRDefault="009169B9" w:rsidP="00A02557">
            <w:pPr>
              <w:tabs>
                <w:tab w:val="left" w:pos="1148"/>
                <w:tab w:val="right" w:pos="3766"/>
              </w:tabs>
              <w:spacing w:before="40" w:after="40"/>
              <w:jc w:val="left"/>
              <w:rPr>
                <w:rFonts w:ascii="Tahoma" w:eastAsiaTheme="minorEastAsia" w:hAnsi="Tahoma" w:cs="Tahoma"/>
                <w:szCs w:val="20"/>
                <w:rtl/>
              </w:rPr>
            </w:pPr>
            <w:r w:rsidRPr="00A02557">
              <w:rPr>
                <w:rFonts w:ascii="Tahoma" w:eastAsiaTheme="minorEastAsia" w:hAnsi="Tahoma" w:cs="Tahoma"/>
                <w:szCs w:val="20"/>
                <w:rtl/>
              </w:rPr>
              <w:t>7</w:t>
            </w:r>
          </w:p>
        </w:tc>
        <w:tc>
          <w:tcPr>
            <w:tcW w:w="0" w:type="auto"/>
            <w:tcBorders>
              <w:top w:val="single" w:sz="6" w:space="0" w:color="auto"/>
              <w:bottom w:val="single" w:sz="4" w:space="0" w:color="auto"/>
            </w:tcBorders>
            <w:shd w:val="clear" w:color="auto" w:fill="auto"/>
            <w:vAlign w:val="bottom"/>
          </w:tcPr>
          <w:p w:rsidR="009169B9" w:rsidRPr="00A02557" w:rsidRDefault="009169B9" w:rsidP="00A02557">
            <w:pPr>
              <w:tabs>
                <w:tab w:val="left" w:pos="1148"/>
                <w:tab w:val="right" w:pos="3766"/>
              </w:tabs>
              <w:spacing w:before="40" w:after="40"/>
              <w:jc w:val="left"/>
              <w:rPr>
                <w:rFonts w:ascii="Tahoma" w:eastAsiaTheme="minorEastAsia" w:hAnsi="Tahoma" w:cs="Tahoma"/>
                <w:szCs w:val="20"/>
                <w:rtl/>
              </w:rPr>
            </w:pPr>
            <w:r w:rsidRPr="00A02557">
              <w:rPr>
                <w:rFonts w:ascii="Tahoma" w:eastAsiaTheme="minorEastAsia" w:hAnsi="Tahoma" w:cs="Tahoma"/>
                <w:szCs w:val="20"/>
                <w:rtl/>
              </w:rPr>
              <w:t>28</w:t>
            </w:r>
          </w:p>
        </w:tc>
      </w:tr>
    </w:tbl>
    <w:p w:rsidR="009169B9" w:rsidRPr="00530118" w:rsidRDefault="009169B9" w:rsidP="00530118">
      <w:pPr>
        <w:pStyle w:val="31"/>
        <w:rPr>
          <w:rtl/>
        </w:rPr>
      </w:pPr>
      <w:r w:rsidRPr="00530118">
        <w:rPr>
          <w:rtl/>
        </w:rPr>
        <w:t>פעולות הביקורת</w:t>
      </w:r>
    </w:p>
    <w:p w:rsidR="009169B9" w:rsidRPr="00743C5C" w:rsidRDefault="009169B9" w:rsidP="009169B9">
      <w:pPr>
        <w:spacing w:after="120"/>
        <w:rPr>
          <w:rFonts w:ascii="Tahoma" w:hAnsi="Tahoma" w:cs="Tahoma"/>
          <w:sz w:val="16"/>
          <w:szCs w:val="20"/>
          <w:rtl/>
        </w:rPr>
      </w:pPr>
      <w:r w:rsidRPr="00743C5C">
        <w:rPr>
          <w:rFonts w:ascii="Tahoma" w:hAnsi="Tahoma" w:cs="Tahoma"/>
          <w:sz w:val="16"/>
          <w:szCs w:val="20"/>
          <w:rtl/>
        </w:rPr>
        <w:t xml:space="preserve">בחודשים מרץ עד מאי 2019 בדק משרד מבקר המדינה את פעולותיה של רשות המיסים לתיקון הליקויים המרכזיים שצוינו בדוח הקודם בתחום הסדר הסולר (להלן - המעקב). המעקב נעשה בהנהלת רשות המיסים, ביחידת הסולר ובמשרדים האזוריים של מס הכנסה </w:t>
      </w:r>
      <w:proofErr w:type="spellStart"/>
      <w:r w:rsidRPr="00743C5C">
        <w:rPr>
          <w:rFonts w:ascii="Tahoma" w:hAnsi="Tahoma" w:cs="Tahoma"/>
          <w:sz w:val="16"/>
          <w:szCs w:val="20"/>
          <w:rtl/>
        </w:rPr>
        <w:t>ומע"ם</w:t>
      </w:r>
      <w:proofErr w:type="spellEnd"/>
      <w:r w:rsidRPr="00743C5C">
        <w:rPr>
          <w:rFonts w:ascii="Tahoma" w:hAnsi="Tahoma" w:cs="Tahoma"/>
          <w:sz w:val="16"/>
          <w:szCs w:val="20"/>
          <w:rtl/>
        </w:rPr>
        <w:t xml:space="preserve"> ברחובות ובחדרה.</w:t>
      </w:r>
    </w:p>
    <w:p w:rsidR="009169B9" w:rsidRPr="00530118" w:rsidRDefault="009169B9" w:rsidP="00530118">
      <w:pPr>
        <w:pStyle w:val="31"/>
      </w:pPr>
      <w:r w:rsidRPr="00530118">
        <w:rPr>
          <w:rtl/>
        </w:rPr>
        <w:t>אי-מימוש הסדר הסולר על ידי כל העוסקים הזכאים לו</w:t>
      </w:r>
    </w:p>
    <w:p w:rsidR="009169B9" w:rsidRPr="00743C5C" w:rsidRDefault="009169B9" w:rsidP="009169B9">
      <w:pPr>
        <w:spacing w:after="120"/>
        <w:rPr>
          <w:rFonts w:ascii="Tahoma" w:hAnsi="Tahoma" w:cs="Tahoma"/>
          <w:sz w:val="16"/>
          <w:szCs w:val="20"/>
          <w:rtl/>
        </w:rPr>
      </w:pPr>
      <w:r w:rsidRPr="00743C5C">
        <w:rPr>
          <w:rFonts w:ascii="Tahoma" w:hAnsi="Tahoma" w:cs="Tahoma"/>
          <w:sz w:val="16"/>
          <w:szCs w:val="20"/>
          <w:rtl/>
        </w:rPr>
        <w:t xml:space="preserve">על פי נתוני רשות המיסים שהובאו בדוח הקודם, מספר העוסקים שעמדו בדרישות </w:t>
      </w:r>
      <w:proofErr w:type="spellStart"/>
      <w:r w:rsidRPr="00743C5C">
        <w:rPr>
          <w:rFonts w:ascii="Tahoma" w:hAnsi="Tahoma" w:cs="Tahoma"/>
          <w:sz w:val="16"/>
          <w:szCs w:val="20"/>
          <w:rtl/>
        </w:rPr>
        <w:t>להישבון</w:t>
      </w:r>
      <w:proofErr w:type="spellEnd"/>
      <w:r w:rsidRPr="00743C5C">
        <w:rPr>
          <w:rFonts w:ascii="Tahoma" w:hAnsi="Tahoma" w:cs="Tahoma"/>
          <w:sz w:val="16"/>
          <w:szCs w:val="20"/>
          <w:rtl/>
        </w:rPr>
        <w:t xml:space="preserve"> סולר בשנת 2014 היה כ-80,000. עם זאת, נמצא כי רק כ-43,000 עוסקים מתוכם נכללים בהסדר הסולר ומקבלים על פיו </w:t>
      </w:r>
      <w:proofErr w:type="spellStart"/>
      <w:r w:rsidRPr="00743C5C">
        <w:rPr>
          <w:rFonts w:ascii="Tahoma" w:hAnsi="Tahoma" w:cs="Tahoma"/>
          <w:sz w:val="16"/>
          <w:szCs w:val="20"/>
          <w:rtl/>
        </w:rPr>
        <w:t>הישבון</w:t>
      </w:r>
      <w:proofErr w:type="spellEnd"/>
      <w:r w:rsidRPr="00743C5C">
        <w:rPr>
          <w:rFonts w:ascii="Tahoma" w:hAnsi="Tahoma" w:cs="Tahoma"/>
          <w:sz w:val="16"/>
          <w:szCs w:val="20"/>
          <w:rtl/>
        </w:rPr>
        <w:t xml:space="preserve"> סולר. </w:t>
      </w:r>
    </w:p>
    <w:p w:rsidR="009169B9" w:rsidRPr="00743C5C" w:rsidRDefault="009169B9" w:rsidP="008F06DA">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8F06DA">
        <w:rPr>
          <w:rFonts w:ascii="Tahoma" w:hAnsi="Tahoma" w:cs="Tahoma"/>
          <w:b w:val="0"/>
          <w:bCs w:val="0"/>
          <w:sz w:val="16"/>
          <w:szCs w:val="20"/>
          <w:rtl/>
        </w:rPr>
        <w:t xml:space="preserve">במעקב נמצא כי במרץ 2019 נכללו כ-53,000 עוסקים בהסדר </w:t>
      </w:r>
      <w:proofErr w:type="spellStart"/>
      <w:r w:rsidRPr="008F06DA">
        <w:rPr>
          <w:rFonts w:ascii="Tahoma" w:hAnsi="Tahoma" w:cs="Tahoma"/>
          <w:b w:val="0"/>
          <w:bCs w:val="0"/>
          <w:sz w:val="16"/>
          <w:szCs w:val="20"/>
          <w:rtl/>
        </w:rPr>
        <w:t>הישבון</w:t>
      </w:r>
      <w:proofErr w:type="spellEnd"/>
      <w:r w:rsidRPr="008F06DA">
        <w:rPr>
          <w:rFonts w:ascii="Tahoma" w:hAnsi="Tahoma" w:cs="Tahoma"/>
          <w:b w:val="0"/>
          <w:bCs w:val="0"/>
          <w:sz w:val="16"/>
          <w:szCs w:val="20"/>
          <w:rtl/>
        </w:rPr>
        <w:t xml:space="preserve"> הסולר. מכיוון שמדובר בהחזר כספי שיש בו כדי להגדיל את ההכנסות של העוסקים, סביר להניח שהזכאים </w:t>
      </w:r>
      <w:proofErr w:type="spellStart"/>
      <w:r w:rsidRPr="008F06DA">
        <w:rPr>
          <w:rFonts w:ascii="Tahoma" w:hAnsi="Tahoma" w:cs="Tahoma"/>
          <w:b w:val="0"/>
          <w:bCs w:val="0"/>
          <w:sz w:val="16"/>
          <w:szCs w:val="20"/>
          <w:rtl/>
        </w:rPr>
        <w:t>להישבון</w:t>
      </w:r>
      <w:proofErr w:type="spellEnd"/>
      <w:r w:rsidRPr="008F06DA">
        <w:rPr>
          <w:rFonts w:ascii="Tahoma" w:hAnsi="Tahoma" w:cs="Tahoma"/>
          <w:b w:val="0"/>
          <w:bCs w:val="0"/>
          <w:sz w:val="16"/>
          <w:szCs w:val="20"/>
          <w:rtl/>
        </w:rPr>
        <w:t xml:space="preserve"> לא יוותרו על ההכנסה הנוספת ויבקשו לקבל אותו. על כן עולה החשש שהעוסקים הזכאים לקבל החזר כספי ולא מבקשים אותו אינם מעוניינים לחשוף את נתוני העסקאות שלהם.</w:t>
      </w:r>
    </w:p>
    <w:p w:rsidR="009169B9" w:rsidRPr="00743C5C" w:rsidRDefault="009169B9" w:rsidP="009169B9">
      <w:pPr>
        <w:spacing w:after="120"/>
        <w:rPr>
          <w:rFonts w:ascii="Tahoma" w:hAnsi="Tahoma" w:cs="Tahoma"/>
          <w:sz w:val="16"/>
          <w:szCs w:val="20"/>
          <w:rtl/>
        </w:rPr>
      </w:pPr>
      <w:r w:rsidRPr="00743C5C">
        <w:rPr>
          <w:rFonts w:ascii="Tahoma" w:hAnsi="Tahoma" w:cs="Tahoma"/>
          <w:sz w:val="16"/>
          <w:szCs w:val="20"/>
          <w:rtl/>
        </w:rPr>
        <w:t>בהערות ראש הממשלה לדוח הקודם</w:t>
      </w:r>
      <w:r w:rsidRPr="00743C5C">
        <w:rPr>
          <w:rStyle w:val="FootnoteReference"/>
          <w:rFonts w:ascii="Tahoma" w:hAnsi="Tahoma" w:cs="Tahoma"/>
          <w:sz w:val="16"/>
          <w:szCs w:val="20"/>
          <w:rtl/>
        </w:rPr>
        <w:footnoteReference w:id="4"/>
      </w:r>
      <w:r w:rsidRPr="00743C5C">
        <w:rPr>
          <w:rFonts w:ascii="Tahoma" w:hAnsi="Tahoma" w:cs="Tahoma"/>
          <w:sz w:val="16"/>
          <w:szCs w:val="20"/>
          <w:rtl/>
        </w:rPr>
        <w:t xml:space="preserve">, הסבירה רשות המיסים כי "יש להניח שחלק מן העוסקים נמנעים מהגשת בקשה להיכלל בהסדר, על מנת שלא לחשוף את הנתונים הנכונים של צריכת הסולר, ובכך להימנע מביקורת על עסקותיהם... האפשרות לכלול ביקורות </w:t>
      </w:r>
      <w:proofErr w:type="spellStart"/>
      <w:r w:rsidRPr="00743C5C">
        <w:rPr>
          <w:rFonts w:ascii="Tahoma" w:hAnsi="Tahoma" w:cs="Tahoma"/>
          <w:sz w:val="16"/>
          <w:szCs w:val="20"/>
          <w:rtl/>
        </w:rPr>
        <w:t>מע"ם</w:t>
      </w:r>
      <w:proofErr w:type="spellEnd"/>
      <w:r w:rsidRPr="00743C5C">
        <w:rPr>
          <w:rFonts w:ascii="Tahoma" w:hAnsi="Tahoma" w:cs="Tahoma"/>
          <w:sz w:val="16"/>
          <w:szCs w:val="20"/>
          <w:rtl/>
        </w:rPr>
        <w:t xml:space="preserve"> של חלק </w:t>
      </w:r>
      <w:proofErr w:type="spellStart"/>
      <w:r w:rsidRPr="00743C5C">
        <w:rPr>
          <w:rFonts w:ascii="Tahoma" w:hAnsi="Tahoma" w:cs="Tahoma"/>
          <w:sz w:val="16"/>
          <w:szCs w:val="20"/>
          <w:rtl/>
        </w:rPr>
        <w:t>מעוסקים</w:t>
      </w:r>
      <w:proofErr w:type="spellEnd"/>
      <w:r w:rsidRPr="00743C5C">
        <w:rPr>
          <w:rFonts w:ascii="Tahoma" w:hAnsi="Tahoma" w:cs="Tahoma"/>
          <w:sz w:val="16"/>
          <w:szCs w:val="20"/>
          <w:rtl/>
        </w:rPr>
        <w:t xml:space="preserve"> אלה, תיבדק במסגרת ההכנות לתוכנית העבודה לשנת 2016".</w:t>
      </w:r>
    </w:p>
    <w:p w:rsidR="009169B9" w:rsidRPr="008F06DA" w:rsidRDefault="009169B9" w:rsidP="008F06DA">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8F06DA">
        <w:rPr>
          <w:rFonts w:ascii="Tahoma" w:hAnsi="Tahoma" w:cs="Tahoma"/>
          <w:b w:val="0"/>
          <w:bCs w:val="0"/>
          <w:sz w:val="16"/>
          <w:szCs w:val="20"/>
          <w:rtl/>
        </w:rPr>
        <w:t xml:space="preserve">במעקב הועלה כי רשות המיסים הוציאה אוטומטית ממאגר העוסקים הזכאים להיכלל בהסדר הסולר - את אלה שעומדים בדרישות </w:t>
      </w:r>
      <w:proofErr w:type="spellStart"/>
      <w:r w:rsidRPr="008F06DA">
        <w:rPr>
          <w:rFonts w:ascii="Tahoma" w:hAnsi="Tahoma" w:cs="Tahoma"/>
          <w:b w:val="0"/>
          <w:bCs w:val="0"/>
          <w:sz w:val="16"/>
          <w:szCs w:val="20"/>
          <w:rtl/>
        </w:rPr>
        <w:t>להישבון</w:t>
      </w:r>
      <w:proofErr w:type="spellEnd"/>
      <w:r w:rsidRPr="008F06DA">
        <w:rPr>
          <w:rFonts w:ascii="Tahoma" w:hAnsi="Tahoma" w:cs="Tahoma"/>
          <w:b w:val="0"/>
          <w:bCs w:val="0"/>
          <w:sz w:val="16"/>
          <w:szCs w:val="20"/>
          <w:rtl/>
        </w:rPr>
        <w:t xml:space="preserve"> בלו על סולר אך נמנעים מהגשת בקשה לקבלתו. משום כך אי אפשר לעקוב אחר עוסקים שזכאים </w:t>
      </w:r>
      <w:proofErr w:type="spellStart"/>
      <w:r w:rsidRPr="008F06DA">
        <w:rPr>
          <w:rFonts w:ascii="Tahoma" w:hAnsi="Tahoma" w:cs="Tahoma"/>
          <w:b w:val="0"/>
          <w:bCs w:val="0"/>
          <w:sz w:val="16"/>
          <w:szCs w:val="20"/>
          <w:rtl/>
        </w:rPr>
        <w:t>להישבון</w:t>
      </w:r>
      <w:proofErr w:type="spellEnd"/>
      <w:r w:rsidRPr="008F06DA">
        <w:rPr>
          <w:rFonts w:ascii="Tahoma" w:hAnsi="Tahoma" w:cs="Tahoma"/>
          <w:b w:val="0"/>
          <w:bCs w:val="0"/>
          <w:sz w:val="16"/>
          <w:szCs w:val="20"/>
          <w:rtl/>
        </w:rPr>
        <w:t xml:space="preserve"> בגין הסדר הסולר אך בוחרים שלא להגיש בקשה לקבלו. כמו כן אי אפשר </w:t>
      </w:r>
      <w:proofErr w:type="spellStart"/>
      <w:r w:rsidRPr="008F06DA">
        <w:rPr>
          <w:rFonts w:ascii="Tahoma" w:hAnsi="Tahoma" w:cs="Tahoma"/>
          <w:b w:val="0"/>
          <w:bCs w:val="0"/>
          <w:sz w:val="16"/>
          <w:szCs w:val="20"/>
          <w:rtl/>
        </w:rPr>
        <w:t>להכלילם</w:t>
      </w:r>
      <w:proofErr w:type="spellEnd"/>
      <w:r w:rsidRPr="008F06DA">
        <w:rPr>
          <w:rFonts w:ascii="Tahoma" w:hAnsi="Tahoma" w:cs="Tahoma"/>
          <w:b w:val="0"/>
          <w:bCs w:val="0"/>
          <w:sz w:val="16"/>
          <w:szCs w:val="20"/>
          <w:rtl/>
        </w:rPr>
        <w:t xml:space="preserve"> בצורה מסודרת, על פי תבחינים, בתוכנית העבודה במטרה לערוך אצלם ביקורת חשבונות. </w:t>
      </w:r>
    </w:p>
    <w:p w:rsidR="009169B9" w:rsidRPr="00743C5C" w:rsidRDefault="009169B9" w:rsidP="009169B9">
      <w:pPr>
        <w:spacing w:after="120"/>
        <w:rPr>
          <w:rFonts w:ascii="Tahoma" w:hAnsi="Tahoma" w:cs="Tahoma"/>
          <w:sz w:val="16"/>
          <w:szCs w:val="20"/>
          <w:rtl/>
        </w:rPr>
      </w:pPr>
      <w:r w:rsidRPr="00743C5C">
        <w:rPr>
          <w:rFonts w:ascii="Tahoma" w:hAnsi="Tahoma" w:cs="Tahoma"/>
          <w:sz w:val="16"/>
          <w:szCs w:val="20"/>
          <w:rtl/>
        </w:rPr>
        <w:lastRenderedPageBreak/>
        <w:t xml:space="preserve">בתשובה שמסרה רשות המיסים ב-24.6.19 למשרד מבקר המדינה (להלן - תשובת רשות המיסים) צוין כי "ביקורת ואכיפה מבוצעות במקום בו נדרש </w:t>
      </w:r>
      <w:proofErr w:type="spellStart"/>
      <w:r w:rsidRPr="00743C5C">
        <w:rPr>
          <w:rFonts w:ascii="Tahoma" w:hAnsi="Tahoma" w:cs="Tahoma"/>
          <w:sz w:val="16"/>
          <w:szCs w:val="20"/>
          <w:rtl/>
        </w:rPr>
        <w:t>הישבון</w:t>
      </w:r>
      <w:proofErr w:type="spellEnd"/>
      <w:r w:rsidRPr="00743C5C">
        <w:rPr>
          <w:rFonts w:ascii="Tahoma" w:hAnsi="Tahoma" w:cs="Tahoma"/>
          <w:sz w:val="16"/>
          <w:szCs w:val="20"/>
          <w:rtl/>
        </w:rPr>
        <w:t xml:space="preserve"> של בלו.... במצב בו לא ניתן לבקר 100% מהמקרים לא ברורה עצם הדרישה/ציפייה להקצות משאבים לנושא".</w:t>
      </w:r>
    </w:p>
    <w:p w:rsidR="009169B9" w:rsidRPr="00743C5C" w:rsidRDefault="009169B9" w:rsidP="008F06DA">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Pr>
      </w:pPr>
      <w:r w:rsidRPr="008F06DA">
        <w:rPr>
          <w:rFonts w:ascii="Tahoma" w:hAnsi="Tahoma" w:cs="Tahoma"/>
          <w:b w:val="0"/>
          <w:bCs w:val="0"/>
          <w:sz w:val="16"/>
          <w:szCs w:val="20"/>
          <w:rtl/>
        </w:rPr>
        <w:t xml:space="preserve">אי-ניצול ההטבה יכול להעלות חשש להעלמת מיסים. מן הראוי כי בעת בחינת הכללת עוסקים בתוכנית העבודה בביקורת חשבונות יובא בחשבון אי-ניצול ההטבה </w:t>
      </w:r>
      <w:proofErr w:type="spellStart"/>
      <w:r w:rsidRPr="008F06DA">
        <w:rPr>
          <w:rFonts w:ascii="Tahoma" w:hAnsi="Tahoma" w:cs="Tahoma"/>
          <w:b w:val="0"/>
          <w:bCs w:val="0"/>
          <w:sz w:val="16"/>
          <w:szCs w:val="20"/>
          <w:rtl/>
        </w:rPr>
        <w:t>להישבון</w:t>
      </w:r>
      <w:proofErr w:type="spellEnd"/>
      <w:r w:rsidRPr="008F06DA">
        <w:rPr>
          <w:rFonts w:ascii="Tahoma" w:hAnsi="Tahoma" w:cs="Tahoma"/>
          <w:b w:val="0"/>
          <w:bCs w:val="0"/>
          <w:sz w:val="16"/>
          <w:szCs w:val="20"/>
          <w:rtl/>
        </w:rPr>
        <w:t xml:space="preserve"> סולר על ידי עוסקים הזכאים לה.</w:t>
      </w:r>
    </w:p>
    <w:p w:rsidR="009169B9" w:rsidRPr="00530118" w:rsidRDefault="009169B9" w:rsidP="00530118">
      <w:pPr>
        <w:pStyle w:val="31"/>
        <w:rPr>
          <w:rtl/>
        </w:rPr>
      </w:pPr>
      <w:r w:rsidRPr="00530118">
        <w:rPr>
          <w:rtl/>
        </w:rPr>
        <w:t xml:space="preserve">ניצול לרעה של התנאים שנקבעו </w:t>
      </w:r>
      <w:proofErr w:type="spellStart"/>
      <w:r w:rsidRPr="00530118">
        <w:rPr>
          <w:rtl/>
        </w:rPr>
        <w:t>להישבון</w:t>
      </w:r>
      <w:proofErr w:type="spellEnd"/>
      <w:r w:rsidRPr="00530118">
        <w:rPr>
          <w:rtl/>
        </w:rPr>
        <w:t xml:space="preserve"> סולר </w:t>
      </w:r>
    </w:p>
    <w:p w:rsidR="009169B9" w:rsidRPr="00743C5C" w:rsidRDefault="009169B9" w:rsidP="009169B9">
      <w:pPr>
        <w:spacing w:after="120"/>
        <w:rPr>
          <w:rFonts w:ascii="Tahoma" w:hAnsi="Tahoma" w:cs="Tahoma"/>
          <w:sz w:val="16"/>
          <w:szCs w:val="20"/>
          <w:rtl/>
        </w:rPr>
      </w:pPr>
      <w:r w:rsidRPr="00743C5C">
        <w:rPr>
          <w:rFonts w:ascii="Tahoma" w:hAnsi="Tahoma" w:cs="Tahoma"/>
          <w:sz w:val="16"/>
          <w:szCs w:val="20"/>
          <w:rtl/>
        </w:rPr>
        <w:t xml:space="preserve">בדוח הקודם נמצא כי יחידת הסולר בודקת, באופן ממוחשב, אם עוסק זכאי </w:t>
      </w:r>
      <w:proofErr w:type="spellStart"/>
      <w:r w:rsidRPr="00743C5C">
        <w:rPr>
          <w:rFonts w:ascii="Tahoma" w:hAnsi="Tahoma" w:cs="Tahoma"/>
          <w:sz w:val="16"/>
          <w:szCs w:val="20"/>
          <w:rtl/>
        </w:rPr>
        <w:t>להישבון</w:t>
      </w:r>
      <w:proofErr w:type="spellEnd"/>
      <w:r w:rsidRPr="00743C5C">
        <w:rPr>
          <w:rFonts w:ascii="Tahoma" w:hAnsi="Tahoma" w:cs="Tahoma"/>
          <w:sz w:val="16"/>
          <w:szCs w:val="20"/>
          <w:rtl/>
        </w:rPr>
        <w:t xml:space="preserve"> הסולר, דהיינו אם צריכת הסולר שעליה דיווח העוסק לא חרגה מתקרת הצריכה שמזכה בהחזר, אם יש ברשות העוסק רישיון רכב תקף ואם שילם את האגרה השנתית על כלי הרכב. </w:t>
      </w:r>
    </w:p>
    <w:p w:rsidR="009169B9" w:rsidRPr="00743C5C" w:rsidRDefault="009169B9" w:rsidP="009169B9">
      <w:pPr>
        <w:spacing w:after="120"/>
        <w:rPr>
          <w:rFonts w:ascii="Tahoma" w:hAnsi="Tahoma" w:cs="Tahoma"/>
          <w:sz w:val="16"/>
          <w:szCs w:val="20"/>
          <w:rtl/>
        </w:rPr>
      </w:pPr>
      <w:r w:rsidRPr="00743C5C">
        <w:rPr>
          <w:rFonts w:ascii="Tahoma" w:hAnsi="Tahoma" w:cs="Tahoma"/>
          <w:sz w:val="16"/>
          <w:szCs w:val="20"/>
          <w:rtl/>
        </w:rPr>
        <w:t xml:space="preserve">על פי הנוהל של רשות המיסים, יחידת הסולר אמורה לבצע את </w:t>
      </w:r>
      <w:proofErr w:type="spellStart"/>
      <w:r w:rsidRPr="00743C5C">
        <w:rPr>
          <w:rFonts w:ascii="Tahoma" w:hAnsi="Tahoma" w:cs="Tahoma"/>
          <w:sz w:val="16"/>
          <w:szCs w:val="20"/>
          <w:rtl/>
        </w:rPr>
        <w:t>ההישבון</w:t>
      </w:r>
      <w:proofErr w:type="spellEnd"/>
      <w:r w:rsidRPr="00743C5C">
        <w:rPr>
          <w:rFonts w:ascii="Tahoma" w:hAnsi="Tahoma" w:cs="Tahoma"/>
          <w:sz w:val="16"/>
          <w:szCs w:val="20"/>
          <w:rtl/>
        </w:rPr>
        <w:t xml:space="preserve"> על פי דיווחי העוסק. משרדי </w:t>
      </w:r>
      <w:proofErr w:type="spellStart"/>
      <w:r w:rsidRPr="00743C5C">
        <w:rPr>
          <w:rFonts w:ascii="Tahoma" w:hAnsi="Tahoma" w:cs="Tahoma"/>
          <w:sz w:val="16"/>
          <w:szCs w:val="20"/>
          <w:rtl/>
        </w:rPr>
        <w:t>מע"ם</w:t>
      </w:r>
      <w:proofErr w:type="spellEnd"/>
      <w:r w:rsidRPr="00743C5C">
        <w:rPr>
          <w:rFonts w:ascii="Tahoma" w:hAnsi="Tahoma" w:cs="Tahoma"/>
          <w:sz w:val="16"/>
          <w:szCs w:val="20"/>
          <w:rtl/>
        </w:rPr>
        <w:t xml:space="preserve"> האזוריים הופקדו על ביצוע הביקורות לאימות הדיווחים של העוסקים המבקשים </w:t>
      </w:r>
      <w:proofErr w:type="spellStart"/>
      <w:r w:rsidRPr="00743C5C">
        <w:rPr>
          <w:rFonts w:ascii="Tahoma" w:hAnsi="Tahoma" w:cs="Tahoma"/>
          <w:sz w:val="16"/>
          <w:szCs w:val="20"/>
          <w:rtl/>
        </w:rPr>
        <w:t>הישבון</w:t>
      </w:r>
      <w:proofErr w:type="spellEnd"/>
      <w:r w:rsidRPr="00743C5C">
        <w:rPr>
          <w:rFonts w:ascii="Tahoma" w:hAnsi="Tahoma" w:cs="Tahoma"/>
          <w:sz w:val="16"/>
          <w:szCs w:val="20"/>
          <w:rtl/>
        </w:rPr>
        <w:t xml:space="preserve">, על פי </w:t>
      </w:r>
      <w:proofErr w:type="spellStart"/>
      <w:r w:rsidRPr="00743C5C">
        <w:rPr>
          <w:rFonts w:ascii="Tahoma" w:hAnsi="Tahoma" w:cs="Tahoma"/>
          <w:sz w:val="16"/>
          <w:szCs w:val="20"/>
          <w:rtl/>
        </w:rPr>
        <w:t>תוכניות</w:t>
      </w:r>
      <w:proofErr w:type="spellEnd"/>
      <w:r w:rsidRPr="00743C5C">
        <w:rPr>
          <w:rFonts w:ascii="Tahoma" w:hAnsi="Tahoma" w:cs="Tahoma"/>
          <w:sz w:val="16"/>
          <w:szCs w:val="20"/>
          <w:rtl/>
        </w:rPr>
        <w:t xml:space="preserve"> העבודה השנתיות לביצוע ביקורת חשבונות. </w:t>
      </w:r>
    </w:p>
    <w:p w:rsidR="009169B9" w:rsidRPr="00743C5C" w:rsidRDefault="009169B9" w:rsidP="008F06DA">
      <w:pPr>
        <w:pStyle w:val="ListParagraph"/>
        <w:numPr>
          <w:ilvl w:val="0"/>
          <w:numId w:val="10"/>
        </w:numPr>
        <w:spacing w:after="120"/>
        <w:ind w:left="397" w:hanging="397"/>
        <w:contextualSpacing w:val="0"/>
        <w:rPr>
          <w:rFonts w:ascii="Tahoma" w:hAnsi="Tahoma" w:cs="Tahoma"/>
          <w:sz w:val="16"/>
          <w:szCs w:val="20"/>
        </w:rPr>
      </w:pPr>
      <w:proofErr w:type="spellStart"/>
      <w:r w:rsidRPr="00743C5C">
        <w:rPr>
          <w:rFonts w:ascii="Tahoma" w:hAnsi="Tahoma" w:cs="Tahoma"/>
          <w:sz w:val="16"/>
          <w:szCs w:val="20"/>
          <w:rtl/>
        </w:rPr>
        <w:t>הישבון</w:t>
      </w:r>
      <w:proofErr w:type="spellEnd"/>
      <w:r w:rsidRPr="00743C5C">
        <w:rPr>
          <w:rFonts w:ascii="Tahoma" w:hAnsi="Tahoma" w:cs="Tahoma"/>
          <w:sz w:val="16"/>
          <w:szCs w:val="20"/>
          <w:rtl/>
        </w:rPr>
        <w:t xml:space="preserve"> הסולר נקבע על פי ההוצאה השנתית הממוצעת בענף הכלכלי של העוסק. היחידה הכלכלית ברשות המיסים מפרסמת תדריכים כלכליים ענפיים. תדריכים אלה נועדו לסייע למבקרי החשבונות של </w:t>
      </w:r>
      <w:proofErr w:type="spellStart"/>
      <w:r w:rsidRPr="00743C5C">
        <w:rPr>
          <w:rFonts w:ascii="Tahoma" w:hAnsi="Tahoma" w:cs="Tahoma"/>
          <w:sz w:val="16"/>
          <w:szCs w:val="20"/>
          <w:rtl/>
        </w:rPr>
        <w:t>מע"ם</w:t>
      </w:r>
      <w:proofErr w:type="spellEnd"/>
      <w:r w:rsidRPr="00743C5C">
        <w:rPr>
          <w:rFonts w:ascii="Tahoma" w:hAnsi="Tahoma" w:cs="Tahoma"/>
          <w:sz w:val="16"/>
          <w:szCs w:val="20"/>
          <w:rtl/>
        </w:rPr>
        <w:t xml:space="preserve"> ולמפקחי המס של מס הכנסה לבדוק את סבירות התוצאה העסקית שעולה מהדוחות שהגישו העוסקים. בתדריכים מנתחת היחידה הכלכלית את מרכיבי ההכנסות וההוצאות של העוסקים בענף כלכלי מסוים, ומפרטת כיצד נקבעות ההוצאות וההכנסות הגולמיות והנקיות בכל ענף. בענף ההובלות מפרטים התדריכים גם את השיעור הממוצע על כל הוצאה מסך ההכנסה של העוסק. על פי תדריכים אלה, שיעור ההוצאה על סולר בענף ההובלות משתנה על פי סוג כלי הרכב: החל מ-20% מסך ההכנסה המתקבלת מאוטובוס זעיר ועד ל-38% מסך ההכנסה המתקבלת ממשאית במשקל של 48 טונות ומעלה. מאחר שבכל ענף כלכלי יש עוסקים רבים בעלי מחזור כספי שונה, נדרש כי </w:t>
      </w:r>
      <w:proofErr w:type="spellStart"/>
      <w:r w:rsidRPr="00743C5C">
        <w:rPr>
          <w:rFonts w:ascii="Tahoma" w:hAnsi="Tahoma" w:cs="Tahoma"/>
          <w:sz w:val="16"/>
          <w:szCs w:val="20"/>
          <w:rtl/>
        </w:rPr>
        <w:t>ההישבון</w:t>
      </w:r>
      <w:proofErr w:type="spellEnd"/>
      <w:r w:rsidRPr="00743C5C">
        <w:rPr>
          <w:rFonts w:ascii="Tahoma" w:hAnsi="Tahoma" w:cs="Tahoma"/>
          <w:sz w:val="16"/>
          <w:szCs w:val="20"/>
          <w:rtl/>
        </w:rPr>
        <w:t xml:space="preserve"> יתבסס על פי כלי מדידה טכנולוגי של הצריכה, כדוגמת </w:t>
      </w:r>
      <w:proofErr w:type="spellStart"/>
      <w:r w:rsidRPr="00743C5C">
        <w:rPr>
          <w:rFonts w:ascii="Tahoma" w:hAnsi="Tahoma" w:cs="Tahoma"/>
          <w:sz w:val="16"/>
          <w:szCs w:val="20"/>
          <w:rtl/>
        </w:rPr>
        <w:t>דלקן</w:t>
      </w:r>
      <w:proofErr w:type="spellEnd"/>
      <w:r w:rsidRPr="00743C5C">
        <w:rPr>
          <w:rFonts w:ascii="Tahoma" w:hAnsi="Tahoma" w:cs="Tahoma"/>
          <w:sz w:val="16"/>
          <w:szCs w:val="20"/>
          <w:rtl/>
        </w:rPr>
        <w:t>.</w:t>
      </w:r>
    </w:p>
    <w:p w:rsidR="009169B9" w:rsidRPr="00743C5C" w:rsidRDefault="009169B9" w:rsidP="00B406BE">
      <w:pPr>
        <w:spacing w:after="120"/>
        <w:ind w:left="397"/>
        <w:rPr>
          <w:rFonts w:ascii="Tahoma" w:hAnsi="Tahoma" w:cs="Tahoma"/>
          <w:sz w:val="16"/>
          <w:szCs w:val="20"/>
          <w:rtl/>
        </w:rPr>
      </w:pPr>
      <w:r w:rsidRPr="00743C5C">
        <w:rPr>
          <w:rFonts w:ascii="Tahoma" w:hAnsi="Tahoma" w:cs="Tahoma"/>
          <w:sz w:val="16"/>
          <w:szCs w:val="20"/>
          <w:rtl/>
        </w:rPr>
        <w:t xml:space="preserve">בדוח הקודם נמצא כי אין לרשות המיסים כלים נאותים לבדיקת דיווחים אלה (ראו להלן). על כן קיים חשש שעוסקים ינצלו לרעה את התנאים שנקבעו במסגרת הסדר הסולר לקבלת </w:t>
      </w:r>
      <w:proofErr w:type="spellStart"/>
      <w:r w:rsidRPr="00743C5C">
        <w:rPr>
          <w:rFonts w:ascii="Tahoma" w:hAnsi="Tahoma" w:cs="Tahoma"/>
          <w:sz w:val="16"/>
          <w:szCs w:val="20"/>
          <w:rtl/>
        </w:rPr>
        <w:t>הישבון</w:t>
      </w:r>
      <w:proofErr w:type="spellEnd"/>
      <w:r w:rsidRPr="00743C5C">
        <w:rPr>
          <w:rFonts w:ascii="Tahoma" w:hAnsi="Tahoma" w:cs="Tahoma"/>
          <w:sz w:val="16"/>
          <w:szCs w:val="20"/>
          <w:rtl/>
        </w:rPr>
        <w:t xml:space="preserve">, גם על תשלומי סולר שהם אינם זכאים בגינם </w:t>
      </w:r>
      <w:proofErr w:type="spellStart"/>
      <w:r w:rsidRPr="00743C5C">
        <w:rPr>
          <w:rFonts w:ascii="Tahoma" w:hAnsi="Tahoma" w:cs="Tahoma"/>
          <w:sz w:val="16"/>
          <w:szCs w:val="20"/>
          <w:rtl/>
        </w:rPr>
        <w:t>להישבון</w:t>
      </w:r>
      <w:proofErr w:type="spellEnd"/>
      <w:r w:rsidRPr="00743C5C">
        <w:rPr>
          <w:rFonts w:ascii="Tahoma" w:hAnsi="Tahoma" w:cs="Tahoma"/>
          <w:sz w:val="16"/>
          <w:szCs w:val="20"/>
          <w:rtl/>
        </w:rPr>
        <w:t xml:space="preserve">. </w:t>
      </w:r>
    </w:p>
    <w:p w:rsidR="009169B9" w:rsidRPr="00743C5C" w:rsidRDefault="009169B9" w:rsidP="008F06DA">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624" w:right="284"/>
        <w:rPr>
          <w:rFonts w:ascii="Tahoma" w:hAnsi="Tahoma" w:cs="Tahoma"/>
          <w:b w:val="0"/>
          <w:bCs w:val="0"/>
          <w:sz w:val="16"/>
          <w:szCs w:val="20"/>
          <w:rtl/>
        </w:rPr>
      </w:pPr>
      <w:r w:rsidRPr="008F06DA">
        <w:rPr>
          <w:rFonts w:ascii="Tahoma" w:hAnsi="Tahoma" w:cs="Tahoma"/>
          <w:b w:val="0"/>
          <w:bCs w:val="0"/>
          <w:sz w:val="16"/>
          <w:szCs w:val="20"/>
          <w:rtl/>
        </w:rPr>
        <w:t xml:space="preserve">המעקב העלה כי לא חל כל שינוי במצב וכי הליקוי לא תוקן. כך עדיין אין בידי רשות המיסים כלים המאפשרים לבדוק בצורה נאותה את הדיווחים של העוסקים בדבר הדרישה לקבל </w:t>
      </w:r>
      <w:proofErr w:type="spellStart"/>
      <w:r w:rsidRPr="008F06DA">
        <w:rPr>
          <w:rFonts w:ascii="Tahoma" w:hAnsi="Tahoma" w:cs="Tahoma"/>
          <w:b w:val="0"/>
          <w:bCs w:val="0"/>
          <w:sz w:val="16"/>
          <w:szCs w:val="20"/>
          <w:rtl/>
        </w:rPr>
        <w:t>הישבון</w:t>
      </w:r>
      <w:proofErr w:type="spellEnd"/>
      <w:r w:rsidRPr="008F06DA">
        <w:rPr>
          <w:rFonts w:ascii="Tahoma" w:hAnsi="Tahoma" w:cs="Tahoma"/>
          <w:b w:val="0"/>
          <w:bCs w:val="0"/>
          <w:sz w:val="16"/>
          <w:szCs w:val="20"/>
          <w:rtl/>
        </w:rPr>
        <w:t xml:space="preserve"> סולר.</w:t>
      </w:r>
    </w:p>
    <w:p w:rsidR="009169B9" w:rsidRPr="00743C5C" w:rsidRDefault="009169B9" w:rsidP="008F06DA">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624" w:right="284"/>
        <w:rPr>
          <w:rFonts w:ascii="Tahoma" w:hAnsi="Tahoma" w:cs="Tahoma"/>
          <w:b w:val="0"/>
          <w:bCs w:val="0"/>
          <w:sz w:val="16"/>
          <w:szCs w:val="20"/>
          <w:rtl/>
        </w:rPr>
      </w:pPr>
      <w:r w:rsidRPr="008F06DA">
        <w:rPr>
          <w:rFonts w:ascii="Tahoma" w:hAnsi="Tahoma" w:cs="Tahoma"/>
          <w:b w:val="0"/>
          <w:bCs w:val="0"/>
          <w:sz w:val="16"/>
          <w:szCs w:val="20"/>
          <w:rtl/>
        </w:rPr>
        <w:lastRenderedPageBreak/>
        <w:t xml:space="preserve">משרד מבקר המדינה ממליץ לרשות המיסים לשקול לחייב את העוסקים שמבקשים </w:t>
      </w:r>
      <w:proofErr w:type="spellStart"/>
      <w:r w:rsidRPr="008F06DA">
        <w:rPr>
          <w:rFonts w:ascii="Tahoma" w:hAnsi="Tahoma" w:cs="Tahoma"/>
          <w:b w:val="0"/>
          <w:bCs w:val="0"/>
          <w:sz w:val="16"/>
          <w:szCs w:val="20"/>
          <w:rtl/>
        </w:rPr>
        <w:t>הישבון</w:t>
      </w:r>
      <w:proofErr w:type="spellEnd"/>
      <w:r w:rsidRPr="008F06DA">
        <w:rPr>
          <w:rFonts w:ascii="Tahoma" w:hAnsi="Tahoma" w:cs="Tahoma"/>
          <w:b w:val="0"/>
          <w:bCs w:val="0"/>
          <w:sz w:val="16"/>
          <w:szCs w:val="20"/>
          <w:rtl/>
        </w:rPr>
        <w:t xml:space="preserve"> במסגרת הסדר הסולר להתקין כלי מדידה טכנולוגי שיאפשר מדידה מדויקת של צריכת הסולר. כמו כן עליה לבצע ביקורת חשבונות במקרים חריגים ובלתי סבירים (בעניין זה ראו גם בהמשך), כדי להרתיע עוסקים מלדווח דיווחים כוזבים.</w:t>
      </w:r>
    </w:p>
    <w:p w:rsidR="009169B9" w:rsidRPr="00743C5C" w:rsidRDefault="009169B9" w:rsidP="00B406BE">
      <w:pPr>
        <w:pStyle w:val="ListParagraph"/>
        <w:numPr>
          <w:ilvl w:val="0"/>
          <w:numId w:val="10"/>
        </w:numPr>
        <w:spacing w:after="120"/>
        <w:ind w:left="397"/>
        <w:contextualSpacing w:val="0"/>
        <w:rPr>
          <w:rFonts w:ascii="Tahoma" w:hAnsi="Tahoma" w:cs="Tahoma"/>
          <w:sz w:val="16"/>
          <w:szCs w:val="20"/>
        </w:rPr>
      </w:pPr>
      <w:r w:rsidRPr="00743C5C">
        <w:rPr>
          <w:rFonts w:ascii="Tahoma" w:hAnsi="Tahoma" w:cs="Tahoma"/>
          <w:sz w:val="16"/>
          <w:szCs w:val="20"/>
          <w:rtl/>
        </w:rPr>
        <w:t xml:space="preserve">הדוח הקודם העלה כי ייתכן מצב שבו עוסק יכלול בדרישת </w:t>
      </w:r>
      <w:proofErr w:type="spellStart"/>
      <w:r w:rsidRPr="00743C5C">
        <w:rPr>
          <w:rFonts w:ascii="Tahoma" w:hAnsi="Tahoma" w:cs="Tahoma"/>
          <w:sz w:val="16"/>
          <w:szCs w:val="20"/>
          <w:rtl/>
        </w:rPr>
        <w:t>הישבון</w:t>
      </w:r>
      <w:proofErr w:type="spellEnd"/>
      <w:r w:rsidRPr="00743C5C">
        <w:rPr>
          <w:rFonts w:ascii="Tahoma" w:hAnsi="Tahoma" w:cs="Tahoma"/>
          <w:sz w:val="16"/>
          <w:szCs w:val="20"/>
          <w:rtl/>
        </w:rPr>
        <w:t xml:space="preserve"> הסולר החזר גם על תקופה שבה לא היה ברשותו רישיון רכב בתוקף. </w:t>
      </w:r>
    </w:p>
    <w:p w:rsidR="009169B9" w:rsidRPr="00743C5C" w:rsidRDefault="009169B9" w:rsidP="008F06DA">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624" w:right="284"/>
        <w:rPr>
          <w:rFonts w:ascii="Tahoma" w:hAnsi="Tahoma" w:cs="Tahoma"/>
          <w:b w:val="0"/>
          <w:bCs w:val="0"/>
          <w:sz w:val="16"/>
          <w:szCs w:val="20"/>
        </w:rPr>
      </w:pPr>
      <w:r w:rsidRPr="008F06DA">
        <w:rPr>
          <w:rFonts w:ascii="Tahoma" w:hAnsi="Tahoma" w:cs="Tahoma"/>
          <w:b w:val="0"/>
          <w:bCs w:val="0"/>
          <w:sz w:val="16"/>
          <w:szCs w:val="20"/>
          <w:rtl/>
        </w:rPr>
        <w:t xml:space="preserve">ביקורת המעקב העלתה כי ליקוי זה תוקן. יש לראות בחיוב את תיקון הליקוי כך שכיום יש בקרה ובדיקה אם לרכב או לעוסק היה רישיון בתוקף בתקופה שבגינה נדרש החזר </w:t>
      </w:r>
      <w:proofErr w:type="spellStart"/>
      <w:r w:rsidRPr="008F06DA">
        <w:rPr>
          <w:rFonts w:ascii="Tahoma" w:hAnsi="Tahoma" w:cs="Tahoma"/>
          <w:b w:val="0"/>
          <w:bCs w:val="0"/>
          <w:sz w:val="16"/>
          <w:szCs w:val="20"/>
          <w:rtl/>
        </w:rPr>
        <w:t>ההישבון</w:t>
      </w:r>
      <w:proofErr w:type="spellEnd"/>
      <w:r w:rsidRPr="008F06DA">
        <w:rPr>
          <w:rFonts w:ascii="Tahoma" w:hAnsi="Tahoma" w:cs="Tahoma"/>
          <w:b w:val="0"/>
          <w:bCs w:val="0"/>
          <w:sz w:val="16"/>
          <w:szCs w:val="20"/>
          <w:rtl/>
        </w:rPr>
        <w:t xml:space="preserve"> על סולר.</w:t>
      </w:r>
    </w:p>
    <w:p w:rsidR="009169B9" w:rsidRPr="00530118" w:rsidRDefault="009169B9" w:rsidP="00530118">
      <w:pPr>
        <w:pStyle w:val="31"/>
        <w:rPr>
          <w:rtl/>
        </w:rPr>
      </w:pPr>
      <w:r w:rsidRPr="00530118">
        <w:rPr>
          <w:rtl/>
        </w:rPr>
        <w:t>היעדר בקרה על תדלוק של סולר באמצעות צוברים</w:t>
      </w:r>
    </w:p>
    <w:p w:rsidR="009169B9" w:rsidRPr="00743C5C" w:rsidRDefault="009169B9" w:rsidP="009169B9">
      <w:pPr>
        <w:spacing w:after="120"/>
        <w:jc w:val="center"/>
        <w:rPr>
          <w:rFonts w:ascii="Tahoma" w:hAnsi="Tahoma" w:cs="Tahoma"/>
          <w:sz w:val="16"/>
          <w:szCs w:val="20"/>
          <w:rtl/>
        </w:rPr>
      </w:pPr>
      <w:r w:rsidRPr="00743C5C">
        <w:rPr>
          <w:rFonts w:ascii="Tahoma" w:hAnsi="Tahoma" w:cs="Tahoma"/>
          <w:noProof/>
          <w:sz w:val="16"/>
          <w:szCs w:val="20"/>
          <w:rtl/>
        </w:rPr>
        <w:drawing>
          <wp:inline distT="0" distB="0" distL="0" distR="0" wp14:anchorId="42E8633F" wp14:editId="683434D6">
            <wp:extent cx="2468112" cy="1644871"/>
            <wp:effectExtent l="0" t="0" r="8890" b="0"/>
            <wp:docPr id="5" name="תמונה 3" descr="תמונת אווי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38820" name="Picture 2" descr="H:\גיבוי\ביקורת\מטלות מעקב\הסדר הסולר\shutterstock_30987406.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472754" cy="1647965"/>
                    </a:xfrm>
                    <a:prstGeom prst="rect">
                      <a:avLst/>
                    </a:prstGeom>
                    <a:noFill/>
                    <a:ln>
                      <a:noFill/>
                    </a:ln>
                  </pic:spPr>
                </pic:pic>
              </a:graphicData>
            </a:graphic>
          </wp:inline>
        </w:drawing>
      </w:r>
    </w:p>
    <w:p w:rsidR="009169B9" w:rsidRPr="00743C5C" w:rsidRDefault="009169B9" w:rsidP="009169B9">
      <w:pPr>
        <w:spacing w:after="120"/>
        <w:rPr>
          <w:rFonts w:ascii="Tahoma" w:hAnsi="Tahoma" w:cs="Tahoma"/>
          <w:sz w:val="16"/>
          <w:szCs w:val="20"/>
          <w:rtl/>
        </w:rPr>
      </w:pPr>
      <w:r w:rsidRPr="00743C5C">
        <w:rPr>
          <w:rFonts w:ascii="Tahoma" w:hAnsi="Tahoma" w:cs="Tahoma"/>
          <w:sz w:val="16"/>
          <w:szCs w:val="20"/>
          <w:rtl/>
        </w:rPr>
        <w:t xml:space="preserve">הוראות הנוהל של רשות המיסים בנוגע לדרישת </w:t>
      </w:r>
      <w:proofErr w:type="spellStart"/>
      <w:r w:rsidRPr="00743C5C">
        <w:rPr>
          <w:rFonts w:ascii="Tahoma" w:hAnsi="Tahoma" w:cs="Tahoma"/>
          <w:sz w:val="16"/>
          <w:szCs w:val="20"/>
          <w:rtl/>
        </w:rPr>
        <w:t>הישבון</w:t>
      </w:r>
      <w:proofErr w:type="spellEnd"/>
      <w:r w:rsidRPr="00743C5C">
        <w:rPr>
          <w:rFonts w:ascii="Tahoma" w:hAnsi="Tahoma" w:cs="Tahoma"/>
          <w:sz w:val="16"/>
          <w:szCs w:val="20"/>
          <w:rtl/>
        </w:rPr>
        <w:t xml:space="preserve"> בגין הסדר הסולר קובעות כי </w:t>
      </w:r>
      <w:proofErr w:type="spellStart"/>
      <w:r w:rsidRPr="00743C5C">
        <w:rPr>
          <w:rFonts w:ascii="Tahoma" w:hAnsi="Tahoma" w:cs="Tahoma"/>
          <w:sz w:val="16"/>
          <w:szCs w:val="20"/>
          <w:rtl/>
        </w:rPr>
        <w:t>הישבון</w:t>
      </w:r>
      <w:proofErr w:type="spellEnd"/>
      <w:r w:rsidRPr="00743C5C">
        <w:rPr>
          <w:rFonts w:ascii="Tahoma" w:hAnsi="Tahoma" w:cs="Tahoma"/>
          <w:sz w:val="16"/>
          <w:szCs w:val="20"/>
          <w:rtl/>
        </w:rPr>
        <w:t xml:space="preserve"> בגין הסדר הסולר ישולם רק כנגד חשבוניות ממוחשבות שהוצאו כנגד כל תדלוק בנפרד. עוסקים שיש להם כמה כלי רכב או קבלנים שמחזיקים ברשותם משאיות וציוד מכני כבד, רוכשים סולר לצוברים. צוברים אלה נמצאים בחצרות של בתי העסק שלהם או באתרי עבודה, לצורך תדלוק כלי הרכב והציוד. בצוברים אין כלי למדידת כמות הסולר שבה תודלק כל כלי רכב או כלי עבודה. מצב זה מאפשר לעוסק לרשום את כמות הסולר עבור כל כלי רכב או כלי עבודה לפי הערכתו, בלי שאפשר לפקח על כך. כמו כן, מצב זה מאפשר לעוסק שצורך סולר עבור כלי רכב שאינו מזכה </w:t>
      </w:r>
      <w:proofErr w:type="spellStart"/>
      <w:r w:rsidRPr="00743C5C">
        <w:rPr>
          <w:rFonts w:ascii="Tahoma" w:hAnsi="Tahoma" w:cs="Tahoma"/>
          <w:sz w:val="16"/>
          <w:szCs w:val="20"/>
          <w:rtl/>
        </w:rPr>
        <w:t>בהישבון</w:t>
      </w:r>
      <w:proofErr w:type="spellEnd"/>
      <w:r w:rsidRPr="00743C5C">
        <w:rPr>
          <w:rFonts w:ascii="Tahoma" w:hAnsi="Tahoma" w:cs="Tahoma"/>
          <w:sz w:val="16"/>
          <w:szCs w:val="20"/>
          <w:rtl/>
        </w:rPr>
        <w:t xml:space="preserve">, לשייך את צריכת הסולר הזו עבור כלי רכב המזכה </w:t>
      </w:r>
      <w:proofErr w:type="spellStart"/>
      <w:r w:rsidRPr="00743C5C">
        <w:rPr>
          <w:rFonts w:ascii="Tahoma" w:hAnsi="Tahoma" w:cs="Tahoma"/>
          <w:sz w:val="16"/>
          <w:szCs w:val="20"/>
          <w:rtl/>
        </w:rPr>
        <w:t>בהישבון</w:t>
      </w:r>
      <w:proofErr w:type="spellEnd"/>
      <w:r w:rsidRPr="00743C5C">
        <w:rPr>
          <w:rFonts w:ascii="Tahoma" w:hAnsi="Tahoma" w:cs="Tahoma"/>
          <w:sz w:val="16"/>
          <w:szCs w:val="20"/>
          <w:rtl/>
        </w:rPr>
        <w:t xml:space="preserve">. </w:t>
      </w:r>
    </w:p>
    <w:p w:rsidR="009169B9" w:rsidRPr="00743C5C" w:rsidRDefault="009169B9" w:rsidP="009169B9">
      <w:pPr>
        <w:spacing w:after="120"/>
        <w:rPr>
          <w:rFonts w:ascii="Tahoma" w:hAnsi="Tahoma" w:cs="Tahoma"/>
          <w:sz w:val="16"/>
          <w:szCs w:val="20"/>
        </w:rPr>
      </w:pPr>
      <w:r w:rsidRPr="00743C5C">
        <w:rPr>
          <w:rFonts w:ascii="Tahoma" w:hAnsi="Tahoma" w:cs="Tahoma"/>
          <w:sz w:val="16"/>
          <w:szCs w:val="20"/>
          <w:rtl/>
        </w:rPr>
        <w:t xml:space="preserve">כך, לדוגמה, בצוברים המשמשים גם לתדלוק ספינות דיג. העוסקים בענף זה דורשים </w:t>
      </w:r>
      <w:proofErr w:type="spellStart"/>
      <w:r w:rsidRPr="00743C5C">
        <w:rPr>
          <w:rFonts w:ascii="Tahoma" w:hAnsi="Tahoma" w:cs="Tahoma"/>
          <w:sz w:val="16"/>
          <w:szCs w:val="20"/>
          <w:rtl/>
        </w:rPr>
        <w:t>הישבון</w:t>
      </w:r>
      <w:proofErr w:type="spellEnd"/>
      <w:r w:rsidRPr="00743C5C">
        <w:rPr>
          <w:rFonts w:ascii="Tahoma" w:hAnsi="Tahoma" w:cs="Tahoma"/>
          <w:sz w:val="16"/>
          <w:szCs w:val="20"/>
          <w:rtl/>
        </w:rPr>
        <w:t xml:space="preserve"> לפי דיווחיהם על רכישת הסולר לצובר, אולם אינם מספקים פירוט רשום על כמות הסולר המדויקת שבה תודלקו הספינות. נוסף על כך, החברה המתדלקת באמצעות הצוברים אינה מפיקה חשבונית ממוחשבת בגין כל ספינה בנפרד. משום כך אין כל אפשרות לבצע בקרה על דיווחי העוסקים בענף הדיג.</w:t>
      </w:r>
    </w:p>
    <w:p w:rsidR="009169B9" w:rsidRPr="00743C5C" w:rsidRDefault="009169B9" w:rsidP="009169B9">
      <w:pPr>
        <w:spacing w:after="120"/>
        <w:rPr>
          <w:rFonts w:ascii="Tahoma" w:hAnsi="Tahoma" w:cs="Tahoma"/>
          <w:sz w:val="16"/>
          <w:szCs w:val="20"/>
          <w:rtl/>
        </w:rPr>
      </w:pPr>
      <w:r w:rsidRPr="00743C5C">
        <w:rPr>
          <w:rFonts w:ascii="Tahoma" w:hAnsi="Tahoma" w:cs="Tahoma"/>
          <w:sz w:val="16"/>
          <w:szCs w:val="20"/>
          <w:rtl/>
        </w:rPr>
        <w:lastRenderedPageBreak/>
        <w:t xml:space="preserve">בדוח הקודם נמצא כי כבר בדיון של ועדת הדלק שברשות המיסים שהתקיים בינואר 2010, הדגישה יחידת הסולר שאי אפשר לפקח על עוסקים המדווחים על תדלוק סולר באמצעות צוברים. בדיוני ועדת הדלק שהתקיימו בספטמבר 2010 וביוני 2011 שוב העלתה יחידת הסולר את הבעיה. ואולם, עד למועד סיום הביקורת בנובמבר 2014, רשות המיסים לא מצאה כל דרך לבצע בקרה על תדלוק סולר באמצעות צוברים. </w:t>
      </w:r>
    </w:p>
    <w:p w:rsidR="009169B9" w:rsidRPr="00743C5C" w:rsidRDefault="009169B9" w:rsidP="009169B9">
      <w:pPr>
        <w:spacing w:after="120"/>
        <w:rPr>
          <w:rFonts w:ascii="Tahoma" w:hAnsi="Tahoma" w:cs="Tahoma"/>
          <w:sz w:val="16"/>
          <w:szCs w:val="20"/>
          <w:rtl/>
        </w:rPr>
      </w:pPr>
      <w:r w:rsidRPr="00743C5C">
        <w:rPr>
          <w:rFonts w:ascii="Tahoma" w:hAnsi="Tahoma" w:cs="Tahoma"/>
          <w:sz w:val="16"/>
          <w:szCs w:val="20"/>
          <w:rtl/>
        </w:rPr>
        <w:t xml:space="preserve">המעקב העלה כי ליקוי זה לא תוקן. אף כי חלפו כארבע שנים מהביקורת הקודמת, רשות המיסים עדיין מחזירה לעוסקים שרוכשים סולר לצובר את ההחזר בגין הבלו על הסולר, בהתאם להערכת מקבל </w:t>
      </w:r>
      <w:proofErr w:type="spellStart"/>
      <w:r w:rsidRPr="00743C5C">
        <w:rPr>
          <w:rFonts w:ascii="Tahoma" w:hAnsi="Tahoma" w:cs="Tahoma"/>
          <w:sz w:val="16"/>
          <w:szCs w:val="20"/>
          <w:rtl/>
        </w:rPr>
        <w:t>ההישבון</w:t>
      </w:r>
      <w:proofErr w:type="spellEnd"/>
      <w:r w:rsidRPr="00743C5C">
        <w:rPr>
          <w:rFonts w:ascii="Tahoma" w:hAnsi="Tahoma" w:cs="Tahoma"/>
          <w:sz w:val="16"/>
          <w:szCs w:val="20"/>
          <w:rtl/>
        </w:rPr>
        <w:t>.</w:t>
      </w:r>
    </w:p>
    <w:p w:rsidR="009169B9" w:rsidRPr="00743C5C" w:rsidRDefault="009169B9" w:rsidP="008F06DA">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Pr>
      </w:pPr>
      <w:r w:rsidRPr="008F06DA">
        <w:rPr>
          <w:rFonts w:ascii="Tahoma" w:hAnsi="Tahoma" w:cs="Tahoma"/>
          <w:b w:val="0"/>
          <w:bCs w:val="0"/>
          <w:sz w:val="16"/>
          <w:szCs w:val="20"/>
          <w:rtl/>
        </w:rPr>
        <w:t xml:space="preserve">משרד מבקר המדינה ממליץ לרשות המיסים לבחון בעת הכללת עוסקים לתוכנית העבודה בביקורת חשבונות - את היעדר הפיקוח לגבי עוסקים המתדלקים באמצעות צובר. נוסף על כך, יש להקפיד לדרוש </w:t>
      </w:r>
      <w:proofErr w:type="spellStart"/>
      <w:r w:rsidRPr="008F06DA">
        <w:rPr>
          <w:rFonts w:ascii="Tahoma" w:hAnsi="Tahoma" w:cs="Tahoma"/>
          <w:b w:val="0"/>
          <w:bCs w:val="0"/>
          <w:sz w:val="16"/>
          <w:szCs w:val="20"/>
          <w:rtl/>
        </w:rPr>
        <w:t>מהעוסקים</w:t>
      </w:r>
      <w:proofErr w:type="spellEnd"/>
      <w:r w:rsidRPr="008F06DA">
        <w:rPr>
          <w:rFonts w:ascii="Tahoma" w:hAnsi="Tahoma" w:cs="Tahoma"/>
          <w:b w:val="0"/>
          <w:bCs w:val="0"/>
          <w:sz w:val="16"/>
          <w:szCs w:val="20"/>
          <w:rtl/>
        </w:rPr>
        <w:t xml:space="preserve"> חשבונית ממוחשבת על כל תדלוק, כפי שנקבע בהוראות הנוהל של רשות המיסים. </w:t>
      </w:r>
    </w:p>
    <w:p w:rsidR="009169B9" w:rsidRPr="00743C5C" w:rsidRDefault="009169B9" w:rsidP="009169B9">
      <w:pPr>
        <w:spacing w:after="120"/>
        <w:rPr>
          <w:rFonts w:ascii="Tahoma" w:hAnsi="Tahoma" w:cs="Tahoma"/>
          <w:sz w:val="16"/>
          <w:szCs w:val="20"/>
          <w:rtl/>
        </w:rPr>
      </w:pPr>
      <w:r w:rsidRPr="00743C5C">
        <w:rPr>
          <w:rFonts w:ascii="Tahoma" w:hAnsi="Tahoma" w:cs="Tahoma"/>
          <w:sz w:val="16"/>
          <w:szCs w:val="20"/>
          <w:rtl/>
        </w:rPr>
        <w:t>רשות המיסים ציינה בתשובתה כי "הפתרון הנדרש הוא באמצעות חקיקה שתאפשר מעקב ובקרה טובים יותר כאמור, כפועל יוצא מתיקון החקיקה מנהל רשות המיסים יקבע בכללים תיקון להוראות ניהול ספרים".</w:t>
      </w:r>
    </w:p>
    <w:p w:rsidR="009169B9" w:rsidRPr="00743C5C" w:rsidRDefault="009169B9" w:rsidP="008F06DA">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8F06DA">
        <w:rPr>
          <w:rFonts w:ascii="Tahoma" w:hAnsi="Tahoma" w:cs="Tahoma"/>
          <w:b w:val="0"/>
          <w:bCs w:val="0"/>
          <w:sz w:val="16"/>
          <w:szCs w:val="20"/>
          <w:rtl/>
        </w:rPr>
        <w:t>משרד מבקר המדינה מציין שעל רשות המיסים לפעול כדי לקדם את החקיקה בנושא תקנות הוראות ניהול ספרים, כך שייכללו בה גם שימוש באמצעי מדידה טכנולוגיים כמצוין בתשובתה.</w:t>
      </w:r>
    </w:p>
    <w:p w:rsidR="009169B9" w:rsidRPr="00530118" w:rsidRDefault="009169B9" w:rsidP="00530118">
      <w:pPr>
        <w:pStyle w:val="31"/>
        <w:rPr>
          <w:rtl/>
        </w:rPr>
      </w:pPr>
      <w:r w:rsidRPr="00530118">
        <w:rPr>
          <w:rtl/>
        </w:rPr>
        <w:t>שימוש בחשבוניות פיקטיביות</w:t>
      </w:r>
      <w:r w:rsidRPr="00530118">
        <w:rPr>
          <w:rStyle w:val="FootnoteReference"/>
          <w:rtl/>
        </w:rPr>
        <w:footnoteReference w:id="5"/>
      </w:r>
    </w:p>
    <w:p w:rsidR="009169B9" w:rsidRPr="00743C5C" w:rsidRDefault="009169B9" w:rsidP="009169B9">
      <w:pPr>
        <w:spacing w:after="120"/>
        <w:rPr>
          <w:rFonts w:ascii="Tahoma" w:hAnsi="Tahoma" w:cs="Tahoma"/>
          <w:sz w:val="16"/>
          <w:szCs w:val="20"/>
          <w:rtl/>
        </w:rPr>
      </w:pPr>
      <w:r w:rsidRPr="00743C5C">
        <w:rPr>
          <w:rFonts w:ascii="Tahoma" w:hAnsi="Tahoma" w:cs="Tahoma"/>
          <w:sz w:val="16"/>
          <w:szCs w:val="20"/>
          <w:rtl/>
        </w:rPr>
        <w:t xml:space="preserve">על פי </w:t>
      </w:r>
      <w:r w:rsidRPr="00743C5C">
        <w:rPr>
          <w:rFonts w:ascii="Tahoma" w:hAnsi="Tahoma" w:cs="Tahoma"/>
          <w:szCs w:val="20"/>
          <w:rtl/>
        </w:rPr>
        <w:t xml:space="preserve">צו </w:t>
      </w:r>
      <w:proofErr w:type="spellStart"/>
      <w:r w:rsidRPr="00743C5C">
        <w:rPr>
          <w:rFonts w:ascii="Tahoma" w:hAnsi="Tahoma" w:cs="Tahoma"/>
          <w:szCs w:val="20"/>
          <w:rtl/>
        </w:rPr>
        <w:t>ההישבון</w:t>
      </w:r>
      <w:proofErr w:type="spellEnd"/>
      <w:r w:rsidRPr="00743C5C">
        <w:rPr>
          <w:rFonts w:ascii="Tahoma" w:hAnsi="Tahoma" w:cs="Tahoma"/>
          <w:szCs w:val="20"/>
          <w:rtl/>
        </w:rPr>
        <w:t>,</w:t>
      </w:r>
      <w:r w:rsidRPr="00743C5C">
        <w:rPr>
          <w:rFonts w:ascii="Tahoma" w:hAnsi="Tahoma" w:cs="Tahoma"/>
          <w:sz w:val="16"/>
          <w:szCs w:val="20"/>
          <w:rtl/>
        </w:rPr>
        <w:t xml:space="preserve"> יש לשלם את </w:t>
      </w:r>
      <w:proofErr w:type="spellStart"/>
      <w:r w:rsidRPr="00743C5C">
        <w:rPr>
          <w:rFonts w:ascii="Tahoma" w:hAnsi="Tahoma" w:cs="Tahoma"/>
          <w:sz w:val="16"/>
          <w:szCs w:val="20"/>
          <w:rtl/>
        </w:rPr>
        <w:t>ההישבון</w:t>
      </w:r>
      <w:proofErr w:type="spellEnd"/>
      <w:r w:rsidRPr="00743C5C">
        <w:rPr>
          <w:rFonts w:ascii="Tahoma" w:hAnsi="Tahoma" w:cs="Tahoma"/>
          <w:sz w:val="16"/>
          <w:szCs w:val="20"/>
          <w:rtl/>
        </w:rPr>
        <w:t xml:space="preserve"> לעוסק בתוך 30 ימים מקבלת הבקשה. אולם "אם מי שהמנהל הסמיכו לכך או משטרת ישראל החלו בחקירת חשד ביצוע עבירה על החוק בידי המבקש - יינתן </w:t>
      </w:r>
      <w:proofErr w:type="spellStart"/>
      <w:r w:rsidRPr="00743C5C">
        <w:rPr>
          <w:rFonts w:ascii="Tahoma" w:hAnsi="Tahoma" w:cs="Tahoma"/>
          <w:sz w:val="16"/>
          <w:szCs w:val="20"/>
          <w:rtl/>
        </w:rPr>
        <w:t>ההישבון</w:t>
      </w:r>
      <w:proofErr w:type="spellEnd"/>
      <w:r w:rsidRPr="00743C5C">
        <w:rPr>
          <w:rFonts w:ascii="Tahoma" w:hAnsi="Tahoma" w:cs="Tahoma"/>
          <w:sz w:val="16"/>
          <w:szCs w:val="20"/>
          <w:rtl/>
        </w:rPr>
        <w:t xml:space="preserve"> בתוך 180 ימים מקבלת הבקשה". מכאן עולה שאם עוסק הגיש בקשה </w:t>
      </w:r>
      <w:proofErr w:type="spellStart"/>
      <w:r w:rsidRPr="00743C5C">
        <w:rPr>
          <w:rFonts w:ascii="Tahoma" w:hAnsi="Tahoma" w:cs="Tahoma"/>
          <w:sz w:val="16"/>
          <w:szCs w:val="20"/>
          <w:rtl/>
        </w:rPr>
        <w:t>להישבון</w:t>
      </w:r>
      <w:proofErr w:type="spellEnd"/>
      <w:r w:rsidRPr="00743C5C">
        <w:rPr>
          <w:rFonts w:ascii="Tahoma" w:hAnsi="Tahoma" w:cs="Tahoma"/>
          <w:sz w:val="16"/>
          <w:szCs w:val="20"/>
          <w:rtl/>
        </w:rPr>
        <w:t xml:space="preserve">, אך הוא נחקר בידי משטרת ישראל או אחת מיחידות החקירה של רשות המיסים, בין היתר, בחשד לשימוש בחשבוניות פיקטיביות, יש אפשרות לעכב את מתן </w:t>
      </w:r>
      <w:proofErr w:type="spellStart"/>
      <w:r w:rsidRPr="00743C5C">
        <w:rPr>
          <w:rFonts w:ascii="Tahoma" w:hAnsi="Tahoma" w:cs="Tahoma"/>
          <w:sz w:val="16"/>
          <w:szCs w:val="20"/>
          <w:rtl/>
        </w:rPr>
        <w:t>ההישבון</w:t>
      </w:r>
      <w:proofErr w:type="spellEnd"/>
      <w:r w:rsidRPr="00743C5C">
        <w:rPr>
          <w:rFonts w:ascii="Tahoma" w:hAnsi="Tahoma" w:cs="Tahoma"/>
          <w:sz w:val="16"/>
          <w:szCs w:val="20"/>
          <w:rtl/>
        </w:rPr>
        <w:t xml:space="preserve"> עד 180 ימים. המטרה היא לבדוק במשך תקופה זו את המסמכים והחשבוניות של העוסק, ולוודא שאינו משתמש בחשבוניות פיקטיביות גם לצורך קבלת </w:t>
      </w:r>
      <w:proofErr w:type="spellStart"/>
      <w:r w:rsidRPr="00743C5C">
        <w:rPr>
          <w:rFonts w:ascii="Tahoma" w:hAnsi="Tahoma" w:cs="Tahoma"/>
          <w:sz w:val="16"/>
          <w:szCs w:val="20"/>
          <w:rtl/>
        </w:rPr>
        <w:t>ההישבון</w:t>
      </w:r>
      <w:proofErr w:type="spellEnd"/>
      <w:r w:rsidRPr="00743C5C">
        <w:rPr>
          <w:rFonts w:ascii="Tahoma" w:hAnsi="Tahoma" w:cs="Tahoma"/>
          <w:sz w:val="16"/>
          <w:szCs w:val="20"/>
          <w:rtl/>
        </w:rPr>
        <w:t>.</w:t>
      </w:r>
    </w:p>
    <w:p w:rsidR="009169B9" w:rsidRPr="00743C5C" w:rsidRDefault="009169B9" w:rsidP="009169B9">
      <w:pPr>
        <w:spacing w:after="120"/>
        <w:rPr>
          <w:rFonts w:ascii="Tahoma" w:hAnsi="Tahoma" w:cs="Tahoma"/>
          <w:sz w:val="16"/>
          <w:szCs w:val="20"/>
          <w:rtl/>
        </w:rPr>
      </w:pPr>
      <w:r w:rsidRPr="00743C5C">
        <w:rPr>
          <w:rFonts w:ascii="Tahoma" w:hAnsi="Tahoma" w:cs="Tahoma"/>
          <w:sz w:val="16"/>
          <w:szCs w:val="20"/>
          <w:rtl/>
        </w:rPr>
        <w:t xml:space="preserve">כאמור, לכל כלי רכב המזכה </w:t>
      </w:r>
      <w:proofErr w:type="spellStart"/>
      <w:r w:rsidRPr="00743C5C">
        <w:rPr>
          <w:rFonts w:ascii="Tahoma" w:hAnsi="Tahoma" w:cs="Tahoma"/>
          <w:sz w:val="16"/>
          <w:szCs w:val="20"/>
          <w:rtl/>
        </w:rPr>
        <w:t>בהישבון</w:t>
      </w:r>
      <w:proofErr w:type="spellEnd"/>
      <w:r w:rsidRPr="00743C5C">
        <w:rPr>
          <w:rFonts w:ascii="Tahoma" w:hAnsi="Tahoma" w:cs="Tahoma"/>
          <w:sz w:val="16"/>
          <w:szCs w:val="20"/>
          <w:rtl/>
        </w:rPr>
        <w:t xml:space="preserve"> נקבעה תקרת צריכה. אם עוסק אינו מפעיל את כל כלי הרכב שלו או מפעיל אותם חלקית, הוא אינו מנצל את מלוא הזכאות שלו לקבל </w:t>
      </w:r>
      <w:proofErr w:type="spellStart"/>
      <w:r w:rsidRPr="00743C5C">
        <w:rPr>
          <w:rFonts w:ascii="Tahoma" w:hAnsi="Tahoma" w:cs="Tahoma"/>
          <w:sz w:val="16"/>
          <w:szCs w:val="20"/>
          <w:rtl/>
        </w:rPr>
        <w:t>הישבון</w:t>
      </w:r>
      <w:proofErr w:type="spellEnd"/>
      <w:r w:rsidRPr="00743C5C">
        <w:rPr>
          <w:rFonts w:ascii="Tahoma" w:hAnsi="Tahoma" w:cs="Tahoma"/>
          <w:sz w:val="16"/>
          <w:szCs w:val="20"/>
          <w:rtl/>
        </w:rPr>
        <w:t xml:space="preserve">. עוסק כזה, המבקש להגדיל את גובה הזכאות </w:t>
      </w:r>
      <w:proofErr w:type="spellStart"/>
      <w:r w:rsidRPr="00743C5C">
        <w:rPr>
          <w:rFonts w:ascii="Tahoma" w:hAnsi="Tahoma" w:cs="Tahoma"/>
          <w:sz w:val="16"/>
          <w:szCs w:val="20"/>
          <w:rtl/>
        </w:rPr>
        <w:t>להישבון</w:t>
      </w:r>
      <w:proofErr w:type="spellEnd"/>
      <w:r w:rsidRPr="00743C5C">
        <w:rPr>
          <w:rFonts w:ascii="Tahoma" w:hAnsi="Tahoma" w:cs="Tahoma"/>
          <w:sz w:val="16"/>
          <w:szCs w:val="20"/>
          <w:rtl/>
        </w:rPr>
        <w:t xml:space="preserve"> או לדווח על צריכה בגובה של תקרת </w:t>
      </w:r>
      <w:r w:rsidRPr="00743C5C">
        <w:rPr>
          <w:rFonts w:ascii="Tahoma" w:hAnsi="Tahoma" w:cs="Tahoma"/>
          <w:sz w:val="16"/>
          <w:szCs w:val="20"/>
          <w:rtl/>
        </w:rPr>
        <w:lastRenderedPageBreak/>
        <w:t xml:space="preserve">הצריכה אף שהוא לא הגיע אליה, עלול לדרוש את </w:t>
      </w:r>
      <w:proofErr w:type="spellStart"/>
      <w:r w:rsidRPr="00743C5C">
        <w:rPr>
          <w:rFonts w:ascii="Tahoma" w:hAnsi="Tahoma" w:cs="Tahoma"/>
          <w:sz w:val="16"/>
          <w:szCs w:val="20"/>
          <w:rtl/>
        </w:rPr>
        <w:t>ההישבון</w:t>
      </w:r>
      <w:proofErr w:type="spellEnd"/>
      <w:r w:rsidRPr="00743C5C">
        <w:rPr>
          <w:rFonts w:ascii="Tahoma" w:hAnsi="Tahoma" w:cs="Tahoma"/>
          <w:sz w:val="16"/>
          <w:szCs w:val="20"/>
          <w:rtl/>
        </w:rPr>
        <w:t xml:space="preserve"> באמצעות חשבוניות מס פיקטיביות. </w:t>
      </w:r>
    </w:p>
    <w:p w:rsidR="009169B9" w:rsidRPr="00743C5C" w:rsidRDefault="009169B9" w:rsidP="009169B9">
      <w:pPr>
        <w:spacing w:after="120"/>
        <w:rPr>
          <w:rFonts w:ascii="Tahoma" w:hAnsi="Tahoma" w:cs="Tahoma"/>
          <w:sz w:val="16"/>
          <w:szCs w:val="20"/>
        </w:rPr>
      </w:pPr>
      <w:r w:rsidRPr="00743C5C">
        <w:rPr>
          <w:rFonts w:ascii="Tahoma" w:hAnsi="Tahoma" w:cs="Tahoma"/>
          <w:sz w:val="16"/>
          <w:szCs w:val="20"/>
          <w:rtl/>
        </w:rPr>
        <w:t xml:space="preserve">השימוש בחשבוניות פיקטיביות הפך לתופעה בכל הענפים הכלכליים במשק, בעיקר בשירותי הניקיון, האבטחה, כוח האדם, הבנייה והדלק. בדוח קודם של מבקר המדינה (שצוין לעיל) בנושא החשבוניות הפיקטיביות, צוין שהשימוש בחשבוניות פיקטיביות והסחר בהן גורמים למדינה נזק של מיליארדי ש"ח בשנה. בדוח הקודם הועלו מקרים שבהם עוסקים וחברות המשיכו לקבל את מלוא </w:t>
      </w:r>
      <w:proofErr w:type="spellStart"/>
      <w:r w:rsidRPr="00743C5C">
        <w:rPr>
          <w:rFonts w:ascii="Tahoma" w:hAnsi="Tahoma" w:cs="Tahoma"/>
          <w:sz w:val="16"/>
          <w:szCs w:val="20"/>
          <w:rtl/>
        </w:rPr>
        <w:t>הישבון</w:t>
      </w:r>
      <w:proofErr w:type="spellEnd"/>
      <w:r w:rsidRPr="00743C5C">
        <w:rPr>
          <w:rFonts w:ascii="Tahoma" w:hAnsi="Tahoma" w:cs="Tahoma"/>
          <w:sz w:val="16"/>
          <w:szCs w:val="20"/>
          <w:rtl/>
        </w:rPr>
        <w:t xml:space="preserve"> הסולר, אף שכבר נפתחו בעניינם חקירות והוגשו נגדם כתבי אישום בגין שימוש בחשבוניות פיקטיביות. </w:t>
      </w:r>
    </w:p>
    <w:p w:rsidR="009169B9" w:rsidRPr="00743C5C" w:rsidRDefault="009169B9" w:rsidP="009169B9">
      <w:pPr>
        <w:spacing w:after="120"/>
        <w:rPr>
          <w:rFonts w:ascii="Tahoma" w:hAnsi="Tahoma" w:cs="Tahoma"/>
          <w:sz w:val="16"/>
          <w:szCs w:val="20"/>
          <w:rtl/>
        </w:rPr>
      </w:pPr>
      <w:r w:rsidRPr="00743C5C">
        <w:rPr>
          <w:rFonts w:ascii="Tahoma" w:hAnsi="Tahoma" w:cs="Tahoma"/>
          <w:sz w:val="16"/>
          <w:szCs w:val="20"/>
          <w:rtl/>
        </w:rPr>
        <w:t>דרך התמודדות אפשרית עם תופעת החשבוניות הפיקטיביות היא באמצעות הנהגת דיווח מקוון. בדוח מבקר המדינה 64א</w:t>
      </w:r>
      <w:r w:rsidRPr="00743C5C">
        <w:rPr>
          <w:rStyle w:val="FootnoteReference"/>
          <w:rFonts w:ascii="Tahoma" w:hAnsi="Tahoma" w:cs="Tahoma"/>
          <w:sz w:val="16"/>
          <w:szCs w:val="20"/>
          <w:rtl/>
        </w:rPr>
        <w:footnoteReference w:id="6"/>
      </w:r>
      <w:r w:rsidRPr="00743C5C">
        <w:rPr>
          <w:rFonts w:ascii="Tahoma" w:hAnsi="Tahoma" w:cs="Tahoma"/>
          <w:sz w:val="16"/>
          <w:szCs w:val="20"/>
          <w:rtl/>
        </w:rPr>
        <w:t xml:space="preserve"> צוין כי חובת הדיווח המקוון חלה רק על מי שמחזור עסקיו השנתי הוא מעל 2.5 מיליון ש"ח. לכן, מי שמחזורו קטן מהרף שנקבע, לא ייכלל בעוסקים שיש לבדוק את הדיווח שהם מוסרים באמצעות מערכת הדיווח המקוונת המנוהלת ביחידת שירותי עיבודים ממוכנים של רשות המיסים (</w:t>
      </w:r>
      <w:proofErr w:type="spellStart"/>
      <w:r w:rsidRPr="00743C5C">
        <w:rPr>
          <w:rFonts w:ascii="Tahoma" w:hAnsi="Tahoma" w:cs="Tahoma"/>
          <w:sz w:val="16"/>
          <w:szCs w:val="20"/>
          <w:rtl/>
        </w:rPr>
        <w:t>שע"ם</w:t>
      </w:r>
      <w:proofErr w:type="spellEnd"/>
      <w:r w:rsidRPr="00743C5C">
        <w:rPr>
          <w:rFonts w:ascii="Tahoma" w:hAnsi="Tahoma" w:cs="Tahoma"/>
          <w:sz w:val="16"/>
          <w:szCs w:val="20"/>
          <w:rtl/>
        </w:rPr>
        <w:t>). במצב זה חובת הדיווח המקוון אינה כוללת דיווח על חשבוניות או קבלות שמונפקות באמצעות מערכות התדלוק הממוחשבות. לפיכך, המערכת המקוונת של רשות המיסים אינה אפקטיבית בכל הנוגע לאיתור חשבוניות פיקטיביות שנעשה בהן שימוש בענף הדלק.</w:t>
      </w:r>
    </w:p>
    <w:p w:rsidR="009169B9" w:rsidRPr="00743C5C" w:rsidRDefault="009169B9" w:rsidP="009169B9">
      <w:pPr>
        <w:spacing w:after="120"/>
        <w:rPr>
          <w:rFonts w:ascii="Tahoma" w:hAnsi="Tahoma" w:cs="Tahoma"/>
          <w:sz w:val="16"/>
          <w:szCs w:val="20"/>
          <w:rtl/>
        </w:rPr>
      </w:pPr>
      <w:r w:rsidRPr="00743C5C">
        <w:rPr>
          <w:rFonts w:ascii="Tahoma" w:hAnsi="Tahoma" w:cs="Tahoma"/>
          <w:sz w:val="16"/>
          <w:szCs w:val="20"/>
          <w:rtl/>
        </w:rPr>
        <w:t xml:space="preserve">בהערות ראש הממשלה לדוח הקודם, טענה רשות המיסים כי: "במצב הקיים לא יכול משרד </w:t>
      </w:r>
      <w:proofErr w:type="spellStart"/>
      <w:r w:rsidRPr="00743C5C">
        <w:rPr>
          <w:rFonts w:ascii="Tahoma" w:hAnsi="Tahoma" w:cs="Tahoma"/>
          <w:sz w:val="16"/>
          <w:szCs w:val="20"/>
          <w:rtl/>
        </w:rPr>
        <w:t>מע"ם</w:t>
      </w:r>
      <w:proofErr w:type="spellEnd"/>
      <w:r w:rsidRPr="00743C5C">
        <w:rPr>
          <w:rFonts w:ascii="Tahoma" w:hAnsi="Tahoma" w:cs="Tahoma"/>
          <w:sz w:val="16"/>
          <w:szCs w:val="20"/>
          <w:rtl/>
        </w:rPr>
        <w:t xml:space="preserve"> לעכב החזרי בלו. עליו לפנות ליחידת הדלק הארצית, ורק זו יכולה לבצע את העיכוב... הרשות תפעל להנחות את המשרדים לעקוב אחר עוסקים להם נערכה ביקורת ונתגלו ממצאים כדי למנוע את התופעה המתוארת".</w:t>
      </w:r>
    </w:p>
    <w:p w:rsidR="009169B9" w:rsidRPr="00743C5C" w:rsidRDefault="009169B9" w:rsidP="008F06DA">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8F06DA">
        <w:rPr>
          <w:rFonts w:ascii="Tahoma" w:hAnsi="Tahoma" w:cs="Tahoma"/>
          <w:b w:val="0"/>
          <w:bCs w:val="0"/>
          <w:sz w:val="16"/>
          <w:szCs w:val="20"/>
          <w:rtl/>
        </w:rPr>
        <w:t>המעקב העלה כי הנושא תוקן במידה חלקית. כשיש חשד לשימוש בחשבוניות פיקטיביות, בסמכות המשרד האזורי ברשות המיסים לעכב את ההחזרים לעוסקים והחשד מועבר לבדיקה או לחקירה. עם זאת, הרשות לא תיקנה את הליקוי על יכולתה לאתר ביעילות שימוש בחשבוניות פיקטיביות באמצעות המערכת המקוונת, בדוח המפורט.</w:t>
      </w:r>
    </w:p>
    <w:p w:rsidR="009169B9" w:rsidRPr="00743C5C" w:rsidRDefault="009169B9" w:rsidP="008F06DA">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8F06DA">
        <w:rPr>
          <w:rFonts w:ascii="Tahoma" w:hAnsi="Tahoma" w:cs="Tahoma"/>
          <w:b w:val="0"/>
          <w:bCs w:val="0"/>
          <w:sz w:val="16"/>
          <w:szCs w:val="20"/>
          <w:rtl/>
        </w:rPr>
        <w:t xml:space="preserve">משרד מבקר המדינה מציין שעל רשות המיסים לייעל את פעולותיה לאיתור וטיפול בחשדות להגשת חשבוניות פיקטיביות בענף הדלק. בין היתר, עליה לבחון דרך לאיתור חשבוניות פיקטיביות בענף הדלק באמצעות מערכת הדיווח המקוון, גם במקרים של עוסקים שאינם חייבים בדיווח במערכת המקוונת. במרבית המקרים, אם העוסק יקבל את הכסף, תתקשה רשות המיסים לגבות בחזרה את הכסף ששילמה. על רשות המיסים ליצור מנגנון שיאפשר העברת מידע על עוסקים שנתפסו בשימוש בחשבוניות פיקטיביות, ממשרדי </w:t>
      </w:r>
      <w:proofErr w:type="spellStart"/>
      <w:r w:rsidRPr="008F06DA">
        <w:rPr>
          <w:rFonts w:ascii="Tahoma" w:hAnsi="Tahoma" w:cs="Tahoma"/>
          <w:b w:val="0"/>
          <w:bCs w:val="0"/>
          <w:sz w:val="16"/>
          <w:szCs w:val="20"/>
          <w:rtl/>
        </w:rPr>
        <w:t>מע"ם</w:t>
      </w:r>
      <w:proofErr w:type="spellEnd"/>
      <w:r w:rsidRPr="008F06DA">
        <w:rPr>
          <w:rFonts w:ascii="Tahoma" w:hAnsi="Tahoma" w:cs="Tahoma"/>
          <w:b w:val="0"/>
          <w:bCs w:val="0"/>
          <w:sz w:val="16"/>
          <w:szCs w:val="20"/>
          <w:rtl/>
        </w:rPr>
        <w:t xml:space="preserve"> האזוריים או ממשרדי החקירות ליחידת הסולר. המטרה היא לבדוק אם עושים שימוש בחשבוניות הפיקטיביות גם כדי לקבל באמצעותן </w:t>
      </w:r>
      <w:proofErr w:type="spellStart"/>
      <w:r w:rsidRPr="008F06DA">
        <w:rPr>
          <w:rFonts w:ascii="Tahoma" w:hAnsi="Tahoma" w:cs="Tahoma"/>
          <w:b w:val="0"/>
          <w:bCs w:val="0"/>
          <w:sz w:val="16"/>
          <w:szCs w:val="20"/>
          <w:rtl/>
        </w:rPr>
        <w:t>הישבון</w:t>
      </w:r>
      <w:proofErr w:type="spellEnd"/>
      <w:r w:rsidRPr="008F06DA">
        <w:rPr>
          <w:rFonts w:ascii="Tahoma" w:hAnsi="Tahoma" w:cs="Tahoma"/>
          <w:b w:val="0"/>
          <w:bCs w:val="0"/>
          <w:sz w:val="16"/>
          <w:szCs w:val="20"/>
          <w:rtl/>
        </w:rPr>
        <w:t xml:space="preserve"> במסגרת הסדר הסולר.</w:t>
      </w:r>
    </w:p>
    <w:p w:rsidR="009169B9" w:rsidRPr="00743C5C" w:rsidRDefault="009169B9" w:rsidP="009169B9">
      <w:pPr>
        <w:spacing w:after="120"/>
        <w:rPr>
          <w:rFonts w:ascii="Tahoma" w:hAnsi="Tahoma" w:cs="Tahoma"/>
          <w:sz w:val="16"/>
          <w:szCs w:val="20"/>
          <w:rtl/>
        </w:rPr>
      </w:pPr>
      <w:r w:rsidRPr="00743C5C">
        <w:rPr>
          <w:rFonts w:ascii="Tahoma" w:hAnsi="Tahoma" w:cs="Tahoma"/>
          <w:sz w:val="16"/>
          <w:szCs w:val="20"/>
          <w:rtl/>
        </w:rPr>
        <w:lastRenderedPageBreak/>
        <w:t xml:space="preserve">רשות המיסים ציינה בתשובתה למשרד מבקר המדינה כי: "תופעת השימוש בחשבוניות פיקטיביות קיימת במספר ענפים וביניהם גם בענף הדלק. הטיפול ומיגור התופעה כאמור יבוצע רוחבית בכלל הענפים בהם קיימת התופעה וכפועל יוצא גם בענף המוזכר בביקורת זו. נציין כי הדבר בראש סדר העדיפויות ומהווה חלק מהתוכנית האסטרטגית של רשות המיסים.... הדוח המפורט אינו נותן מענה לאיתור עוסקים שקיבלו </w:t>
      </w:r>
      <w:proofErr w:type="spellStart"/>
      <w:r w:rsidRPr="00743C5C">
        <w:rPr>
          <w:rFonts w:ascii="Tahoma" w:hAnsi="Tahoma" w:cs="Tahoma"/>
          <w:sz w:val="16"/>
          <w:szCs w:val="20"/>
          <w:rtl/>
        </w:rPr>
        <w:t>הישבון</w:t>
      </w:r>
      <w:proofErr w:type="spellEnd"/>
      <w:r w:rsidRPr="00743C5C">
        <w:rPr>
          <w:rFonts w:ascii="Tahoma" w:hAnsi="Tahoma" w:cs="Tahoma"/>
          <w:sz w:val="16"/>
          <w:szCs w:val="20"/>
          <w:rtl/>
        </w:rPr>
        <w:t xml:space="preserve"> סולר והשתמשו בחשבוניות פיקטיביות, ורק אם ימוחשב תהליך הדיווח של </w:t>
      </w:r>
      <w:proofErr w:type="spellStart"/>
      <w:r w:rsidRPr="00743C5C">
        <w:rPr>
          <w:rFonts w:ascii="Tahoma" w:hAnsi="Tahoma" w:cs="Tahoma"/>
          <w:sz w:val="16"/>
          <w:szCs w:val="20"/>
          <w:rtl/>
        </w:rPr>
        <w:t>ההישבון</w:t>
      </w:r>
      <w:proofErr w:type="spellEnd"/>
      <w:r w:rsidRPr="00743C5C">
        <w:rPr>
          <w:rFonts w:ascii="Tahoma" w:hAnsi="Tahoma" w:cs="Tahoma"/>
          <w:sz w:val="16"/>
          <w:szCs w:val="20"/>
          <w:rtl/>
        </w:rPr>
        <w:t xml:space="preserve"> על הסדר הסולר באופן מפורט, נוכל לבצע ביקורת איכותית יותר. פיתוח זה אינו מבוצע היום בשל מחסור בכוח אדם </w:t>
      </w:r>
      <w:proofErr w:type="spellStart"/>
      <w:r w:rsidRPr="00743C5C">
        <w:rPr>
          <w:rFonts w:ascii="Tahoma" w:hAnsi="Tahoma" w:cs="Tahoma"/>
          <w:sz w:val="16"/>
          <w:szCs w:val="20"/>
          <w:rtl/>
        </w:rPr>
        <w:t>בשע"ם</w:t>
      </w:r>
      <w:proofErr w:type="spellEnd"/>
      <w:r w:rsidRPr="00743C5C">
        <w:rPr>
          <w:rFonts w:ascii="Tahoma" w:hAnsi="Tahoma" w:cs="Tahoma"/>
          <w:sz w:val="16"/>
          <w:szCs w:val="20"/>
          <w:rtl/>
        </w:rPr>
        <w:t>".</w:t>
      </w:r>
    </w:p>
    <w:p w:rsidR="009169B9" w:rsidRPr="00530118" w:rsidRDefault="009169B9" w:rsidP="00530118">
      <w:pPr>
        <w:pStyle w:val="31"/>
        <w:rPr>
          <w:rtl/>
        </w:rPr>
      </w:pPr>
      <w:r w:rsidRPr="00530118">
        <w:rPr>
          <w:rtl/>
        </w:rPr>
        <w:t>המערכת הממוחשבת של החזרי הסולר</w:t>
      </w:r>
    </w:p>
    <w:p w:rsidR="009169B9" w:rsidRPr="00743C5C" w:rsidRDefault="009169B9" w:rsidP="009169B9">
      <w:pPr>
        <w:spacing w:after="120"/>
        <w:rPr>
          <w:rFonts w:ascii="Tahoma" w:hAnsi="Tahoma" w:cs="Tahoma"/>
          <w:sz w:val="16"/>
          <w:szCs w:val="20"/>
          <w:rtl/>
        </w:rPr>
      </w:pPr>
      <w:r w:rsidRPr="00743C5C">
        <w:rPr>
          <w:rFonts w:ascii="Tahoma" w:hAnsi="Tahoma" w:cs="Tahoma"/>
          <w:sz w:val="16"/>
          <w:szCs w:val="20"/>
          <w:rtl/>
        </w:rPr>
        <w:t xml:space="preserve">רשות המיסים מנהלת את מערכת המס באמצעות מערכת ממוחשבת העוקבת אחר החיובים, הזיכויים והיתרות של כל נישום. במערכת נרשמות כל הפעולות הכספיות הקשורות לנישום - החיובים שנזקפים לו והתשלומים ששילם. יש לציין שככלל כ-99 אחוזים מהדיווחים הם מקוונים ורק אחוז אחד מהדיווחים נעשים באופן ידני. שיוך התשלום של נישום או עוסק מתבצע באופן אוטומטי על פי סוג התשלום. כך יכול עובד רשות המיסים לבדוק לגבי כל נישום אם הוא נמצא ביתרת חובה בשל חוב שיש לגבות ממנו או ביתרת זכות בשל </w:t>
      </w:r>
      <w:proofErr w:type="spellStart"/>
      <w:r w:rsidRPr="00743C5C">
        <w:rPr>
          <w:rFonts w:ascii="Tahoma" w:hAnsi="Tahoma" w:cs="Tahoma"/>
          <w:sz w:val="16"/>
          <w:szCs w:val="20"/>
          <w:rtl/>
        </w:rPr>
        <w:t>הישבון</w:t>
      </w:r>
      <w:proofErr w:type="spellEnd"/>
      <w:r w:rsidRPr="00743C5C">
        <w:rPr>
          <w:rFonts w:ascii="Tahoma" w:hAnsi="Tahoma" w:cs="Tahoma"/>
          <w:sz w:val="16"/>
          <w:szCs w:val="20"/>
          <w:rtl/>
        </w:rPr>
        <w:t xml:space="preserve"> שהוא זכאי לו.</w:t>
      </w:r>
    </w:p>
    <w:p w:rsidR="009169B9" w:rsidRPr="00743C5C" w:rsidRDefault="009169B9" w:rsidP="008F06DA">
      <w:pPr>
        <w:pStyle w:val="ListParagraph"/>
        <w:numPr>
          <w:ilvl w:val="0"/>
          <w:numId w:val="8"/>
        </w:numPr>
        <w:spacing w:after="120"/>
        <w:ind w:left="397" w:hanging="397"/>
        <w:contextualSpacing w:val="0"/>
        <w:rPr>
          <w:rFonts w:ascii="Tahoma" w:hAnsi="Tahoma" w:cs="Tahoma"/>
          <w:sz w:val="16"/>
          <w:szCs w:val="20"/>
        </w:rPr>
      </w:pPr>
      <w:r w:rsidRPr="00743C5C">
        <w:rPr>
          <w:rFonts w:ascii="Tahoma" w:hAnsi="Tahoma" w:cs="Tahoma"/>
          <w:sz w:val="16"/>
          <w:szCs w:val="20"/>
          <w:rtl/>
        </w:rPr>
        <w:t xml:space="preserve">בביקורת הקודמת נמצא כי אם עוסק קיבל </w:t>
      </w:r>
      <w:proofErr w:type="spellStart"/>
      <w:r w:rsidRPr="00743C5C">
        <w:rPr>
          <w:rFonts w:ascii="Tahoma" w:hAnsi="Tahoma" w:cs="Tahoma"/>
          <w:sz w:val="16"/>
          <w:szCs w:val="20"/>
          <w:rtl/>
        </w:rPr>
        <w:t>הישבון</w:t>
      </w:r>
      <w:proofErr w:type="spellEnd"/>
      <w:r w:rsidRPr="00743C5C">
        <w:rPr>
          <w:rFonts w:ascii="Tahoma" w:hAnsi="Tahoma" w:cs="Tahoma"/>
          <w:sz w:val="16"/>
          <w:szCs w:val="20"/>
          <w:rtl/>
        </w:rPr>
        <w:t xml:space="preserve"> מעל המגיע לו והיה עליו להחזיר כסף, המערכת הממוחשבת של החזרי הבלו על הסולר יצרה חיוב כספי לעוסק. עם זאת, המערכת הממוחשבת לא </w:t>
      </w:r>
      <w:proofErr w:type="spellStart"/>
      <w:r w:rsidRPr="00743C5C">
        <w:rPr>
          <w:rFonts w:ascii="Tahoma" w:hAnsi="Tahoma" w:cs="Tahoma"/>
          <w:sz w:val="16"/>
          <w:szCs w:val="20"/>
          <w:rtl/>
        </w:rPr>
        <w:t>איפשרה</w:t>
      </w:r>
      <w:proofErr w:type="spellEnd"/>
      <w:r w:rsidRPr="00743C5C">
        <w:rPr>
          <w:rFonts w:ascii="Tahoma" w:hAnsi="Tahoma" w:cs="Tahoma"/>
          <w:sz w:val="16"/>
          <w:szCs w:val="20"/>
          <w:rtl/>
        </w:rPr>
        <w:t xml:space="preserve"> לרשום את התשלום על שם העוסק. במקרה כזה העוסק קיבל שובר לתשלום בבנק הדואר, ולאחר התשלום הכסף הופקד לחשבון של רשות המיסים. חשבונו של עוסק ששילם את חובו לא היה מזוכה באופן אוטומטי במערכת הסולר, אלא רק לאחר שנרשם באופן ידני כי התשלום היה לטובת מערכת הסולר. עם זאת, נמצא כי במקרים רבים לא נרשם הזיכוי לטובת מערכת הסולר והעוסק נותר עם יתרת חובה, אף שהוא שילם את החוב. </w:t>
      </w:r>
    </w:p>
    <w:p w:rsidR="009169B9" w:rsidRPr="00743C5C" w:rsidRDefault="009169B9" w:rsidP="008F06DA">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624" w:right="284"/>
        <w:rPr>
          <w:rFonts w:ascii="Tahoma" w:hAnsi="Tahoma" w:cs="Tahoma"/>
          <w:b w:val="0"/>
          <w:bCs w:val="0"/>
          <w:sz w:val="16"/>
          <w:szCs w:val="20"/>
          <w:rtl/>
        </w:rPr>
      </w:pPr>
      <w:r w:rsidRPr="008F06DA">
        <w:rPr>
          <w:rFonts w:ascii="Tahoma" w:hAnsi="Tahoma" w:cs="Tahoma"/>
          <w:b w:val="0"/>
          <w:bCs w:val="0"/>
          <w:sz w:val="16"/>
          <w:szCs w:val="20"/>
          <w:rtl/>
        </w:rPr>
        <w:t xml:space="preserve">המעקב העלה כי גם כיום המערכת הממוחשבת של הסדר הסולר אינה יכולה לקלוט תשלומים </w:t>
      </w:r>
      <w:proofErr w:type="spellStart"/>
      <w:r w:rsidRPr="008F06DA">
        <w:rPr>
          <w:rFonts w:ascii="Tahoma" w:hAnsi="Tahoma" w:cs="Tahoma"/>
          <w:b w:val="0"/>
          <w:bCs w:val="0"/>
          <w:sz w:val="16"/>
          <w:szCs w:val="20"/>
          <w:rtl/>
        </w:rPr>
        <w:t>מעוסק</w:t>
      </w:r>
      <w:proofErr w:type="spellEnd"/>
      <w:r w:rsidRPr="008F06DA">
        <w:rPr>
          <w:rFonts w:ascii="Tahoma" w:hAnsi="Tahoma" w:cs="Tahoma"/>
          <w:b w:val="0"/>
          <w:bCs w:val="0"/>
          <w:sz w:val="16"/>
          <w:szCs w:val="20"/>
          <w:rtl/>
        </w:rPr>
        <w:t xml:space="preserve"> בגין חוב שנוצר לו על סכום </w:t>
      </w:r>
      <w:proofErr w:type="spellStart"/>
      <w:r w:rsidRPr="008F06DA">
        <w:rPr>
          <w:rFonts w:ascii="Tahoma" w:hAnsi="Tahoma" w:cs="Tahoma"/>
          <w:b w:val="0"/>
          <w:bCs w:val="0"/>
          <w:sz w:val="16"/>
          <w:szCs w:val="20"/>
          <w:rtl/>
        </w:rPr>
        <w:t>הישבון</w:t>
      </w:r>
      <w:proofErr w:type="spellEnd"/>
      <w:r w:rsidRPr="008F06DA">
        <w:rPr>
          <w:rFonts w:ascii="Tahoma" w:hAnsi="Tahoma" w:cs="Tahoma"/>
          <w:b w:val="0"/>
          <w:bCs w:val="0"/>
          <w:sz w:val="16"/>
          <w:szCs w:val="20"/>
          <w:rtl/>
        </w:rPr>
        <w:t xml:space="preserve"> שקיבל ביתר, ועדיין צריך לרשום באופן ידני על שובר התשלום כי התשלומים הם לטובת העוסק במערכת הסולר.</w:t>
      </w:r>
    </w:p>
    <w:p w:rsidR="009169B9" w:rsidRPr="00743C5C" w:rsidRDefault="009169B9" w:rsidP="008F06DA">
      <w:pPr>
        <w:pStyle w:val="ListParagraph"/>
        <w:numPr>
          <w:ilvl w:val="0"/>
          <w:numId w:val="8"/>
        </w:numPr>
        <w:spacing w:after="120"/>
        <w:ind w:left="397" w:hanging="397"/>
        <w:contextualSpacing w:val="0"/>
        <w:rPr>
          <w:rFonts w:ascii="Tahoma" w:hAnsi="Tahoma" w:cs="Tahoma"/>
          <w:sz w:val="16"/>
          <w:szCs w:val="20"/>
          <w:rtl/>
        </w:rPr>
      </w:pPr>
      <w:r w:rsidRPr="00743C5C">
        <w:rPr>
          <w:rFonts w:ascii="Tahoma" w:hAnsi="Tahoma" w:cs="Tahoma"/>
          <w:sz w:val="16"/>
          <w:szCs w:val="20"/>
          <w:rtl/>
        </w:rPr>
        <w:t xml:space="preserve">עם הפעלת הסדר הסולר, שלחה יחידת </w:t>
      </w:r>
      <w:proofErr w:type="spellStart"/>
      <w:r w:rsidRPr="00743C5C">
        <w:rPr>
          <w:rFonts w:ascii="Tahoma" w:hAnsi="Tahoma" w:cs="Tahoma"/>
          <w:sz w:val="16"/>
          <w:szCs w:val="20"/>
          <w:rtl/>
        </w:rPr>
        <w:t>החשבות</w:t>
      </w:r>
      <w:proofErr w:type="spellEnd"/>
      <w:r w:rsidRPr="00743C5C">
        <w:rPr>
          <w:rFonts w:ascii="Tahoma" w:hAnsi="Tahoma" w:cs="Tahoma"/>
          <w:sz w:val="16"/>
          <w:szCs w:val="20"/>
          <w:rtl/>
        </w:rPr>
        <w:t xml:space="preserve"> ברשות המיסים שוברים ידניים מיוחדים למשרדי </w:t>
      </w:r>
      <w:proofErr w:type="spellStart"/>
      <w:r w:rsidRPr="00743C5C">
        <w:rPr>
          <w:rFonts w:ascii="Tahoma" w:hAnsi="Tahoma" w:cs="Tahoma"/>
          <w:sz w:val="16"/>
          <w:szCs w:val="20"/>
          <w:rtl/>
        </w:rPr>
        <w:t>מע"ם</w:t>
      </w:r>
      <w:proofErr w:type="spellEnd"/>
      <w:r w:rsidRPr="00743C5C">
        <w:rPr>
          <w:rFonts w:ascii="Tahoma" w:hAnsi="Tahoma" w:cs="Tahoma"/>
          <w:sz w:val="16"/>
          <w:szCs w:val="20"/>
          <w:rtl/>
        </w:rPr>
        <w:t xml:space="preserve">, והנחתה אותם להשתמש בהם לביצוע התשלומים הקשורים להסדר הסולר. ההנחיה חייבה את משרדי </w:t>
      </w:r>
      <w:proofErr w:type="spellStart"/>
      <w:r w:rsidRPr="00743C5C">
        <w:rPr>
          <w:rFonts w:ascii="Tahoma" w:hAnsi="Tahoma" w:cs="Tahoma"/>
          <w:sz w:val="16"/>
          <w:szCs w:val="20"/>
          <w:rtl/>
        </w:rPr>
        <w:t>מע"ם</w:t>
      </w:r>
      <w:proofErr w:type="spellEnd"/>
      <w:r w:rsidRPr="00743C5C">
        <w:rPr>
          <w:rFonts w:ascii="Tahoma" w:hAnsi="Tahoma" w:cs="Tahoma"/>
          <w:sz w:val="16"/>
          <w:szCs w:val="20"/>
          <w:rtl/>
        </w:rPr>
        <w:t xml:space="preserve"> לרשום בשני חלקי השובר, באופן ברור ומלא, את פרטי העוסק ואת הסכום לתשלום, ולציין על גבי השובר את המילים "הסדר הסולר". יחידת </w:t>
      </w:r>
      <w:proofErr w:type="spellStart"/>
      <w:r w:rsidRPr="00743C5C">
        <w:rPr>
          <w:rFonts w:ascii="Tahoma" w:hAnsi="Tahoma" w:cs="Tahoma"/>
          <w:sz w:val="16"/>
          <w:szCs w:val="20"/>
          <w:rtl/>
        </w:rPr>
        <w:t>החשבות</w:t>
      </w:r>
      <w:proofErr w:type="spellEnd"/>
      <w:r w:rsidRPr="00743C5C">
        <w:rPr>
          <w:rFonts w:ascii="Tahoma" w:hAnsi="Tahoma" w:cs="Tahoma"/>
          <w:sz w:val="16"/>
          <w:szCs w:val="20"/>
          <w:rtl/>
        </w:rPr>
        <w:t xml:space="preserve"> הייתה אמורה לבדוק את השוברים ולשייך את התשלום של כל עוסק לחשבון שלו במערכת הסולר. </w:t>
      </w:r>
    </w:p>
    <w:p w:rsidR="009169B9" w:rsidRPr="00743C5C" w:rsidRDefault="009169B9" w:rsidP="00B406BE">
      <w:pPr>
        <w:spacing w:after="120"/>
        <w:ind w:left="397"/>
        <w:rPr>
          <w:rFonts w:ascii="Tahoma" w:hAnsi="Tahoma" w:cs="Tahoma"/>
          <w:sz w:val="16"/>
          <w:szCs w:val="20"/>
          <w:rtl/>
        </w:rPr>
      </w:pPr>
      <w:r w:rsidRPr="00743C5C">
        <w:rPr>
          <w:rFonts w:ascii="Tahoma" w:hAnsi="Tahoma" w:cs="Tahoma"/>
          <w:sz w:val="16"/>
          <w:szCs w:val="20"/>
          <w:rtl/>
        </w:rPr>
        <w:t xml:space="preserve">הביקורת הקודמת העלתה כי משרדי </w:t>
      </w:r>
      <w:proofErr w:type="spellStart"/>
      <w:r w:rsidRPr="00743C5C">
        <w:rPr>
          <w:rFonts w:ascii="Tahoma" w:hAnsi="Tahoma" w:cs="Tahoma"/>
          <w:sz w:val="16"/>
          <w:szCs w:val="20"/>
          <w:rtl/>
        </w:rPr>
        <w:t>מע"ם</w:t>
      </w:r>
      <w:proofErr w:type="spellEnd"/>
      <w:r w:rsidRPr="00743C5C">
        <w:rPr>
          <w:rFonts w:ascii="Tahoma" w:hAnsi="Tahoma" w:cs="Tahoma"/>
          <w:sz w:val="16"/>
          <w:szCs w:val="20"/>
          <w:rtl/>
        </w:rPr>
        <w:t xml:space="preserve"> לא הקפידו לקיים את ההנחיה ולפיה על הנתונים המצוינים בשוברי התשלום הידניים להיות מלאים וברורים דיים. עקב כך, לפעמים </w:t>
      </w:r>
      <w:r w:rsidRPr="00743C5C">
        <w:rPr>
          <w:rFonts w:ascii="Tahoma" w:hAnsi="Tahoma" w:cs="Tahoma"/>
          <w:sz w:val="16"/>
          <w:szCs w:val="20"/>
          <w:rtl/>
        </w:rPr>
        <w:lastRenderedPageBreak/>
        <w:t xml:space="preserve">הבקרה של יחידת </w:t>
      </w:r>
      <w:proofErr w:type="spellStart"/>
      <w:r w:rsidRPr="00743C5C">
        <w:rPr>
          <w:rFonts w:ascii="Tahoma" w:hAnsi="Tahoma" w:cs="Tahoma"/>
          <w:sz w:val="16"/>
          <w:szCs w:val="20"/>
          <w:rtl/>
        </w:rPr>
        <w:t>החשבות</w:t>
      </w:r>
      <w:proofErr w:type="spellEnd"/>
      <w:r w:rsidRPr="00743C5C">
        <w:rPr>
          <w:rFonts w:ascii="Tahoma" w:hAnsi="Tahoma" w:cs="Tahoma"/>
          <w:sz w:val="16"/>
          <w:szCs w:val="20"/>
          <w:rtl/>
        </w:rPr>
        <w:t xml:space="preserve"> לא הצליחה לשייך תשלומים של עוסקים לחשבונם במערכת הממוחשבת ולזכות את החשבון. במקרה כזה פעלה רשות המיסים לקזז את החיוב מתשלומים המגיעים לעוסק, ונוצר מצב שבו העוסק שילם פעמיים את חובו לרשות המיסים.</w:t>
      </w:r>
    </w:p>
    <w:p w:rsidR="009169B9" w:rsidRPr="00743C5C" w:rsidRDefault="009169B9" w:rsidP="008F06DA">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624" w:right="284"/>
        <w:rPr>
          <w:rFonts w:ascii="Tahoma" w:hAnsi="Tahoma" w:cs="Tahoma"/>
          <w:b w:val="0"/>
          <w:bCs w:val="0"/>
          <w:sz w:val="16"/>
          <w:szCs w:val="20"/>
          <w:rtl/>
        </w:rPr>
      </w:pPr>
      <w:r w:rsidRPr="008F06DA">
        <w:rPr>
          <w:rFonts w:ascii="Tahoma" w:hAnsi="Tahoma" w:cs="Tahoma"/>
          <w:b w:val="0"/>
          <w:bCs w:val="0"/>
          <w:sz w:val="16"/>
          <w:szCs w:val="20"/>
          <w:rtl/>
        </w:rPr>
        <w:t xml:space="preserve">המעקב העלה כי הליקוי תוקן וקיימים עדכונים שוטפים. בכל רבעון מפיקה יחידת הסולר רשימה של בעלי חוב למשרדי </w:t>
      </w:r>
      <w:proofErr w:type="spellStart"/>
      <w:r w:rsidRPr="008F06DA">
        <w:rPr>
          <w:rFonts w:ascii="Tahoma" w:hAnsi="Tahoma" w:cs="Tahoma"/>
          <w:b w:val="0"/>
          <w:bCs w:val="0"/>
          <w:sz w:val="16"/>
          <w:szCs w:val="20"/>
          <w:rtl/>
        </w:rPr>
        <w:t>המע"ם</w:t>
      </w:r>
      <w:proofErr w:type="spellEnd"/>
      <w:r w:rsidRPr="008F06DA">
        <w:rPr>
          <w:rFonts w:ascii="Tahoma" w:hAnsi="Tahoma" w:cs="Tahoma"/>
          <w:b w:val="0"/>
          <w:bCs w:val="0"/>
          <w:sz w:val="16"/>
          <w:szCs w:val="20"/>
          <w:rtl/>
        </w:rPr>
        <w:t xml:space="preserve">, והם מוודאים כי בעלי החוב שילמו את חובם בצירוף פירוט של מהות התשלום. יש לראות בחיוב את פעילות רשות המיסים ויחידת הסולר לתיקון הליקוי. </w:t>
      </w:r>
    </w:p>
    <w:p w:rsidR="009169B9" w:rsidRPr="00743C5C" w:rsidRDefault="009169B9" w:rsidP="008F06DA">
      <w:pPr>
        <w:pStyle w:val="ListParagraph"/>
        <w:numPr>
          <w:ilvl w:val="0"/>
          <w:numId w:val="8"/>
        </w:numPr>
        <w:spacing w:after="120"/>
        <w:ind w:left="397" w:hanging="397"/>
        <w:contextualSpacing w:val="0"/>
        <w:rPr>
          <w:rFonts w:ascii="Tahoma" w:hAnsi="Tahoma" w:cs="Tahoma"/>
          <w:sz w:val="16"/>
          <w:szCs w:val="20"/>
          <w:rtl/>
        </w:rPr>
      </w:pPr>
      <w:r w:rsidRPr="00743C5C">
        <w:rPr>
          <w:rFonts w:ascii="Tahoma" w:hAnsi="Tahoma" w:cs="Tahoma"/>
          <w:sz w:val="16"/>
          <w:szCs w:val="20"/>
          <w:rtl/>
        </w:rPr>
        <w:t xml:space="preserve">בביקורת הקודמת הועלה כי מערכת האכיפה הממוחשבת של רשות המיסים אינה מתעדכנת בשינויים במערכת הסולר הקשורים למצב החשבון של העוסקים. יתרה מכך, לא ניתנת במערכת זו הרשאה לעיקול נכסיהם של בעלי החוב. משום כך לא ננקטים נגדם אמצעי האכיפה המצוינים בפקודת המיסים (גבייה). </w:t>
      </w:r>
    </w:p>
    <w:p w:rsidR="009169B9" w:rsidRPr="00743C5C" w:rsidRDefault="009169B9" w:rsidP="008F06DA">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624" w:right="284"/>
        <w:rPr>
          <w:rFonts w:ascii="Tahoma" w:hAnsi="Tahoma" w:cs="Tahoma"/>
          <w:b w:val="0"/>
          <w:bCs w:val="0"/>
          <w:sz w:val="16"/>
          <w:szCs w:val="20"/>
          <w:rtl/>
        </w:rPr>
      </w:pPr>
      <w:r w:rsidRPr="008F06DA">
        <w:rPr>
          <w:rFonts w:ascii="Tahoma" w:hAnsi="Tahoma" w:cs="Tahoma"/>
          <w:b w:val="0"/>
          <w:bCs w:val="0"/>
          <w:sz w:val="16"/>
          <w:szCs w:val="20"/>
          <w:rtl/>
        </w:rPr>
        <w:t xml:space="preserve">המעקב העלה כי בנושא זה לא חל שינוי ועדיין אין קשר בין מערכת הסולר לבין מערכת האכיפה של רשות המיסים. </w:t>
      </w:r>
    </w:p>
    <w:p w:rsidR="009169B9" w:rsidRPr="00743C5C" w:rsidRDefault="009169B9" w:rsidP="005F74DE">
      <w:pPr>
        <w:pStyle w:val="ListParagraph"/>
        <w:numPr>
          <w:ilvl w:val="0"/>
          <w:numId w:val="8"/>
        </w:numPr>
        <w:spacing w:after="120"/>
        <w:ind w:left="397" w:hanging="397"/>
        <w:contextualSpacing w:val="0"/>
        <w:rPr>
          <w:rFonts w:ascii="Tahoma" w:hAnsi="Tahoma" w:cs="Tahoma"/>
          <w:sz w:val="16"/>
          <w:szCs w:val="20"/>
          <w:rtl/>
        </w:rPr>
      </w:pPr>
      <w:r w:rsidRPr="00743C5C">
        <w:rPr>
          <w:rFonts w:ascii="Tahoma" w:hAnsi="Tahoma" w:cs="Tahoma"/>
          <w:sz w:val="16"/>
          <w:szCs w:val="20"/>
          <w:rtl/>
        </w:rPr>
        <w:t xml:space="preserve">על פי צו </w:t>
      </w:r>
      <w:proofErr w:type="spellStart"/>
      <w:r w:rsidRPr="00743C5C">
        <w:rPr>
          <w:rFonts w:ascii="Tahoma" w:hAnsi="Tahoma" w:cs="Tahoma"/>
          <w:sz w:val="16"/>
          <w:szCs w:val="20"/>
          <w:rtl/>
        </w:rPr>
        <w:t>ההישבון</w:t>
      </w:r>
      <w:proofErr w:type="spellEnd"/>
      <w:r w:rsidRPr="00743C5C">
        <w:rPr>
          <w:rFonts w:ascii="Tahoma" w:hAnsi="Tahoma" w:cs="Tahoma"/>
          <w:sz w:val="16"/>
          <w:szCs w:val="20"/>
          <w:rtl/>
        </w:rPr>
        <w:t xml:space="preserve">, כדי לקבל את </w:t>
      </w:r>
      <w:proofErr w:type="spellStart"/>
      <w:r w:rsidRPr="00743C5C">
        <w:rPr>
          <w:rFonts w:ascii="Tahoma" w:hAnsi="Tahoma" w:cs="Tahoma"/>
          <w:sz w:val="16"/>
          <w:szCs w:val="20"/>
          <w:rtl/>
        </w:rPr>
        <w:t>ההישבון</w:t>
      </w:r>
      <w:proofErr w:type="spellEnd"/>
      <w:r w:rsidRPr="00743C5C">
        <w:rPr>
          <w:rFonts w:ascii="Tahoma" w:hAnsi="Tahoma" w:cs="Tahoma"/>
          <w:sz w:val="16"/>
          <w:szCs w:val="20"/>
          <w:rtl/>
        </w:rPr>
        <w:t xml:space="preserve"> בגין הסדר הסולר, על הרישיון של כלי הרכב או של ציוד אחר המשמש לעבודה להיות בתוקף, ועל אגרת הרישוי שלהם להיות משולמת לתקופה שלגביה מבוקש </w:t>
      </w:r>
      <w:proofErr w:type="spellStart"/>
      <w:r w:rsidRPr="00743C5C">
        <w:rPr>
          <w:rFonts w:ascii="Tahoma" w:hAnsi="Tahoma" w:cs="Tahoma"/>
          <w:sz w:val="16"/>
          <w:szCs w:val="20"/>
          <w:rtl/>
        </w:rPr>
        <w:t>ההישבון</w:t>
      </w:r>
      <w:proofErr w:type="spellEnd"/>
      <w:r w:rsidRPr="00743C5C">
        <w:rPr>
          <w:rFonts w:ascii="Tahoma" w:hAnsi="Tahoma" w:cs="Tahoma"/>
          <w:sz w:val="16"/>
          <w:szCs w:val="20"/>
          <w:rtl/>
        </w:rPr>
        <w:t xml:space="preserve">. כמו כן עוסק יכול להגיש בקשה </w:t>
      </w:r>
      <w:proofErr w:type="spellStart"/>
      <w:r w:rsidRPr="00743C5C">
        <w:rPr>
          <w:rFonts w:ascii="Tahoma" w:hAnsi="Tahoma" w:cs="Tahoma"/>
          <w:sz w:val="16"/>
          <w:szCs w:val="20"/>
          <w:rtl/>
        </w:rPr>
        <w:t>להישבון</w:t>
      </w:r>
      <w:proofErr w:type="spellEnd"/>
      <w:r w:rsidRPr="00743C5C">
        <w:rPr>
          <w:rFonts w:ascii="Tahoma" w:hAnsi="Tahoma" w:cs="Tahoma"/>
          <w:sz w:val="16"/>
          <w:szCs w:val="20"/>
          <w:rtl/>
        </w:rPr>
        <w:t xml:space="preserve"> למפרע, לתקופה של עד שנה מיום </w:t>
      </w:r>
      <w:r w:rsidR="005F74DE">
        <w:rPr>
          <w:rFonts w:ascii="Tahoma" w:hAnsi="Tahoma" w:cs="Tahoma" w:hint="cs"/>
          <w:sz w:val="16"/>
          <w:szCs w:val="20"/>
          <w:rtl/>
        </w:rPr>
        <w:t>הוצאת החשבונית</w:t>
      </w:r>
      <w:r w:rsidRPr="00743C5C">
        <w:rPr>
          <w:rFonts w:ascii="Tahoma" w:hAnsi="Tahoma" w:cs="Tahoma"/>
          <w:sz w:val="16"/>
          <w:szCs w:val="20"/>
          <w:rtl/>
        </w:rPr>
        <w:t xml:space="preserve">. </w:t>
      </w:r>
    </w:p>
    <w:p w:rsidR="009169B9" w:rsidRPr="00743C5C" w:rsidRDefault="009169B9" w:rsidP="00B406BE">
      <w:pPr>
        <w:spacing w:after="120"/>
        <w:ind w:left="397"/>
        <w:rPr>
          <w:rFonts w:ascii="Tahoma" w:hAnsi="Tahoma" w:cs="Tahoma"/>
          <w:sz w:val="16"/>
          <w:szCs w:val="20"/>
          <w:rtl/>
        </w:rPr>
      </w:pPr>
      <w:r w:rsidRPr="00743C5C">
        <w:rPr>
          <w:rFonts w:ascii="Tahoma" w:hAnsi="Tahoma" w:cs="Tahoma"/>
          <w:sz w:val="16"/>
          <w:szCs w:val="20"/>
          <w:rtl/>
        </w:rPr>
        <w:t xml:space="preserve">הביקורת הקודמת העלתה כי כשעוסק מבקש </w:t>
      </w:r>
      <w:proofErr w:type="spellStart"/>
      <w:r w:rsidRPr="00743C5C">
        <w:rPr>
          <w:rFonts w:ascii="Tahoma" w:hAnsi="Tahoma" w:cs="Tahoma"/>
          <w:sz w:val="16"/>
          <w:szCs w:val="20"/>
          <w:rtl/>
        </w:rPr>
        <w:t>הישבון</w:t>
      </w:r>
      <w:proofErr w:type="spellEnd"/>
      <w:r w:rsidRPr="00743C5C">
        <w:rPr>
          <w:rFonts w:ascii="Tahoma" w:hAnsi="Tahoma" w:cs="Tahoma"/>
          <w:sz w:val="16"/>
          <w:szCs w:val="20"/>
          <w:rtl/>
        </w:rPr>
        <w:t xml:space="preserve"> בגין הסדר הסולר, נעשית בדיקה ממוחשבת לגבי תוקף הרישיון שהיה לו ביום בקשת </w:t>
      </w:r>
      <w:proofErr w:type="spellStart"/>
      <w:r w:rsidRPr="00743C5C">
        <w:rPr>
          <w:rFonts w:ascii="Tahoma" w:hAnsi="Tahoma" w:cs="Tahoma"/>
          <w:sz w:val="16"/>
          <w:szCs w:val="20"/>
          <w:rtl/>
        </w:rPr>
        <w:t>ההישבון</w:t>
      </w:r>
      <w:proofErr w:type="spellEnd"/>
      <w:r w:rsidRPr="00743C5C">
        <w:rPr>
          <w:rFonts w:ascii="Tahoma" w:hAnsi="Tahoma" w:cs="Tahoma"/>
          <w:sz w:val="16"/>
          <w:szCs w:val="20"/>
          <w:rtl/>
        </w:rPr>
        <w:t xml:space="preserve"> ולא על תקופת הדיווח. במצב כזה עוסק יכול לקבל </w:t>
      </w:r>
      <w:proofErr w:type="spellStart"/>
      <w:r w:rsidRPr="00743C5C">
        <w:rPr>
          <w:rFonts w:ascii="Tahoma" w:hAnsi="Tahoma" w:cs="Tahoma"/>
          <w:sz w:val="16"/>
          <w:szCs w:val="20"/>
          <w:rtl/>
        </w:rPr>
        <w:t>הישבון</w:t>
      </w:r>
      <w:proofErr w:type="spellEnd"/>
      <w:r w:rsidRPr="00743C5C">
        <w:rPr>
          <w:rFonts w:ascii="Tahoma" w:hAnsi="Tahoma" w:cs="Tahoma"/>
          <w:sz w:val="16"/>
          <w:szCs w:val="20"/>
          <w:rtl/>
        </w:rPr>
        <w:t xml:space="preserve"> סולר לתקופה הקודמת ליום הבקשה, אף שלא היו לו בה רישיון בתוקף ובלא שהאגרה שולמה. ואכן, נמצאו מקרים שבהם הבדיקה הממוחשבת אישרה </w:t>
      </w:r>
      <w:proofErr w:type="spellStart"/>
      <w:r w:rsidRPr="00743C5C">
        <w:rPr>
          <w:rFonts w:ascii="Tahoma" w:hAnsi="Tahoma" w:cs="Tahoma"/>
          <w:sz w:val="16"/>
          <w:szCs w:val="20"/>
          <w:rtl/>
        </w:rPr>
        <w:t>הישבון</w:t>
      </w:r>
      <w:proofErr w:type="spellEnd"/>
      <w:r w:rsidRPr="00743C5C">
        <w:rPr>
          <w:rFonts w:ascii="Tahoma" w:hAnsi="Tahoma" w:cs="Tahoma"/>
          <w:sz w:val="16"/>
          <w:szCs w:val="20"/>
          <w:rtl/>
        </w:rPr>
        <w:t xml:space="preserve"> כזה. בדומה לכך, אם בתקופה שלגביה הגיש העוסק בקשה </w:t>
      </w:r>
      <w:proofErr w:type="spellStart"/>
      <w:r w:rsidRPr="00743C5C">
        <w:rPr>
          <w:rFonts w:ascii="Tahoma" w:hAnsi="Tahoma" w:cs="Tahoma"/>
          <w:sz w:val="16"/>
          <w:szCs w:val="20"/>
          <w:rtl/>
        </w:rPr>
        <w:t>להישבון</w:t>
      </w:r>
      <w:proofErr w:type="spellEnd"/>
      <w:r w:rsidRPr="00743C5C">
        <w:rPr>
          <w:rFonts w:ascii="Tahoma" w:hAnsi="Tahoma" w:cs="Tahoma"/>
          <w:sz w:val="16"/>
          <w:szCs w:val="20"/>
          <w:rtl/>
        </w:rPr>
        <w:t xml:space="preserve"> היו לו רישיון בתוקף ואגרת רכב משולמת, אך ביום שבו הגיש את הבקשה לא היו לו רישיון ואגרה כאמור, לא תאשר המערכת הממוחשבת את </w:t>
      </w:r>
      <w:proofErr w:type="spellStart"/>
      <w:r w:rsidRPr="00743C5C">
        <w:rPr>
          <w:rFonts w:ascii="Tahoma" w:hAnsi="Tahoma" w:cs="Tahoma"/>
          <w:sz w:val="16"/>
          <w:szCs w:val="20"/>
          <w:rtl/>
        </w:rPr>
        <w:t>ההישבון</w:t>
      </w:r>
      <w:proofErr w:type="spellEnd"/>
      <w:r w:rsidRPr="00743C5C">
        <w:rPr>
          <w:rFonts w:ascii="Tahoma" w:hAnsi="Tahoma" w:cs="Tahoma"/>
          <w:sz w:val="16"/>
          <w:szCs w:val="20"/>
          <w:rtl/>
        </w:rPr>
        <w:t>, אף שבתקופה שלגביה הוא מבקש היו הרישיון בתוקף והאגרה משולמת.</w:t>
      </w:r>
    </w:p>
    <w:p w:rsidR="009169B9" w:rsidRPr="00743C5C" w:rsidRDefault="009169B9" w:rsidP="008F06DA">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624" w:right="284"/>
        <w:rPr>
          <w:rFonts w:ascii="Tahoma" w:hAnsi="Tahoma" w:cs="Tahoma"/>
          <w:b w:val="0"/>
          <w:bCs w:val="0"/>
          <w:sz w:val="16"/>
          <w:szCs w:val="20"/>
          <w:rtl/>
        </w:rPr>
      </w:pPr>
      <w:r w:rsidRPr="008F06DA">
        <w:rPr>
          <w:rFonts w:ascii="Tahoma" w:hAnsi="Tahoma" w:cs="Tahoma"/>
          <w:b w:val="0"/>
          <w:bCs w:val="0"/>
          <w:sz w:val="16"/>
          <w:szCs w:val="20"/>
          <w:rtl/>
        </w:rPr>
        <w:t xml:space="preserve">המעקב העלה כי הליקוי תוקן ומערכת </w:t>
      </w:r>
      <w:proofErr w:type="spellStart"/>
      <w:r w:rsidRPr="008F06DA">
        <w:rPr>
          <w:rFonts w:ascii="Tahoma" w:hAnsi="Tahoma" w:cs="Tahoma"/>
          <w:b w:val="0"/>
          <w:bCs w:val="0"/>
          <w:sz w:val="16"/>
          <w:szCs w:val="20"/>
          <w:rtl/>
        </w:rPr>
        <w:t>הישבון</w:t>
      </w:r>
      <w:proofErr w:type="spellEnd"/>
      <w:r w:rsidRPr="008F06DA">
        <w:rPr>
          <w:rFonts w:ascii="Tahoma" w:hAnsi="Tahoma" w:cs="Tahoma"/>
          <w:b w:val="0"/>
          <w:bCs w:val="0"/>
          <w:sz w:val="16"/>
          <w:szCs w:val="20"/>
          <w:rtl/>
        </w:rPr>
        <w:t xml:space="preserve"> הסולר מקבלת נתונים עדכניים על רישיונות העוסק ועל מועד תוקף הרישיון. כיום הבדיקה נעשית על התקופה שלגביה העוסק ביקש את </w:t>
      </w:r>
      <w:proofErr w:type="spellStart"/>
      <w:r w:rsidRPr="008F06DA">
        <w:rPr>
          <w:rFonts w:ascii="Tahoma" w:hAnsi="Tahoma" w:cs="Tahoma"/>
          <w:b w:val="0"/>
          <w:bCs w:val="0"/>
          <w:sz w:val="16"/>
          <w:szCs w:val="20"/>
          <w:rtl/>
        </w:rPr>
        <w:t>ההישבון</w:t>
      </w:r>
      <w:proofErr w:type="spellEnd"/>
      <w:r w:rsidRPr="008F06DA">
        <w:rPr>
          <w:rFonts w:ascii="Tahoma" w:hAnsi="Tahoma" w:cs="Tahoma"/>
          <w:b w:val="0"/>
          <w:bCs w:val="0"/>
          <w:sz w:val="16"/>
          <w:szCs w:val="20"/>
          <w:rtl/>
        </w:rPr>
        <w:t xml:space="preserve"> ולא על מועד הבקשה. מכאן שאי אפשר לקבל את ההחזר עבור התקופה שבה לא היו לרכב רישיון בתוקף או אגרה משולמת. יש לראות בחיוב את פעילות רשות המיסים ויחידת הסולר לתיקון הליקוי.</w:t>
      </w:r>
    </w:p>
    <w:p w:rsidR="009169B9" w:rsidRPr="00743C5C" w:rsidRDefault="009169B9" w:rsidP="008F06DA">
      <w:pPr>
        <w:pStyle w:val="ListParagraph"/>
        <w:numPr>
          <w:ilvl w:val="0"/>
          <w:numId w:val="8"/>
        </w:numPr>
        <w:spacing w:after="120"/>
        <w:ind w:left="397" w:hanging="397"/>
        <w:contextualSpacing w:val="0"/>
        <w:rPr>
          <w:rFonts w:ascii="Tahoma" w:hAnsi="Tahoma" w:cs="Tahoma"/>
          <w:sz w:val="16"/>
          <w:szCs w:val="20"/>
          <w:rtl/>
        </w:rPr>
      </w:pPr>
      <w:r w:rsidRPr="00743C5C">
        <w:rPr>
          <w:rFonts w:ascii="Tahoma" w:hAnsi="Tahoma" w:cs="Tahoma"/>
          <w:sz w:val="16"/>
          <w:szCs w:val="20"/>
          <w:rtl/>
        </w:rPr>
        <w:t xml:space="preserve">תקופת הדיווח לגבי בקשות </w:t>
      </w:r>
      <w:proofErr w:type="spellStart"/>
      <w:r w:rsidRPr="00743C5C">
        <w:rPr>
          <w:rFonts w:ascii="Tahoma" w:hAnsi="Tahoma" w:cs="Tahoma"/>
          <w:sz w:val="16"/>
          <w:szCs w:val="20"/>
          <w:rtl/>
        </w:rPr>
        <w:t>הישבון</w:t>
      </w:r>
      <w:proofErr w:type="spellEnd"/>
      <w:r w:rsidRPr="00743C5C">
        <w:rPr>
          <w:rFonts w:ascii="Tahoma" w:hAnsi="Tahoma" w:cs="Tahoma"/>
          <w:sz w:val="16"/>
          <w:szCs w:val="20"/>
          <w:rtl/>
        </w:rPr>
        <w:t xml:space="preserve"> היא דו-חודשית. יש כמה דרכים להגישו:</w:t>
      </w:r>
    </w:p>
    <w:p w:rsidR="009169B9" w:rsidRPr="00743C5C" w:rsidRDefault="009169B9" w:rsidP="008F06DA">
      <w:pPr>
        <w:pStyle w:val="ListParagraph"/>
        <w:numPr>
          <w:ilvl w:val="1"/>
          <w:numId w:val="9"/>
        </w:numPr>
        <w:spacing w:after="120"/>
        <w:ind w:left="794" w:hanging="397"/>
        <w:contextualSpacing w:val="0"/>
        <w:rPr>
          <w:rFonts w:ascii="Tahoma" w:hAnsi="Tahoma" w:cs="Tahoma"/>
          <w:sz w:val="16"/>
          <w:szCs w:val="20"/>
        </w:rPr>
      </w:pPr>
      <w:r w:rsidRPr="00743C5C">
        <w:rPr>
          <w:rFonts w:ascii="Tahoma" w:hAnsi="Tahoma" w:cs="Tahoma"/>
          <w:sz w:val="16"/>
          <w:szCs w:val="20"/>
          <w:rtl/>
        </w:rPr>
        <w:t>דיווח באמצעות מערכת ממוחשבת ייעודית של יצרני הדלק;</w:t>
      </w:r>
    </w:p>
    <w:p w:rsidR="009169B9" w:rsidRPr="00743C5C" w:rsidRDefault="009169B9" w:rsidP="008F06DA">
      <w:pPr>
        <w:pStyle w:val="ListParagraph"/>
        <w:numPr>
          <w:ilvl w:val="1"/>
          <w:numId w:val="9"/>
        </w:numPr>
        <w:spacing w:after="120"/>
        <w:ind w:left="794" w:hanging="397"/>
        <w:contextualSpacing w:val="0"/>
        <w:rPr>
          <w:rFonts w:ascii="Tahoma" w:hAnsi="Tahoma" w:cs="Tahoma"/>
          <w:sz w:val="16"/>
          <w:szCs w:val="20"/>
        </w:rPr>
      </w:pPr>
      <w:r w:rsidRPr="00743C5C">
        <w:rPr>
          <w:rFonts w:ascii="Tahoma" w:hAnsi="Tahoma" w:cs="Tahoma"/>
          <w:sz w:val="16"/>
          <w:szCs w:val="20"/>
          <w:rtl/>
        </w:rPr>
        <w:lastRenderedPageBreak/>
        <w:t>דיווח באמצעות מייצגים;</w:t>
      </w:r>
    </w:p>
    <w:p w:rsidR="009169B9" w:rsidRPr="00743C5C" w:rsidRDefault="009169B9" w:rsidP="008F06DA">
      <w:pPr>
        <w:pStyle w:val="ListParagraph"/>
        <w:numPr>
          <w:ilvl w:val="1"/>
          <w:numId w:val="9"/>
        </w:numPr>
        <w:spacing w:after="120"/>
        <w:ind w:left="794" w:hanging="397"/>
        <w:contextualSpacing w:val="0"/>
        <w:rPr>
          <w:rFonts w:ascii="Tahoma" w:hAnsi="Tahoma" w:cs="Tahoma"/>
          <w:sz w:val="16"/>
          <w:szCs w:val="20"/>
        </w:rPr>
      </w:pPr>
      <w:r w:rsidRPr="00743C5C">
        <w:rPr>
          <w:rFonts w:ascii="Tahoma" w:hAnsi="Tahoma" w:cs="Tahoma"/>
          <w:sz w:val="16"/>
          <w:szCs w:val="20"/>
          <w:rtl/>
        </w:rPr>
        <w:t>דיווח ישיר של העוסק באתר האינטרנט של רשות המיסים;</w:t>
      </w:r>
    </w:p>
    <w:p w:rsidR="009169B9" w:rsidRPr="00743C5C" w:rsidRDefault="009169B9" w:rsidP="008F06DA">
      <w:pPr>
        <w:pStyle w:val="ListParagraph"/>
        <w:numPr>
          <w:ilvl w:val="1"/>
          <w:numId w:val="9"/>
        </w:numPr>
        <w:spacing w:after="120"/>
        <w:ind w:left="794" w:hanging="397"/>
        <w:contextualSpacing w:val="0"/>
        <w:rPr>
          <w:rFonts w:ascii="Tahoma" w:hAnsi="Tahoma" w:cs="Tahoma"/>
          <w:sz w:val="16"/>
          <w:szCs w:val="20"/>
        </w:rPr>
      </w:pPr>
      <w:r w:rsidRPr="00743C5C">
        <w:rPr>
          <w:rFonts w:ascii="Tahoma" w:hAnsi="Tahoma" w:cs="Tahoma"/>
          <w:sz w:val="16"/>
          <w:szCs w:val="20"/>
          <w:rtl/>
        </w:rPr>
        <w:t>דיווח במדיה מגנטית;</w:t>
      </w:r>
    </w:p>
    <w:p w:rsidR="009169B9" w:rsidRPr="00743C5C" w:rsidRDefault="009169B9" w:rsidP="008F06DA">
      <w:pPr>
        <w:pStyle w:val="ListParagraph"/>
        <w:numPr>
          <w:ilvl w:val="1"/>
          <w:numId w:val="9"/>
        </w:numPr>
        <w:spacing w:after="120"/>
        <w:ind w:left="794" w:hanging="397"/>
        <w:contextualSpacing w:val="0"/>
        <w:rPr>
          <w:rFonts w:ascii="Tahoma" w:hAnsi="Tahoma" w:cs="Tahoma"/>
          <w:sz w:val="16"/>
          <w:szCs w:val="20"/>
        </w:rPr>
      </w:pPr>
      <w:r w:rsidRPr="00743C5C">
        <w:rPr>
          <w:rFonts w:ascii="Tahoma" w:hAnsi="Tahoma" w:cs="Tahoma"/>
          <w:sz w:val="16"/>
          <w:szCs w:val="20"/>
          <w:rtl/>
        </w:rPr>
        <w:t xml:space="preserve">דיווח באמצעות טופס בקשה לקבלת </w:t>
      </w:r>
      <w:proofErr w:type="spellStart"/>
      <w:r w:rsidRPr="00743C5C">
        <w:rPr>
          <w:rFonts w:ascii="Tahoma" w:hAnsi="Tahoma" w:cs="Tahoma"/>
          <w:sz w:val="16"/>
          <w:szCs w:val="20"/>
          <w:rtl/>
        </w:rPr>
        <w:t>הישבון</w:t>
      </w:r>
      <w:proofErr w:type="spellEnd"/>
      <w:r w:rsidRPr="00743C5C">
        <w:rPr>
          <w:rFonts w:ascii="Tahoma" w:hAnsi="Tahoma" w:cs="Tahoma"/>
          <w:sz w:val="16"/>
          <w:szCs w:val="20"/>
          <w:rtl/>
        </w:rPr>
        <w:t xml:space="preserve"> שנמצא בתחנות </w:t>
      </w:r>
      <w:proofErr w:type="spellStart"/>
      <w:r w:rsidRPr="00743C5C">
        <w:rPr>
          <w:rFonts w:ascii="Tahoma" w:hAnsi="Tahoma" w:cs="Tahoma"/>
          <w:sz w:val="16"/>
          <w:szCs w:val="20"/>
          <w:rtl/>
        </w:rPr>
        <w:t>מע"ם</w:t>
      </w:r>
      <w:proofErr w:type="spellEnd"/>
      <w:r w:rsidRPr="00743C5C">
        <w:rPr>
          <w:rFonts w:ascii="Tahoma" w:hAnsi="Tahoma" w:cs="Tahoma"/>
          <w:sz w:val="16"/>
          <w:szCs w:val="20"/>
          <w:rtl/>
        </w:rPr>
        <w:t xml:space="preserve"> האזוריות וביחידת הסולר.</w:t>
      </w:r>
    </w:p>
    <w:p w:rsidR="009169B9" w:rsidRPr="00743C5C" w:rsidRDefault="009169B9" w:rsidP="009169B9">
      <w:pPr>
        <w:spacing w:after="120"/>
        <w:rPr>
          <w:rFonts w:ascii="Tahoma" w:hAnsi="Tahoma" w:cs="Tahoma"/>
          <w:sz w:val="16"/>
          <w:szCs w:val="20"/>
          <w:rtl/>
        </w:rPr>
      </w:pPr>
      <w:r w:rsidRPr="00743C5C">
        <w:rPr>
          <w:rFonts w:ascii="Tahoma" w:hAnsi="Tahoma" w:cs="Tahoma"/>
          <w:sz w:val="16"/>
          <w:szCs w:val="20"/>
          <w:rtl/>
        </w:rPr>
        <w:t xml:space="preserve">על פי נתוני רשות המיסים בשנת 2018, 99% מהבקשות </w:t>
      </w:r>
      <w:proofErr w:type="spellStart"/>
      <w:r w:rsidRPr="00743C5C">
        <w:rPr>
          <w:rFonts w:ascii="Tahoma" w:hAnsi="Tahoma" w:cs="Tahoma"/>
          <w:sz w:val="16"/>
          <w:szCs w:val="20"/>
          <w:rtl/>
        </w:rPr>
        <w:t>להישבון</w:t>
      </w:r>
      <w:proofErr w:type="spellEnd"/>
      <w:r w:rsidRPr="00743C5C">
        <w:rPr>
          <w:rFonts w:ascii="Tahoma" w:hAnsi="Tahoma" w:cs="Tahoma"/>
          <w:sz w:val="16"/>
          <w:szCs w:val="20"/>
          <w:rtl/>
        </w:rPr>
        <w:t xml:space="preserve"> סולר הוגשו באופן מקוון: </w:t>
      </w:r>
      <w:r>
        <w:rPr>
          <w:rFonts w:ascii="Tahoma" w:hAnsi="Tahoma" w:cs="Tahoma"/>
          <w:sz w:val="16"/>
          <w:szCs w:val="20"/>
          <w:rtl/>
        </w:rPr>
        <w:br/>
      </w:r>
      <w:r w:rsidRPr="00743C5C">
        <w:rPr>
          <w:rFonts w:ascii="Tahoma" w:hAnsi="Tahoma" w:cs="Tahoma"/>
          <w:sz w:val="16"/>
          <w:szCs w:val="20"/>
          <w:rtl/>
        </w:rPr>
        <w:t xml:space="preserve">כ-65% הוגשו על ידי מייצג, כ-30% אחוזים הוגשו באמצעות אתר האינטרנט של רשות המיסים וכ-4% הוגשו באמצעות מערכת ממוחשבת ייעודית של יצרני הדלק. אחוז אחד מכלל הבקשות </w:t>
      </w:r>
      <w:proofErr w:type="spellStart"/>
      <w:r w:rsidRPr="00743C5C">
        <w:rPr>
          <w:rFonts w:ascii="Tahoma" w:hAnsi="Tahoma" w:cs="Tahoma"/>
          <w:sz w:val="16"/>
          <w:szCs w:val="20"/>
          <w:rtl/>
        </w:rPr>
        <w:t>להישבון</w:t>
      </w:r>
      <w:proofErr w:type="spellEnd"/>
      <w:r w:rsidRPr="00743C5C">
        <w:rPr>
          <w:rFonts w:ascii="Tahoma" w:hAnsi="Tahoma" w:cs="Tahoma"/>
          <w:sz w:val="16"/>
          <w:szCs w:val="20"/>
          <w:rtl/>
        </w:rPr>
        <w:t xml:space="preserve"> סולר הוגשו באופן ידני. יש לראות בחיוב את נושא הגשת הבקשות </w:t>
      </w:r>
      <w:proofErr w:type="spellStart"/>
      <w:r w:rsidRPr="00743C5C">
        <w:rPr>
          <w:rFonts w:ascii="Tahoma" w:hAnsi="Tahoma" w:cs="Tahoma"/>
          <w:sz w:val="16"/>
          <w:szCs w:val="20"/>
          <w:rtl/>
        </w:rPr>
        <w:t>להישבון</w:t>
      </w:r>
      <w:proofErr w:type="spellEnd"/>
      <w:r w:rsidRPr="00743C5C">
        <w:rPr>
          <w:rFonts w:ascii="Tahoma" w:hAnsi="Tahoma" w:cs="Tahoma"/>
          <w:sz w:val="16"/>
          <w:szCs w:val="20"/>
          <w:rtl/>
        </w:rPr>
        <w:t xml:space="preserve"> באופן ממוחשב.</w:t>
      </w:r>
    </w:p>
    <w:p w:rsidR="009169B9" w:rsidRPr="00743C5C" w:rsidRDefault="009169B9" w:rsidP="008F06DA">
      <w:pPr>
        <w:pStyle w:val="BodyTextIndent"/>
        <w:rPr>
          <w:rtl/>
        </w:rPr>
      </w:pPr>
      <w:r w:rsidRPr="00743C5C">
        <w:rPr>
          <w:rtl/>
        </w:rPr>
        <w:t xml:space="preserve">הביקורת הקודמת העלתה כי המערכת הממוחשבת אינה מגבילה את מספר הדרישות </w:t>
      </w:r>
      <w:proofErr w:type="spellStart"/>
      <w:r w:rsidRPr="00743C5C">
        <w:rPr>
          <w:rtl/>
        </w:rPr>
        <w:t>להישבון</w:t>
      </w:r>
      <w:proofErr w:type="spellEnd"/>
      <w:r w:rsidRPr="00743C5C">
        <w:rPr>
          <w:rtl/>
        </w:rPr>
        <w:t xml:space="preserve"> שעוסק יכול להגיש על כלי רכב בדיווח התקופתי שהוא מוסר, כל עוד הוא לא חרג מתקרת הצריכה שנקבעה. כך, אם עוסק הגיש כמה פעמים בקשה </w:t>
      </w:r>
      <w:proofErr w:type="spellStart"/>
      <w:r w:rsidRPr="00743C5C">
        <w:rPr>
          <w:rtl/>
        </w:rPr>
        <w:t>להישבון</w:t>
      </w:r>
      <w:proofErr w:type="spellEnd"/>
      <w:r w:rsidRPr="00743C5C">
        <w:rPr>
          <w:rtl/>
        </w:rPr>
        <w:t xml:space="preserve"> באמצעים שונים, כגון פעם אחת באמצעות האינטרנט ופעם שנייה באמצעות מייצג או באמצעות טופס הבקשה, הוא יקבל </w:t>
      </w:r>
      <w:proofErr w:type="spellStart"/>
      <w:r w:rsidRPr="00743C5C">
        <w:rPr>
          <w:rtl/>
        </w:rPr>
        <w:t>הישבון</w:t>
      </w:r>
      <w:proofErr w:type="spellEnd"/>
      <w:r w:rsidRPr="00743C5C">
        <w:rPr>
          <w:rtl/>
        </w:rPr>
        <w:t xml:space="preserve"> כפול ואף יותר מכך בתנאי שלא חרג מתקרת הצריכה שנקבעה. </w:t>
      </w:r>
    </w:p>
    <w:p w:rsidR="009169B9" w:rsidRPr="00743C5C" w:rsidRDefault="009169B9" w:rsidP="008F06DA">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Pr>
      </w:pPr>
      <w:r w:rsidRPr="008F06DA">
        <w:rPr>
          <w:rFonts w:ascii="Tahoma" w:hAnsi="Tahoma" w:cs="Tahoma"/>
          <w:b w:val="0"/>
          <w:bCs w:val="0"/>
          <w:sz w:val="16"/>
          <w:szCs w:val="20"/>
          <w:rtl/>
        </w:rPr>
        <w:t xml:space="preserve">ביקורת המעקב העלתה כי עד למועד סיום הביקורת במאי 2019, לא חל כל שינוי בנושא זה. עוסק עדיין יכול להגיש מספר דרישות </w:t>
      </w:r>
      <w:proofErr w:type="spellStart"/>
      <w:r w:rsidRPr="008F06DA">
        <w:rPr>
          <w:rFonts w:ascii="Tahoma" w:hAnsi="Tahoma" w:cs="Tahoma"/>
          <w:b w:val="0"/>
          <w:bCs w:val="0"/>
          <w:sz w:val="16"/>
          <w:szCs w:val="20"/>
          <w:rtl/>
        </w:rPr>
        <w:t>להישבון</w:t>
      </w:r>
      <w:proofErr w:type="spellEnd"/>
      <w:r w:rsidRPr="008F06DA">
        <w:rPr>
          <w:rFonts w:ascii="Tahoma" w:hAnsi="Tahoma" w:cs="Tahoma"/>
          <w:b w:val="0"/>
          <w:bCs w:val="0"/>
          <w:sz w:val="16"/>
          <w:szCs w:val="20"/>
          <w:rtl/>
        </w:rPr>
        <w:t xml:space="preserve"> הסולר ללא בקרה על מספר הפעמים שהגיש. על פי בירור שנעשה ביחידת הסולר מדובר במאות מקרים בכל חודש.</w:t>
      </w:r>
    </w:p>
    <w:p w:rsidR="009169B9" w:rsidRPr="00743C5C" w:rsidRDefault="009169B9" w:rsidP="008F06DA">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8F06DA">
        <w:rPr>
          <w:rFonts w:ascii="Tahoma" w:hAnsi="Tahoma" w:cs="Tahoma"/>
          <w:b w:val="0"/>
          <w:bCs w:val="0"/>
          <w:sz w:val="16"/>
          <w:szCs w:val="20"/>
          <w:rtl/>
        </w:rPr>
        <w:t xml:space="preserve">משרד מבקר המדינה ממליץ לרשות המיסים להפעיל אמצעי בקרה כדי למנוע </w:t>
      </w:r>
      <w:proofErr w:type="spellStart"/>
      <w:r w:rsidRPr="008F06DA">
        <w:rPr>
          <w:rFonts w:ascii="Tahoma" w:hAnsi="Tahoma" w:cs="Tahoma"/>
          <w:b w:val="0"/>
          <w:bCs w:val="0"/>
          <w:sz w:val="16"/>
          <w:szCs w:val="20"/>
          <w:rtl/>
        </w:rPr>
        <w:t>מעוסק</w:t>
      </w:r>
      <w:proofErr w:type="spellEnd"/>
      <w:r w:rsidRPr="008F06DA">
        <w:rPr>
          <w:rFonts w:ascii="Tahoma" w:hAnsi="Tahoma" w:cs="Tahoma"/>
          <w:b w:val="0"/>
          <w:bCs w:val="0"/>
          <w:sz w:val="16"/>
          <w:szCs w:val="20"/>
          <w:rtl/>
        </w:rPr>
        <w:t xml:space="preserve"> להגיש דיווחים כפולים בגין אותו כלי רכב ולהשתמש מספר פעמים באותן חשבוניות. כמו כן, על רשות המיסים לבחון את הבקשות להחזרים של עוסקים שביקשו, במסגרת הסדר הסולר, מספר פעמים החזר המתייחס לאותה תקופת דיווח, כדי לוודא שאין כפילות.</w:t>
      </w:r>
    </w:p>
    <w:p w:rsidR="009169B9" w:rsidRPr="00743C5C" w:rsidRDefault="009169B9" w:rsidP="009169B9">
      <w:pPr>
        <w:spacing w:after="120"/>
        <w:rPr>
          <w:rFonts w:ascii="Tahoma" w:hAnsi="Tahoma" w:cs="Tahoma"/>
          <w:sz w:val="16"/>
          <w:szCs w:val="20"/>
          <w:rtl/>
        </w:rPr>
      </w:pPr>
      <w:r w:rsidRPr="00743C5C">
        <w:rPr>
          <w:rFonts w:ascii="Tahoma" w:hAnsi="Tahoma" w:cs="Tahoma"/>
          <w:sz w:val="16"/>
          <w:szCs w:val="20"/>
          <w:rtl/>
        </w:rPr>
        <w:t>רשות המיסים ציינה בתשובתה כי פתרון אפשרי הוא "באמצעות טכנולוגיה וחקיקה כך שההוצאות תהיינה חד-חד ערכיות... הרשות פועלת ופעלה בנושא (</w:t>
      </w:r>
      <w:proofErr w:type="spellStart"/>
      <w:r w:rsidRPr="00743C5C">
        <w:rPr>
          <w:rFonts w:ascii="Tahoma" w:hAnsi="Tahoma" w:cs="Tahoma"/>
          <w:sz w:val="16"/>
          <w:szCs w:val="20"/>
          <w:rtl/>
        </w:rPr>
        <w:t>דלקן</w:t>
      </w:r>
      <w:proofErr w:type="spellEnd"/>
      <w:r w:rsidRPr="00743C5C">
        <w:rPr>
          <w:rFonts w:ascii="Tahoma" w:hAnsi="Tahoma" w:cs="Tahoma"/>
          <w:sz w:val="16"/>
          <w:szCs w:val="20"/>
          <w:rtl/>
        </w:rPr>
        <w:t xml:space="preserve"> אוניברסלי) והדבר יקבל ביטוי בחקיקה המוצעת בנושא </w:t>
      </w:r>
      <w:proofErr w:type="spellStart"/>
      <w:r w:rsidRPr="00743C5C">
        <w:rPr>
          <w:rFonts w:ascii="Tahoma" w:hAnsi="Tahoma" w:cs="Tahoma"/>
          <w:sz w:val="16"/>
          <w:szCs w:val="20"/>
          <w:rtl/>
        </w:rPr>
        <w:t>דלקנים</w:t>
      </w:r>
      <w:proofErr w:type="spellEnd"/>
      <w:r w:rsidRPr="00743C5C">
        <w:rPr>
          <w:rFonts w:ascii="Tahoma" w:hAnsi="Tahoma" w:cs="Tahoma"/>
          <w:sz w:val="16"/>
          <w:szCs w:val="20"/>
          <w:rtl/>
        </w:rPr>
        <w:t xml:space="preserve"> והוראות ניהול ספרים כפועל יוצא".</w:t>
      </w:r>
    </w:p>
    <w:p w:rsidR="009169B9" w:rsidRPr="00530118" w:rsidRDefault="009169B9" w:rsidP="00530118">
      <w:pPr>
        <w:pStyle w:val="31"/>
        <w:rPr>
          <w:rtl/>
        </w:rPr>
      </w:pPr>
      <w:r w:rsidRPr="00530118">
        <w:rPr>
          <w:rtl/>
        </w:rPr>
        <w:t xml:space="preserve">ליקויים בטיפול של משרדי </w:t>
      </w:r>
      <w:proofErr w:type="spellStart"/>
      <w:r w:rsidRPr="00530118">
        <w:rPr>
          <w:rtl/>
        </w:rPr>
        <w:t>מע"ם</w:t>
      </w:r>
      <w:proofErr w:type="spellEnd"/>
    </w:p>
    <w:p w:rsidR="009169B9" w:rsidRPr="00743C5C" w:rsidRDefault="009169B9" w:rsidP="008F06DA">
      <w:pPr>
        <w:pStyle w:val="ListParagraph"/>
        <w:numPr>
          <w:ilvl w:val="6"/>
          <w:numId w:val="8"/>
        </w:numPr>
        <w:spacing w:after="120"/>
        <w:ind w:left="397" w:hanging="397"/>
        <w:contextualSpacing w:val="0"/>
        <w:rPr>
          <w:rFonts w:ascii="Tahoma" w:hAnsi="Tahoma" w:cs="Tahoma"/>
          <w:sz w:val="16"/>
          <w:szCs w:val="20"/>
          <w:rtl/>
        </w:rPr>
      </w:pPr>
      <w:r w:rsidRPr="00743C5C">
        <w:rPr>
          <w:rFonts w:ascii="Tahoma" w:hAnsi="Tahoma" w:cs="Tahoma"/>
          <w:sz w:val="16"/>
          <w:szCs w:val="20"/>
          <w:rtl/>
        </w:rPr>
        <w:t xml:space="preserve">על פי הנחיה של מנהל תחום בכיר של אגף </w:t>
      </w:r>
      <w:proofErr w:type="spellStart"/>
      <w:r w:rsidRPr="00743C5C">
        <w:rPr>
          <w:rFonts w:ascii="Tahoma" w:hAnsi="Tahoma" w:cs="Tahoma"/>
          <w:sz w:val="16"/>
          <w:szCs w:val="20"/>
          <w:rtl/>
        </w:rPr>
        <w:t>המע"ם</w:t>
      </w:r>
      <w:proofErr w:type="spellEnd"/>
      <w:r w:rsidRPr="00743C5C">
        <w:rPr>
          <w:rFonts w:ascii="Tahoma" w:hAnsi="Tahoma" w:cs="Tahoma"/>
          <w:sz w:val="16"/>
          <w:szCs w:val="20"/>
          <w:rtl/>
        </w:rPr>
        <w:t xml:space="preserve"> משנת 2013, על כל מבקר חשבונות במשרד </w:t>
      </w:r>
      <w:proofErr w:type="spellStart"/>
      <w:r w:rsidRPr="00743C5C">
        <w:rPr>
          <w:rFonts w:ascii="Tahoma" w:hAnsi="Tahoma" w:cs="Tahoma"/>
          <w:sz w:val="16"/>
          <w:szCs w:val="20"/>
          <w:rtl/>
        </w:rPr>
        <w:t>מע"ם</w:t>
      </w:r>
      <w:proofErr w:type="spellEnd"/>
      <w:r w:rsidRPr="00743C5C">
        <w:rPr>
          <w:rFonts w:ascii="Tahoma" w:hAnsi="Tahoma" w:cs="Tahoma"/>
          <w:sz w:val="16"/>
          <w:szCs w:val="20"/>
          <w:rtl/>
        </w:rPr>
        <w:t xml:space="preserve"> אזורי לכלול בביקורת שהוא מבצע מדי שנה בדיקות של שלושה תיקים של עוסקים שנכללים בהסדר הסולר. </w:t>
      </w:r>
    </w:p>
    <w:p w:rsidR="009169B9" w:rsidRPr="00743C5C" w:rsidRDefault="009169B9" w:rsidP="00B406BE">
      <w:pPr>
        <w:spacing w:after="120"/>
        <w:ind w:left="397"/>
        <w:rPr>
          <w:rFonts w:ascii="Tahoma" w:hAnsi="Tahoma" w:cs="Tahoma"/>
          <w:sz w:val="16"/>
          <w:szCs w:val="20"/>
        </w:rPr>
      </w:pPr>
      <w:r w:rsidRPr="00743C5C">
        <w:rPr>
          <w:rFonts w:ascii="Tahoma" w:hAnsi="Tahoma" w:cs="Tahoma"/>
          <w:sz w:val="16"/>
          <w:szCs w:val="20"/>
          <w:rtl/>
        </w:rPr>
        <w:t xml:space="preserve">בביקורת הקודמת נמצא כי המשרדים האזוריים ביצעו בשנת 2013 ביקורת חשבונות בתיקיהם של כ-75% ממכסת העוסקים שהגישו בקשות להחזרים בגין הסדר הסולר. </w:t>
      </w:r>
      <w:r w:rsidRPr="00743C5C">
        <w:rPr>
          <w:rFonts w:ascii="Tahoma" w:hAnsi="Tahoma" w:cs="Tahoma"/>
          <w:sz w:val="16"/>
          <w:szCs w:val="20"/>
          <w:rtl/>
        </w:rPr>
        <w:lastRenderedPageBreak/>
        <w:t xml:space="preserve">ביקורת חשבונות לגבי תיקי עוסקים חשובה לגילוי דיווחים שאינם נכונים, בייחוד במצב שבו נבדק רק מספר מועט של עוסקים. הימנעותם של משרדי </w:t>
      </w:r>
      <w:proofErr w:type="spellStart"/>
      <w:r w:rsidRPr="00743C5C">
        <w:rPr>
          <w:rFonts w:ascii="Tahoma" w:hAnsi="Tahoma" w:cs="Tahoma"/>
          <w:sz w:val="16"/>
          <w:szCs w:val="20"/>
          <w:rtl/>
        </w:rPr>
        <w:t>מע"ם</w:t>
      </w:r>
      <w:proofErr w:type="spellEnd"/>
      <w:r w:rsidRPr="00743C5C">
        <w:rPr>
          <w:rFonts w:ascii="Tahoma" w:hAnsi="Tahoma" w:cs="Tahoma"/>
          <w:sz w:val="16"/>
          <w:szCs w:val="20"/>
          <w:rtl/>
        </w:rPr>
        <w:t xml:space="preserve"> למלא אחר ההנחיות ולבצע את כמות הבדיקות הנדרשת, גורמת לאיבוד ההרתעה של רשות המיסים כלפי ציבור העוסקים. </w:t>
      </w:r>
    </w:p>
    <w:p w:rsidR="009169B9" w:rsidRPr="00743C5C" w:rsidRDefault="009169B9" w:rsidP="008F06DA">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624" w:right="284"/>
        <w:rPr>
          <w:rFonts w:ascii="Tahoma" w:hAnsi="Tahoma" w:cs="Tahoma"/>
          <w:b w:val="0"/>
          <w:bCs w:val="0"/>
          <w:sz w:val="16"/>
          <w:szCs w:val="20"/>
          <w:rtl/>
        </w:rPr>
      </w:pPr>
      <w:r w:rsidRPr="008F06DA">
        <w:rPr>
          <w:rFonts w:ascii="Tahoma" w:hAnsi="Tahoma" w:cs="Tahoma"/>
          <w:b w:val="0"/>
          <w:bCs w:val="0"/>
          <w:sz w:val="16"/>
          <w:szCs w:val="20"/>
          <w:rtl/>
        </w:rPr>
        <w:t>המעקב העלה כי החל מינואר 2018, גדלה מכסת התיקים לביצוע ביקורת חשבונות של עוסקים שכלולים בהסדר הסולר משלושה תיקים לכל מבקר חשבונות לארבעה תיקים בשנה. עוד נמצא כי הליקוי תוקן והמשרדים האזוריים עמדו בשנת 2018 במכסת התיקים שנקבעה להם לביצוע ביקורת חשבונות.</w:t>
      </w:r>
    </w:p>
    <w:p w:rsidR="009169B9" w:rsidRPr="00743C5C" w:rsidRDefault="009169B9" w:rsidP="008F06DA">
      <w:pPr>
        <w:pStyle w:val="ListParagraph"/>
        <w:numPr>
          <w:ilvl w:val="6"/>
          <w:numId w:val="8"/>
        </w:numPr>
        <w:spacing w:after="120"/>
        <w:ind w:left="397" w:hanging="397"/>
        <w:contextualSpacing w:val="0"/>
        <w:rPr>
          <w:rFonts w:ascii="Tahoma" w:hAnsi="Tahoma" w:cs="Tahoma"/>
          <w:sz w:val="16"/>
          <w:szCs w:val="20"/>
          <w:rtl/>
        </w:rPr>
      </w:pPr>
      <w:r w:rsidRPr="00743C5C">
        <w:rPr>
          <w:rFonts w:ascii="Tahoma" w:hAnsi="Tahoma" w:cs="Tahoma"/>
          <w:sz w:val="16"/>
          <w:szCs w:val="20"/>
          <w:rtl/>
        </w:rPr>
        <w:t xml:space="preserve">היחידה הכלכלית מכינה מדי שנה רשימה של עוסקים שכלולים בהסדר הסולר ושהדיווחים שלהם היו חריגים. בין היתר נמצא כי סך ההוצאות שהוציאו על סולר היה גבוה יחסית לכלל ההוצאות שלהם, ולעיתים אף עלה על סך המחזור הכספי. פער זה מעלה את החשש שהדיווח שמסרו עוסקים אלה לא היה נכון. משרדי </w:t>
      </w:r>
      <w:proofErr w:type="spellStart"/>
      <w:r w:rsidRPr="00743C5C">
        <w:rPr>
          <w:rFonts w:ascii="Tahoma" w:hAnsi="Tahoma" w:cs="Tahoma"/>
          <w:sz w:val="16"/>
          <w:szCs w:val="20"/>
          <w:rtl/>
        </w:rPr>
        <w:t>מע"ם</w:t>
      </w:r>
      <w:proofErr w:type="spellEnd"/>
      <w:r w:rsidRPr="00743C5C">
        <w:rPr>
          <w:rFonts w:ascii="Tahoma" w:hAnsi="Tahoma" w:cs="Tahoma"/>
          <w:sz w:val="16"/>
          <w:szCs w:val="20"/>
          <w:rtl/>
        </w:rPr>
        <w:t xml:space="preserve"> האזוריים מקבלים באמצעים דיגיטליים את הרשימה שהיחידה הכלכלית מכינה. משרדים אלה קיבלו הנחיה לבחור את העוסקים שתיעשה עליהם ביקורת, מבין העוסקים שכבר מצויים בתהליך של ביקורת או מתוך הרשימה שהיחידה הכלכלית העבירה.</w:t>
      </w:r>
    </w:p>
    <w:p w:rsidR="009169B9" w:rsidRPr="00743C5C" w:rsidRDefault="009169B9" w:rsidP="00B406BE">
      <w:pPr>
        <w:spacing w:after="120"/>
        <w:ind w:left="397"/>
        <w:rPr>
          <w:rFonts w:ascii="Tahoma" w:hAnsi="Tahoma" w:cs="Tahoma"/>
          <w:sz w:val="16"/>
          <w:szCs w:val="20"/>
        </w:rPr>
      </w:pPr>
      <w:r w:rsidRPr="00743C5C">
        <w:rPr>
          <w:rFonts w:ascii="Tahoma" w:hAnsi="Tahoma" w:cs="Tahoma"/>
          <w:sz w:val="16"/>
          <w:szCs w:val="20"/>
          <w:rtl/>
        </w:rPr>
        <w:t xml:space="preserve">בביקורת הקודמת נמצא כי משרדי </w:t>
      </w:r>
      <w:proofErr w:type="spellStart"/>
      <w:r w:rsidRPr="00743C5C">
        <w:rPr>
          <w:rFonts w:ascii="Tahoma" w:hAnsi="Tahoma" w:cs="Tahoma"/>
          <w:sz w:val="16"/>
          <w:szCs w:val="20"/>
          <w:rtl/>
        </w:rPr>
        <w:t>מע"ם</w:t>
      </w:r>
      <w:proofErr w:type="spellEnd"/>
      <w:r w:rsidRPr="00743C5C">
        <w:rPr>
          <w:rFonts w:ascii="Tahoma" w:hAnsi="Tahoma" w:cs="Tahoma"/>
          <w:sz w:val="16"/>
          <w:szCs w:val="20"/>
          <w:rtl/>
        </w:rPr>
        <w:t xml:space="preserve"> לא השתמשו ברשימה שמסרה להם היחידה הכלכלית. כך הם לא מימשו את הפוטנציאל הרב הגלום בביקורת חשבונות לגבי תיקי עוסקים שהדיווחים שהם מסרו היו חריגים ולא תאמו את המחזור הכספי שלהם. </w:t>
      </w:r>
    </w:p>
    <w:p w:rsidR="009169B9" w:rsidRPr="00743C5C" w:rsidRDefault="009169B9" w:rsidP="005F74DE">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624" w:right="284"/>
        <w:rPr>
          <w:rFonts w:ascii="Tahoma" w:hAnsi="Tahoma" w:cs="Tahoma"/>
          <w:b w:val="0"/>
          <w:bCs w:val="0"/>
          <w:sz w:val="16"/>
          <w:szCs w:val="20"/>
        </w:rPr>
      </w:pPr>
      <w:r w:rsidRPr="008F06DA">
        <w:rPr>
          <w:rFonts w:ascii="Tahoma" w:hAnsi="Tahoma" w:cs="Tahoma"/>
          <w:b w:val="0"/>
          <w:bCs w:val="0"/>
          <w:sz w:val="16"/>
          <w:szCs w:val="20"/>
          <w:rtl/>
        </w:rPr>
        <w:t xml:space="preserve">המעקב העלה כי לא חל שינוי. כך, על פי נתוני רשות המסים, ברשימה שהפיצה היחידה הכלכלית בתחילת שנת 2018, היו כ-600 עוסקים שהיחס בין היקף הוצאות הסולר שדיווחו לבין מחזור העסקאות שלהם לא היה סביר. הועלה כי גם במועד הביקורת הנוכחי משרדי </w:t>
      </w:r>
      <w:proofErr w:type="spellStart"/>
      <w:r w:rsidRPr="008F06DA">
        <w:rPr>
          <w:rFonts w:ascii="Tahoma" w:hAnsi="Tahoma" w:cs="Tahoma"/>
          <w:b w:val="0"/>
          <w:bCs w:val="0"/>
          <w:sz w:val="16"/>
          <w:szCs w:val="20"/>
          <w:rtl/>
        </w:rPr>
        <w:t>המע"ם</w:t>
      </w:r>
      <w:proofErr w:type="spellEnd"/>
      <w:r w:rsidRPr="008F06DA">
        <w:rPr>
          <w:rFonts w:ascii="Tahoma" w:hAnsi="Tahoma" w:cs="Tahoma"/>
          <w:b w:val="0"/>
          <w:bCs w:val="0"/>
          <w:sz w:val="16"/>
          <w:szCs w:val="20"/>
          <w:rtl/>
        </w:rPr>
        <w:t xml:space="preserve"> לא משתמשים ברשימות שמוסרת להם היחידה הכלכלית על חריגות בדיווחי העוסקים, והם לא כוללים אותן בביקורת חשבונות. </w:t>
      </w:r>
    </w:p>
    <w:p w:rsidR="009169B9" w:rsidRPr="00743C5C" w:rsidRDefault="009169B9" w:rsidP="008F06DA">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624" w:right="284"/>
        <w:rPr>
          <w:rFonts w:ascii="Tahoma" w:hAnsi="Tahoma" w:cs="Tahoma"/>
          <w:b w:val="0"/>
          <w:bCs w:val="0"/>
          <w:sz w:val="16"/>
          <w:szCs w:val="20"/>
        </w:rPr>
      </w:pPr>
      <w:r w:rsidRPr="008F06DA">
        <w:rPr>
          <w:rFonts w:ascii="Tahoma" w:hAnsi="Tahoma" w:cs="Tahoma"/>
          <w:b w:val="0"/>
          <w:bCs w:val="0"/>
          <w:sz w:val="16"/>
          <w:szCs w:val="20"/>
          <w:rtl/>
        </w:rPr>
        <w:t>משרד מבקר המדינה בדק 62 דיווחים של עוסקים, שהיחידה הכלכלית</w:t>
      </w:r>
      <w:r w:rsidRPr="00743C5C">
        <w:rPr>
          <w:rFonts w:ascii="Tahoma" w:hAnsi="Tahoma" w:cs="Tahoma"/>
          <w:sz w:val="16"/>
          <w:szCs w:val="20"/>
          <w:rtl/>
        </w:rPr>
        <w:t xml:space="preserve"> </w:t>
      </w:r>
      <w:r w:rsidRPr="008F06DA">
        <w:rPr>
          <w:rFonts w:ascii="Tahoma" w:hAnsi="Tahoma" w:cs="Tahoma"/>
          <w:b w:val="0"/>
          <w:bCs w:val="0"/>
          <w:sz w:val="16"/>
          <w:szCs w:val="20"/>
          <w:rtl/>
        </w:rPr>
        <w:t xml:space="preserve">הכלילה אותם ברשימה של דרישות </w:t>
      </w:r>
      <w:proofErr w:type="spellStart"/>
      <w:r w:rsidRPr="008F06DA">
        <w:rPr>
          <w:rFonts w:ascii="Tahoma" w:hAnsi="Tahoma" w:cs="Tahoma"/>
          <w:b w:val="0"/>
          <w:bCs w:val="0"/>
          <w:sz w:val="16"/>
          <w:szCs w:val="20"/>
          <w:rtl/>
        </w:rPr>
        <w:t>להישבון</w:t>
      </w:r>
      <w:proofErr w:type="spellEnd"/>
      <w:r w:rsidRPr="008F06DA">
        <w:rPr>
          <w:rFonts w:ascii="Tahoma" w:hAnsi="Tahoma" w:cs="Tahoma"/>
          <w:b w:val="0"/>
          <w:bCs w:val="0"/>
          <w:sz w:val="16"/>
          <w:szCs w:val="20"/>
          <w:rtl/>
        </w:rPr>
        <w:t xml:space="preserve"> בגין הסדר הסולר שאינן סבירות ביחס למחזור העסקאות שעליהם דיווחו. כך לדוגמה, עוסק א' דרש וקיבל בשנת 2016 החזר בגין צריכה של סולר בערך של כ-1 מיליון ש"ח, בעוד המחזור הכספי שלו בשנה זו היה כ-1.5 מיליון ש"ח (כ-67%). בדומה לכך דרש וקיבל גם עוסק ב' בשנת 2016 החזר בגין צריכה של סולר בערך של כ-16 מיליון ש"ח, בעוד המחזור הכספי שלו בשנה זו היה כ-18.4 מיליון ש"ח (כ-87%). משרדי </w:t>
      </w:r>
      <w:proofErr w:type="spellStart"/>
      <w:r w:rsidRPr="008F06DA">
        <w:rPr>
          <w:rFonts w:ascii="Tahoma" w:hAnsi="Tahoma" w:cs="Tahoma"/>
          <w:b w:val="0"/>
          <w:bCs w:val="0"/>
          <w:sz w:val="16"/>
          <w:szCs w:val="20"/>
          <w:rtl/>
        </w:rPr>
        <w:t>המע"ם</w:t>
      </w:r>
      <w:proofErr w:type="spellEnd"/>
      <w:r w:rsidRPr="008F06DA">
        <w:rPr>
          <w:rFonts w:ascii="Tahoma" w:hAnsi="Tahoma" w:cs="Tahoma"/>
          <w:b w:val="0"/>
          <w:bCs w:val="0"/>
          <w:sz w:val="16"/>
          <w:szCs w:val="20"/>
          <w:rtl/>
        </w:rPr>
        <w:t xml:space="preserve"> היו אמורים לערוך לעוסקים אלה ביקורת חשבונות. נמצא כי משרדי </w:t>
      </w:r>
      <w:proofErr w:type="spellStart"/>
      <w:r w:rsidRPr="008F06DA">
        <w:rPr>
          <w:rFonts w:ascii="Tahoma" w:hAnsi="Tahoma" w:cs="Tahoma"/>
          <w:b w:val="0"/>
          <w:bCs w:val="0"/>
          <w:sz w:val="16"/>
          <w:szCs w:val="20"/>
          <w:rtl/>
        </w:rPr>
        <w:t>מע"ם</w:t>
      </w:r>
      <w:proofErr w:type="spellEnd"/>
      <w:r w:rsidRPr="008F06DA">
        <w:rPr>
          <w:rFonts w:ascii="Tahoma" w:hAnsi="Tahoma" w:cs="Tahoma"/>
          <w:b w:val="0"/>
          <w:bCs w:val="0"/>
          <w:sz w:val="16"/>
          <w:szCs w:val="20"/>
          <w:rtl/>
        </w:rPr>
        <w:t xml:space="preserve"> בדקו רק את הדיווחים של 6 מתוך 62 העוסקים (כ-10%) שדרישתם </w:t>
      </w:r>
      <w:proofErr w:type="spellStart"/>
      <w:r w:rsidRPr="008F06DA">
        <w:rPr>
          <w:rFonts w:ascii="Tahoma" w:hAnsi="Tahoma" w:cs="Tahoma"/>
          <w:b w:val="0"/>
          <w:bCs w:val="0"/>
          <w:sz w:val="16"/>
          <w:szCs w:val="20"/>
          <w:rtl/>
        </w:rPr>
        <w:t>להישבון</w:t>
      </w:r>
      <w:proofErr w:type="spellEnd"/>
      <w:r w:rsidRPr="008F06DA">
        <w:rPr>
          <w:rFonts w:ascii="Tahoma" w:hAnsi="Tahoma" w:cs="Tahoma"/>
          <w:b w:val="0"/>
          <w:bCs w:val="0"/>
          <w:sz w:val="16"/>
          <w:szCs w:val="20"/>
          <w:rtl/>
        </w:rPr>
        <w:t xml:space="preserve"> בגין הסדר הסולר הייתה לא סבירה ביחס למחזור העסקאות שדיווחו. </w:t>
      </w:r>
    </w:p>
    <w:p w:rsidR="009169B9" w:rsidRPr="00743C5C" w:rsidRDefault="009169B9" w:rsidP="008F06DA">
      <w:pPr>
        <w:pStyle w:val="ListParagraph"/>
        <w:numPr>
          <w:ilvl w:val="6"/>
          <w:numId w:val="8"/>
        </w:numPr>
        <w:spacing w:after="120"/>
        <w:ind w:left="397" w:hanging="397"/>
        <w:contextualSpacing w:val="0"/>
        <w:rPr>
          <w:rFonts w:ascii="Tahoma" w:hAnsi="Tahoma" w:cs="Tahoma"/>
          <w:sz w:val="16"/>
          <w:szCs w:val="20"/>
        </w:rPr>
      </w:pPr>
      <w:r w:rsidRPr="00743C5C">
        <w:rPr>
          <w:rFonts w:ascii="Tahoma" w:hAnsi="Tahoma" w:cs="Tahoma"/>
          <w:sz w:val="16"/>
          <w:szCs w:val="20"/>
          <w:rtl/>
        </w:rPr>
        <w:lastRenderedPageBreak/>
        <w:t xml:space="preserve">דיווחים של עוסקים על צריכת הסולר שלהם יכולים ללמד על ההיקף הכללי של פעילותם. משרדי </w:t>
      </w:r>
      <w:proofErr w:type="spellStart"/>
      <w:r w:rsidRPr="00743C5C">
        <w:rPr>
          <w:rFonts w:ascii="Tahoma" w:hAnsi="Tahoma" w:cs="Tahoma"/>
          <w:sz w:val="16"/>
          <w:szCs w:val="20"/>
          <w:rtl/>
        </w:rPr>
        <w:t>מע"ם</w:t>
      </w:r>
      <w:proofErr w:type="spellEnd"/>
      <w:r w:rsidRPr="00743C5C">
        <w:rPr>
          <w:rFonts w:ascii="Tahoma" w:hAnsi="Tahoma" w:cs="Tahoma"/>
          <w:sz w:val="16"/>
          <w:szCs w:val="20"/>
          <w:rtl/>
        </w:rPr>
        <w:t xml:space="preserve"> יכולים להסתייע בדיווחים אלה בעת בדיקת אמינות הדיווחים של העוסקים על סך העסקאות שלהם. </w:t>
      </w:r>
    </w:p>
    <w:p w:rsidR="009169B9" w:rsidRPr="00743C5C" w:rsidRDefault="009169B9" w:rsidP="00B406BE">
      <w:pPr>
        <w:spacing w:after="120"/>
        <w:ind w:left="397"/>
        <w:rPr>
          <w:rFonts w:ascii="Tahoma" w:hAnsi="Tahoma" w:cs="Tahoma"/>
          <w:sz w:val="16"/>
          <w:szCs w:val="20"/>
          <w:rtl/>
        </w:rPr>
      </w:pPr>
      <w:r w:rsidRPr="00743C5C">
        <w:rPr>
          <w:rFonts w:ascii="Tahoma" w:hAnsi="Tahoma" w:cs="Tahoma"/>
          <w:sz w:val="16"/>
          <w:szCs w:val="20"/>
          <w:rtl/>
        </w:rPr>
        <w:t xml:space="preserve">בביקורת הקודמת נמצא כי משרדי </w:t>
      </w:r>
      <w:proofErr w:type="spellStart"/>
      <w:r w:rsidRPr="00743C5C">
        <w:rPr>
          <w:rFonts w:ascii="Tahoma" w:hAnsi="Tahoma" w:cs="Tahoma"/>
          <w:sz w:val="16"/>
          <w:szCs w:val="20"/>
          <w:rtl/>
        </w:rPr>
        <w:t>מע"ם</w:t>
      </w:r>
      <w:proofErr w:type="spellEnd"/>
      <w:r w:rsidRPr="00743C5C">
        <w:rPr>
          <w:rFonts w:ascii="Tahoma" w:hAnsi="Tahoma" w:cs="Tahoma"/>
          <w:sz w:val="16"/>
          <w:szCs w:val="20"/>
          <w:rtl/>
        </w:rPr>
        <w:t xml:space="preserve"> אינם מנצלים כלי זה בעת בדיקת אמינות הדיווחים כאמור. יתרה מכך, נמצאו מקרים שבהם משרד </w:t>
      </w:r>
      <w:proofErr w:type="spellStart"/>
      <w:r w:rsidRPr="00743C5C">
        <w:rPr>
          <w:rFonts w:ascii="Tahoma" w:hAnsi="Tahoma" w:cs="Tahoma"/>
          <w:sz w:val="16"/>
          <w:szCs w:val="20"/>
          <w:rtl/>
        </w:rPr>
        <w:t>מע"ם</w:t>
      </w:r>
      <w:proofErr w:type="spellEnd"/>
      <w:r w:rsidRPr="00743C5C">
        <w:rPr>
          <w:rFonts w:ascii="Tahoma" w:hAnsi="Tahoma" w:cs="Tahoma"/>
          <w:sz w:val="16"/>
          <w:szCs w:val="20"/>
          <w:rtl/>
        </w:rPr>
        <w:t xml:space="preserve"> בדק דיווח של עוסק לגבי הסולר שצרך ומצא ליקויים בדיווח, אולם לא ביצע בדיקה מעמיקה בתיק הדיווח של העוסק לגבי עסקאות </w:t>
      </w:r>
      <w:proofErr w:type="spellStart"/>
      <w:r w:rsidRPr="00743C5C">
        <w:rPr>
          <w:rFonts w:ascii="Tahoma" w:hAnsi="Tahoma" w:cs="Tahoma"/>
          <w:sz w:val="16"/>
          <w:szCs w:val="20"/>
          <w:rtl/>
        </w:rPr>
        <w:t>מע"ם</w:t>
      </w:r>
      <w:proofErr w:type="spellEnd"/>
      <w:r w:rsidRPr="00743C5C">
        <w:rPr>
          <w:rFonts w:ascii="Tahoma" w:hAnsi="Tahoma" w:cs="Tahoma"/>
          <w:sz w:val="16"/>
          <w:szCs w:val="20"/>
          <w:rtl/>
        </w:rPr>
        <w:t xml:space="preserve"> שעשה. מכיוון שהדיווחים שמוסר העוסק על הוצאותיו הם שוטפים, יתכן שליקויים בדיווח על צריכת סולר ירמזו גם על ליקויים בדיווח על עסקאות </w:t>
      </w:r>
      <w:proofErr w:type="spellStart"/>
      <w:r w:rsidRPr="00743C5C">
        <w:rPr>
          <w:rFonts w:ascii="Tahoma" w:hAnsi="Tahoma" w:cs="Tahoma"/>
          <w:sz w:val="16"/>
          <w:szCs w:val="20"/>
          <w:rtl/>
        </w:rPr>
        <w:t>מע"ם</w:t>
      </w:r>
      <w:proofErr w:type="spellEnd"/>
      <w:r w:rsidRPr="00743C5C">
        <w:rPr>
          <w:rFonts w:ascii="Tahoma" w:hAnsi="Tahoma" w:cs="Tahoma"/>
          <w:sz w:val="16"/>
          <w:szCs w:val="20"/>
          <w:rtl/>
        </w:rPr>
        <w:t xml:space="preserve">, כגון שימוש בחשבוניות פיקטיביות. </w:t>
      </w:r>
    </w:p>
    <w:p w:rsidR="009169B9" w:rsidRPr="00743C5C" w:rsidRDefault="009169B9" w:rsidP="00B406BE">
      <w:pPr>
        <w:spacing w:after="120"/>
        <w:ind w:left="397"/>
        <w:rPr>
          <w:rFonts w:ascii="Tahoma" w:hAnsi="Tahoma" w:cs="Tahoma"/>
          <w:sz w:val="16"/>
          <w:szCs w:val="20"/>
          <w:rtl/>
        </w:rPr>
      </w:pPr>
      <w:r w:rsidRPr="00743C5C">
        <w:rPr>
          <w:rFonts w:ascii="Tahoma" w:hAnsi="Tahoma" w:cs="Tahoma"/>
          <w:sz w:val="16"/>
          <w:szCs w:val="20"/>
          <w:rtl/>
        </w:rPr>
        <w:t xml:space="preserve">בהערות ראש הממשלה לדוח הקודם, ציינה רשות המיסים כי לאגף </w:t>
      </w:r>
      <w:proofErr w:type="spellStart"/>
      <w:r w:rsidRPr="00743C5C">
        <w:rPr>
          <w:rFonts w:ascii="Tahoma" w:hAnsi="Tahoma" w:cs="Tahoma"/>
          <w:sz w:val="16"/>
          <w:szCs w:val="20"/>
          <w:rtl/>
        </w:rPr>
        <w:t>המע"ם</w:t>
      </w:r>
      <w:proofErr w:type="spellEnd"/>
      <w:r w:rsidRPr="00743C5C">
        <w:rPr>
          <w:rFonts w:ascii="Tahoma" w:hAnsi="Tahoma" w:cs="Tahoma"/>
          <w:sz w:val="16"/>
          <w:szCs w:val="20"/>
          <w:rtl/>
        </w:rPr>
        <w:t xml:space="preserve"> יש חוסר בכוח אדם ועל כן הקצאת כוח האדם אינה מספיקה להשקעה הנדרשת.</w:t>
      </w:r>
    </w:p>
    <w:p w:rsidR="009169B9" w:rsidRPr="00743C5C" w:rsidRDefault="009169B9" w:rsidP="008F06DA">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624" w:right="284"/>
        <w:rPr>
          <w:rFonts w:ascii="Tahoma" w:hAnsi="Tahoma" w:cs="Tahoma"/>
          <w:b w:val="0"/>
          <w:bCs w:val="0"/>
          <w:sz w:val="16"/>
          <w:szCs w:val="20"/>
          <w:rtl/>
        </w:rPr>
      </w:pPr>
      <w:r w:rsidRPr="008F06DA">
        <w:rPr>
          <w:rFonts w:ascii="Tahoma" w:hAnsi="Tahoma" w:cs="Tahoma"/>
          <w:b w:val="0"/>
          <w:bCs w:val="0"/>
          <w:sz w:val="16"/>
          <w:szCs w:val="20"/>
          <w:rtl/>
        </w:rPr>
        <w:t>המעקב העלה כי לא חל שינוי בתחום זה. לא מתבצעות ביקורות מעמיקות בדיווחים של עוסקים שנמצאו לגביהם ליקויים על צריכת הסולר, במטרה לבחון את ההיקף הכללי של פעילותם.</w:t>
      </w:r>
    </w:p>
    <w:p w:rsidR="009169B9" w:rsidRPr="00743C5C" w:rsidRDefault="009169B9" w:rsidP="008F06DA">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624" w:right="284"/>
        <w:rPr>
          <w:rFonts w:ascii="Tahoma" w:hAnsi="Tahoma" w:cs="Tahoma"/>
          <w:b w:val="0"/>
          <w:bCs w:val="0"/>
          <w:sz w:val="16"/>
          <w:szCs w:val="20"/>
          <w:rtl/>
        </w:rPr>
      </w:pPr>
      <w:r w:rsidRPr="008F06DA">
        <w:rPr>
          <w:rFonts w:ascii="Tahoma" w:hAnsi="Tahoma" w:cs="Tahoma"/>
          <w:b w:val="0"/>
          <w:bCs w:val="0"/>
          <w:sz w:val="16"/>
          <w:szCs w:val="20"/>
          <w:rtl/>
        </w:rPr>
        <w:t xml:space="preserve">משרד מבקר המדינה ממליץ לרשות המיסים לבחון את הנחיותיה למשרדי </w:t>
      </w:r>
      <w:proofErr w:type="spellStart"/>
      <w:r w:rsidRPr="008F06DA">
        <w:rPr>
          <w:rFonts w:ascii="Tahoma" w:hAnsi="Tahoma" w:cs="Tahoma"/>
          <w:b w:val="0"/>
          <w:bCs w:val="0"/>
          <w:sz w:val="16"/>
          <w:szCs w:val="20"/>
          <w:rtl/>
        </w:rPr>
        <w:t>מע"ם</w:t>
      </w:r>
      <w:proofErr w:type="spellEnd"/>
      <w:r w:rsidRPr="008F06DA">
        <w:rPr>
          <w:rFonts w:ascii="Tahoma" w:hAnsi="Tahoma" w:cs="Tahoma"/>
          <w:b w:val="0"/>
          <w:bCs w:val="0"/>
          <w:sz w:val="16"/>
          <w:szCs w:val="20"/>
          <w:rtl/>
        </w:rPr>
        <w:t xml:space="preserve"> האזוריים בעניין בחינת הכללת תיקי עוסקים לביקורת, כשקיימת אי-התאמה ניכרת בין הוצאות הסולר של העסק על פי הדיווח שלו ובין סך המחזור של העסק או אם עלו ליקויים בדיווח שלו לגבי כמות הסולר שצרך. נוסף על כך, על היחידה הכלכלית לעקוב אם משרדי </w:t>
      </w:r>
      <w:proofErr w:type="spellStart"/>
      <w:r w:rsidRPr="008F06DA">
        <w:rPr>
          <w:rFonts w:ascii="Tahoma" w:hAnsi="Tahoma" w:cs="Tahoma"/>
          <w:b w:val="0"/>
          <w:bCs w:val="0"/>
          <w:sz w:val="16"/>
          <w:szCs w:val="20"/>
          <w:rtl/>
        </w:rPr>
        <w:t>מע"ם</w:t>
      </w:r>
      <w:proofErr w:type="spellEnd"/>
      <w:r w:rsidRPr="008F06DA">
        <w:rPr>
          <w:rFonts w:ascii="Tahoma" w:hAnsi="Tahoma" w:cs="Tahoma"/>
          <w:b w:val="0"/>
          <w:bCs w:val="0"/>
          <w:sz w:val="16"/>
          <w:szCs w:val="20"/>
          <w:rtl/>
        </w:rPr>
        <w:t xml:space="preserve"> האזוריים משתמשים ברשימות שהיא מוסרת להם, כדי לעמוד על מידת התועלת המופקת מרשימות אלה. </w:t>
      </w:r>
    </w:p>
    <w:p w:rsidR="009169B9" w:rsidRPr="00530118" w:rsidRDefault="009169B9" w:rsidP="00530118">
      <w:pPr>
        <w:pStyle w:val="31"/>
        <w:rPr>
          <w:rtl/>
        </w:rPr>
      </w:pPr>
      <w:r w:rsidRPr="00530118">
        <w:rPr>
          <w:rtl/>
        </w:rPr>
        <w:t>ליקויים בטיפול של מס הכנסה</w:t>
      </w:r>
    </w:p>
    <w:p w:rsidR="009169B9" w:rsidRPr="00743C5C" w:rsidRDefault="009169B9" w:rsidP="009169B9">
      <w:pPr>
        <w:spacing w:after="120"/>
        <w:rPr>
          <w:rFonts w:ascii="Tahoma" w:hAnsi="Tahoma" w:cs="Tahoma"/>
          <w:sz w:val="16"/>
          <w:szCs w:val="20"/>
          <w:rtl/>
        </w:rPr>
      </w:pPr>
      <w:proofErr w:type="spellStart"/>
      <w:r w:rsidRPr="00743C5C">
        <w:rPr>
          <w:rFonts w:ascii="Tahoma" w:hAnsi="Tahoma" w:cs="Tahoma"/>
          <w:sz w:val="16"/>
          <w:szCs w:val="20"/>
          <w:rtl/>
        </w:rPr>
        <w:t>ההישבון</w:t>
      </w:r>
      <w:proofErr w:type="spellEnd"/>
      <w:r w:rsidRPr="00743C5C">
        <w:rPr>
          <w:rFonts w:ascii="Tahoma" w:hAnsi="Tahoma" w:cs="Tahoma"/>
          <w:sz w:val="16"/>
          <w:szCs w:val="20"/>
          <w:rtl/>
        </w:rPr>
        <w:t xml:space="preserve"> שמקבלים נישומים על פי הסדר הסולר הוא הכנסה החייבת במס הכנסה. עוסק שקיבל </w:t>
      </w:r>
      <w:proofErr w:type="spellStart"/>
      <w:r w:rsidRPr="00743C5C">
        <w:rPr>
          <w:rFonts w:ascii="Tahoma" w:hAnsi="Tahoma" w:cs="Tahoma"/>
          <w:sz w:val="16"/>
          <w:szCs w:val="20"/>
          <w:rtl/>
        </w:rPr>
        <w:t>הישבון</w:t>
      </w:r>
      <w:proofErr w:type="spellEnd"/>
      <w:r w:rsidRPr="00743C5C">
        <w:rPr>
          <w:rFonts w:ascii="Tahoma" w:hAnsi="Tahoma" w:cs="Tahoma"/>
          <w:sz w:val="16"/>
          <w:szCs w:val="20"/>
          <w:rtl/>
        </w:rPr>
        <w:t xml:space="preserve"> אמור לכלול מדי שנה את סכום </w:t>
      </w:r>
      <w:proofErr w:type="spellStart"/>
      <w:r w:rsidRPr="00743C5C">
        <w:rPr>
          <w:rFonts w:ascii="Tahoma" w:hAnsi="Tahoma" w:cs="Tahoma"/>
          <w:sz w:val="16"/>
          <w:szCs w:val="20"/>
          <w:rtl/>
        </w:rPr>
        <w:t>ההישבון</w:t>
      </w:r>
      <w:proofErr w:type="spellEnd"/>
      <w:r w:rsidRPr="00743C5C">
        <w:rPr>
          <w:rFonts w:ascii="Tahoma" w:hAnsi="Tahoma" w:cs="Tahoma"/>
          <w:sz w:val="16"/>
          <w:szCs w:val="20"/>
          <w:rtl/>
        </w:rPr>
        <w:t xml:space="preserve"> בדוחותיו השנתיים לרשות המיסים, ועל הרשות לבדוק אם אכן כך נעשה. בביקורת הקודמת הועלו מספר ליקויים בטיפול רשות המיסים בנישומים שקיבלו החזר בלו על סולר כלהלן:</w:t>
      </w:r>
    </w:p>
    <w:p w:rsidR="009169B9" w:rsidRPr="00743C5C" w:rsidRDefault="009169B9" w:rsidP="008F06DA">
      <w:pPr>
        <w:pStyle w:val="ListParagraph"/>
        <w:numPr>
          <w:ilvl w:val="6"/>
          <w:numId w:val="7"/>
        </w:numPr>
        <w:spacing w:after="120"/>
        <w:ind w:left="397" w:hanging="397"/>
        <w:contextualSpacing w:val="0"/>
        <w:rPr>
          <w:rFonts w:ascii="Tahoma" w:hAnsi="Tahoma" w:cs="Tahoma"/>
          <w:sz w:val="16"/>
          <w:szCs w:val="16"/>
        </w:rPr>
      </w:pPr>
      <w:r w:rsidRPr="00743C5C">
        <w:rPr>
          <w:rFonts w:ascii="Tahoma" w:hAnsi="Tahoma" w:cs="Tahoma"/>
          <w:sz w:val="16"/>
          <w:szCs w:val="20"/>
          <w:rtl/>
        </w:rPr>
        <w:t xml:space="preserve">בביקורת הקודמת נמצא כי חטיבת שומה וביקורת ברשות המיסים לא נערכה ליישום הסדר הסולר ולא הכינה חוזר, הנחיות או הוראות ביצוע שידריכו את משרדי השומה כיצד לנהוג בנוגע לנישומים שקיבלו </w:t>
      </w:r>
      <w:proofErr w:type="spellStart"/>
      <w:r w:rsidRPr="00743C5C">
        <w:rPr>
          <w:rFonts w:ascii="Tahoma" w:hAnsi="Tahoma" w:cs="Tahoma"/>
          <w:sz w:val="16"/>
          <w:szCs w:val="20"/>
          <w:rtl/>
        </w:rPr>
        <w:t>הישבון</w:t>
      </w:r>
      <w:proofErr w:type="spellEnd"/>
      <w:r w:rsidRPr="00743C5C">
        <w:rPr>
          <w:rFonts w:ascii="Tahoma" w:hAnsi="Tahoma" w:cs="Tahoma"/>
          <w:sz w:val="16"/>
          <w:szCs w:val="20"/>
          <w:rtl/>
        </w:rPr>
        <w:t xml:space="preserve"> סולר. </w:t>
      </w:r>
    </w:p>
    <w:p w:rsidR="009169B9" w:rsidRPr="008F06DA" w:rsidRDefault="009169B9" w:rsidP="008F06DA">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624" w:right="284"/>
        <w:rPr>
          <w:rFonts w:ascii="Tahoma" w:hAnsi="Tahoma" w:cs="Tahoma"/>
          <w:b w:val="0"/>
          <w:bCs w:val="0"/>
          <w:sz w:val="16"/>
          <w:szCs w:val="20"/>
          <w:rtl/>
        </w:rPr>
      </w:pPr>
      <w:r w:rsidRPr="008F06DA">
        <w:rPr>
          <w:rFonts w:ascii="Tahoma" w:hAnsi="Tahoma" w:cs="Tahoma"/>
          <w:b w:val="0"/>
          <w:bCs w:val="0"/>
          <w:sz w:val="16"/>
          <w:szCs w:val="20"/>
          <w:rtl/>
        </w:rPr>
        <w:lastRenderedPageBreak/>
        <w:t xml:space="preserve">המעקב העלה כי ליקוי זה תוקן. אגף מס הכנסה קבע למשרדי השומה הנחיות, במסגרת </w:t>
      </w:r>
      <w:proofErr w:type="spellStart"/>
      <w:r w:rsidRPr="008F06DA">
        <w:rPr>
          <w:rFonts w:ascii="Tahoma" w:hAnsi="Tahoma" w:cs="Tahoma"/>
          <w:b w:val="0"/>
          <w:bCs w:val="0"/>
          <w:sz w:val="16"/>
          <w:szCs w:val="20"/>
          <w:rtl/>
        </w:rPr>
        <w:t>תוכנית</w:t>
      </w:r>
      <w:proofErr w:type="spellEnd"/>
      <w:r w:rsidRPr="008F06DA">
        <w:rPr>
          <w:rFonts w:ascii="Tahoma" w:hAnsi="Tahoma" w:cs="Tahoma"/>
          <w:b w:val="0"/>
          <w:bCs w:val="0"/>
          <w:sz w:val="16"/>
          <w:szCs w:val="20"/>
          <w:rtl/>
        </w:rPr>
        <w:t xml:space="preserve"> העבודה השנתית, לבצע בדיקות לנישומים שקיבלו </w:t>
      </w:r>
      <w:proofErr w:type="spellStart"/>
      <w:r w:rsidRPr="008F06DA">
        <w:rPr>
          <w:rFonts w:ascii="Tahoma" w:hAnsi="Tahoma" w:cs="Tahoma"/>
          <w:b w:val="0"/>
          <w:bCs w:val="0"/>
          <w:sz w:val="16"/>
          <w:szCs w:val="20"/>
          <w:rtl/>
        </w:rPr>
        <w:t>הישבון</w:t>
      </w:r>
      <w:proofErr w:type="spellEnd"/>
      <w:r w:rsidRPr="008F06DA">
        <w:rPr>
          <w:rFonts w:ascii="Tahoma" w:hAnsi="Tahoma" w:cs="Tahoma"/>
          <w:b w:val="0"/>
          <w:bCs w:val="0"/>
          <w:sz w:val="16"/>
          <w:szCs w:val="20"/>
          <w:rtl/>
        </w:rPr>
        <w:t xml:space="preserve"> סולר. במסגרת זו קיבלו מפקחי המס הנחיה שלפיה יש לשלב בתוכנית העבודה השנתית תיקים של עוסקים </w:t>
      </w:r>
      <w:proofErr w:type="spellStart"/>
      <w:r w:rsidRPr="008F06DA">
        <w:rPr>
          <w:rFonts w:ascii="Tahoma" w:hAnsi="Tahoma" w:cs="Tahoma"/>
          <w:b w:val="0"/>
          <w:bCs w:val="0"/>
          <w:sz w:val="16"/>
          <w:szCs w:val="20"/>
          <w:rtl/>
        </w:rPr>
        <w:t>במע"ם</w:t>
      </w:r>
      <w:proofErr w:type="spellEnd"/>
      <w:r w:rsidRPr="008F06DA">
        <w:rPr>
          <w:rFonts w:ascii="Tahoma" w:hAnsi="Tahoma" w:cs="Tahoma"/>
          <w:b w:val="0"/>
          <w:bCs w:val="0"/>
          <w:sz w:val="16"/>
          <w:szCs w:val="20"/>
          <w:rtl/>
        </w:rPr>
        <w:t xml:space="preserve"> שקיבלו החזר בלו על סולר בסכום הגבוה מ-300,000 ש"ח ואחוז הוצאות הדלק מהמחזור שלהם חריג ועולה על 40% מהמחזור. עוד הונחו מפקחי המס לבדוק אם החזר הבלו נרשם בספרי הנישום ואת הסבירות של דיווחי הנישום ביחס להחזר שהתקבל.</w:t>
      </w:r>
    </w:p>
    <w:p w:rsidR="009169B9" w:rsidRPr="00743C5C" w:rsidRDefault="009169B9" w:rsidP="008F06DA">
      <w:pPr>
        <w:pStyle w:val="ListParagraph"/>
        <w:numPr>
          <w:ilvl w:val="6"/>
          <w:numId w:val="7"/>
        </w:numPr>
        <w:spacing w:after="120"/>
        <w:ind w:left="397" w:hanging="397"/>
        <w:contextualSpacing w:val="0"/>
        <w:rPr>
          <w:rFonts w:ascii="Tahoma" w:hAnsi="Tahoma" w:cs="Tahoma"/>
          <w:sz w:val="16"/>
          <w:szCs w:val="20"/>
        </w:rPr>
      </w:pPr>
      <w:r w:rsidRPr="00743C5C">
        <w:rPr>
          <w:rFonts w:ascii="Tahoma" w:hAnsi="Tahoma" w:cs="Tahoma"/>
          <w:sz w:val="16"/>
          <w:szCs w:val="20"/>
          <w:rtl/>
        </w:rPr>
        <w:t xml:space="preserve">במסגרת הכנת </w:t>
      </w:r>
      <w:proofErr w:type="spellStart"/>
      <w:r w:rsidRPr="00743C5C">
        <w:rPr>
          <w:rFonts w:ascii="Tahoma" w:hAnsi="Tahoma" w:cs="Tahoma"/>
          <w:sz w:val="16"/>
          <w:szCs w:val="20"/>
          <w:rtl/>
        </w:rPr>
        <w:t>תוכנית</w:t>
      </w:r>
      <w:proofErr w:type="spellEnd"/>
      <w:r w:rsidRPr="00743C5C">
        <w:rPr>
          <w:rFonts w:ascii="Tahoma" w:hAnsi="Tahoma" w:cs="Tahoma"/>
          <w:sz w:val="16"/>
          <w:szCs w:val="20"/>
          <w:rtl/>
        </w:rPr>
        <w:t xml:space="preserve"> העבודה בתחום השומה, מכינה היחידה הכלכלית רשימות של 20 הנישומים שקיבלו את סכומי </w:t>
      </w:r>
      <w:proofErr w:type="spellStart"/>
      <w:r w:rsidRPr="00743C5C">
        <w:rPr>
          <w:rFonts w:ascii="Tahoma" w:hAnsi="Tahoma" w:cs="Tahoma"/>
          <w:sz w:val="16"/>
          <w:szCs w:val="20"/>
          <w:rtl/>
        </w:rPr>
        <w:t>ההישבון</w:t>
      </w:r>
      <w:proofErr w:type="spellEnd"/>
      <w:r w:rsidRPr="00743C5C">
        <w:rPr>
          <w:rFonts w:ascii="Tahoma" w:hAnsi="Tahoma" w:cs="Tahoma"/>
          <w:sz w:val="16"/>
          <w:szCs w:val="20"/>
          <w:rtl/>
        </w:rPr>
        <w:t xml:space="preserve"> הגבוהים ביותר על פי הרישומים של כל משרד שומה - כדי שבדיקה לגבי חלקם תיכלל בתוכניות העבודה בתחום השומה. </w:t>
      </w:r>
    </w:p>
    <w:p w:rsidR="009169B9" w:rsidRPr="00743C5C" w:rsidRDefault="009169B9" w:rsidP="00B406BE">
      <w:pPr>
        <w:spacing w:after="120"/>
        <w:ind w:left="397"/>
        <w:rPr>
          <w:rFonts w:ascii="Tahoma" w:hAnsi="Tahoma" w:cs="Tahoma"/>
          <w:sz w:val="16"/>
          <w:szCs w:val="20"/>
          <w:rtl/>
        </w:rPr>
      </w:pPr>
      <w:r w:rsidRPr="00743C5C">
        <w:rPr>
          <w:rFonts w:ascii="Tahoma" w:hAnsi="Tahoma" w:cs="Tahoma"/>
          <w:sz w:val="16"/>
          <w:szCs w:val="20"/>
          <w:rtl/>
        </w:rPr>
        <w:t xml:space="preserve">הביקורת הקודמת העלתה כי בשנים 2014-2012 נכלל הטיפול ב-288 תיקי נישומים בתוכניות העבודה בתחום השומה, אך בפועל טופלו רק 79 מהם. עוד נמצא כי גם כשטופלו תיקי נישומים במסגרת יישום </w:t>
      </w:r>
      <w:proofErr w:type="spellStart"/>
      <w:r w:rsidRPr="00743C5C">
        <w:rPr>
          <w:rFonts w:ascii="Tahoma" w:hAnsi="Tahoma" w:cs="Tahoma"/>
          <w:sz w:val="16"/>
          <w:szCs w:val="20"/>
          <w:rtl/>
        </w:rPr>
        <w:t>תוכניות</w:t>
      </w:r>
      <w:proofErr w:type="spellEnd"/>
      <w:r w:rsidRPr="00743C5C">
        <w:rPr>
          <w:rFonts w:ascii="Tahoma" w:hAnsi="Tahoma" w:cs="Tahoma"/>
          <w:sz w:val="16"/>
          <w:szCs w:val="20"/>
          <w:rtl/>
        </w:rPr>
        <w:t xml:space="preserve"> העבודה האמורות, לא בדקו רוב מפקחי המס אם הנישומים דיווחו על הכנסתם בגין </w:t>
      </w:r>
      <w:proofErr w:type="spellStart"/>
      <w:r w:rsidRPr="00743C5C">
        <w:rPr>
          <w:rFonts w:ascii="Tahoma" w:hAnsi="Tahoma" w:cs="Tahoma"/>
          <w:sz w:val="16"/>
          <w:szCs w:val="20"/>
          <w:rtl/>
        </w:rPr>
        <w:t>הישבון</w:t>
      </w:r>
      <w:proofErr w:type="spellEnd"/>
      <w:r w:rsidRPr="00743C5C">
        <w:rPr>
          <w:rFonts w:ascii="Tahoma" w:hAnsi="Tahoma" w:cs="Tahoma"/>
          <w:sz w:val="16"/>
          <w:szCs w:val="20"/>
          <w:rtl/>
        </w:rPr>
        <w:t xml:space="preserve"> הסולר. </w:t>
      </w:r>
    </w:p>
    <w:p w:rsidR="009169B9" w:rsidRPr="00743C5C" w:rsidRDefault="009169B9" w:rsidP="008F06DA">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624" w:right="284"/>
        <w:rPr>
          <w:rFonts w:ascii="Tahoma" w:hAnsi="Tahoma" w:cs="Tahoma"/>
          <w:b w:val="0"/>
          <w:bCs w:val="0"/>
          <w:sz w:val="16"/>
          <w:szCs w:val="20"/>
          <w:rtl/>
        </w:rPr>
      </w:pPr>
      <w:r w:rsidRPr="008F06DA">
        <w:rPr>
          <w:rFonts w:ascii="Tahoma" w:hAnsi="Tahoma" w:cs="Tahoma"/>
          <w:b w:val="0"/>
          <w:bCs w:val="0"/>
          <w:sz w:val="16"/>
          <w:szCs w:val="20"/>
          <w:rtl/>
        </w:rPr>
        <w:t xml:space="preserve">המעקב העלה כי ליקוי זה לא תוקן. גם כיום אין הקפדה על כך שמפקחי המס יבדקו את התיקים של הנישומים שקיבלו את סכומי </w:t>
      </w:r>
      <w:proofErr w:type="spellStart"/>
      <w:r w:rsidRPr="008F06DA">
        <w:rPr>
          <w:rFonts w:ascii="Tahoma" w:hAnsi="Tahoma" w:cs="Tahoma"/>
          <w:b w:val="0"/>
          <w:bCs w:val="0"/>
          <w:sz w:val="16"/>
          <w:szCs w:val="20"/>
          <w:rtl/>
        </w:rPr>
        <w:t>ההישבון</w:t>
      </w:r>
      <w:proofErr w:type="spellEnd"/>
      <w:r w:rsidRPr="008F06DA">
        <w:rPr>
          <w:rFonts w:ascii="Tahoma" w:hAnsi="Tahoma" w:cs="Tahoma"/>
          <w:b w:val="0"/>
          <w:bCs w:val="0"/>
          <w:sz w:val="16"/>
          <w:szCs w:val="20"/>
          <w:rtl/>
        </w:rPr>
        <w:t xml:space="preserve"> הגבוהים ביותר. במסגרת המעקב בדק משרד מבקר המדינה 62 דיווחים של נישומים שקיבלו </w:t>
      </w:r>
      <w:proofErr w:type="spellStart"/>
      <w:r w:rsidRPr="008F06DA">
        <w:rPr>
          <w:rFonts w:ascii="Tahoma" w:hAnsi="Tahoma" w:cs="Tahoma"/>
          <w:b w:val="0"/>
          <w:bCs w:val="0"/>
          <w:sz w:val="16"/>
          <w:szCs w:val="20"/>
          <w:rtl/>
        </w:rPr>
        <w:t>הישבון</w:t>
      </w:r>
      <w:proofErr w:type="spellEnd"/>
      <w:r w:rsidRPr="008F06DA">
        <w:rPr>
          <w:rFonts w:ascii="Tahoma" w:hAnsi="Tahoma" w:cs="Tahoma"/>
          <w:b w:val="0"/>
          <w:bCs w:val="0"/>
          <w:sz w:val="16"/>
          <w:szCs w:val="20"/>
          <w:rtl/>
        </w:rPr>
        <w:t xml:space="preserve"> בגין הסדר הסולר. נמצא כי רק שישה נישומים מתוכם דיווחו על ההכנסות שקיבלו </w:t>
      </w:r>
      <w:proofErr w:type="spellStart"/>
      <w:r w:rsidRPr="008F06DA">
        <w:rPr>
          <w:rFonts w:ascii="Tahoma" w:hAnsi="Tahoma" w:cs="Tahoma"/>
          <w:b w:val="0"/>
          <w:bCs w:val="0"/>
          <w:sz w:val="16"/>
          <w:szCs w:val="20"/>
          <w:rtl/>
        </w:rPr>
        <w:t>מהישבון</w:t>
      </w:r>
      <w:proofErr w:type="spellEnd"/>
      <w:r w:rsidRPr="008F06DA">
        <w:rPr>
          <w:rFonts w:ascii="Tahoma" w:hAnsi="Tahoma" w:cs="Tahoma"/>
          <w:b w:val="0"/>
          <w:bCs w:val="0"/>
          <w:sz w:val="16"/>
          <w:szCs w:val="20"/>
          <w:rtl/>
        </w:rPr>
        <w:t xml:space="preserve"> בגין הסדר הסולר. דבר זה מעיד על פוטנציאל המס בתיקים אלה.</w:t>
      </w:r>
    </w:p>
    <w:p w:rsidR="009169B9" w:rsidRPr="00743C5C" w:rsidRDefault="009169B9" w:rsidP="008F06DA">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624" w:right="284"/>
        <w:rPr>
          <w:rFonts w:ascii="Tahoma" w:hAnsi="Tahoma" w:cs="Tahoma"/>
          <w:b w:val="0"/>
          <w:bCs w:val="0"/>
          <w:sz w:val="16"/>
          <w:szCs w:val="20"/>
        </w:rPr>
      </w:pPr>
      <w:r w:rsidRPr="008F06DA">
        <w:rPr>
          <w:rFonts w:ascii="Tahoma" w:hAnsi="Tahoma" w:cs="Tahoma"/>
          <w:b w:val="0"/>
          <w:bCs w:val="0"/>
          <w:sz w:val="16"/>
          <w:szCs w:val="20"/>
          <w:rtl/>
        </w:rPr>
        <w:t xml:space="preserve">משרד מבקר המדינה ממליץ לרשות המיסים להקפיד ולבחון באופן מדגמי תיקים של נישומים שקיבלו את סכומי </w:t>
      </w:r>
      <w:proofErr w:type="spellStart"/>
      <w:r w:rsidRPr="008F06DA">
        <w:rPr>
          <w:rFonts w:ascii="Tahoma" w:hAnsi="Tahoma" w:cs="Tahoma"/>
          <w:b w:val="0"/>
          <w:bCs w:val="0"/>
          <w:sz w:val="16"/>
          <w:szCs w:val="20"/>
          <w:rtl/>
        </w:rPr>
        <w:t>ההישבון</w:t>
      </w:r>
      <w:proofErr w:type="spellEnd"/>
      <w:r w:rsidRPr="008F06DA">
        <w:rPr>
          <w:rFonts w:ascii="Tahoma" w:hAnsi="Tahoma" w:cs="Tahoma"/>
          <w:b w:val="0"/>
          <w:bCs w:val="0"/>
          <w:sz w:val="16"/>
          <w:szCs w:val="20"/>
          <w:rtl/>
        </w:rPr>
        <w:t xml:space="preserve"> הגבוהים ביותר ולבחון אם הנישומים דיווחו על הכנסות אלו בדיווחים שהגישו למס הכנסה. </w:t>
      </w:r>
    </w:p>
    <w:p w:rsidR="009169B9" w:rsidRPr="00743C5C" w:rsidRDefault="009169B9" w:rsidP="008F06DA">
      <w:pPr>
        <w:pStyle w:val="ListParagraph"/>
        <w:numPr>
          <w:ilvl w:val="6"/>
          <w:numId w:val="7"/>
        </w:numPr>
        <w:spacing w:after="120"/>
        <w:ind w:left="397" w:hanging="397"/>
        <w:contextualSpacing w:val="0"/>
        <w:rPr>
          <w:rFonts w:ascii="Tahoma" w:hAnsi="Tahoma" w:cs="Tahoma"/>
          <w:sz w:val="16"/>
          <w:szCs w:val="20"/>
        </w:rPr>
      </w:pPr>
      <w:r w:rsidRPr="00743C5C">
        <w:rPr>
          <w:rFonts w:ascii="Tahoma" w:hAnsi="Tahoma" w:cs="Tahoma"/>
          <w:sz w:val="16"/>
          <w:szCs w:val="20"/>
          <w:rtl/>
        </w:rPr>
        <w:t xml:space="preserve">הביקורת הקודמת העלתה כי אגף מס הכנסה לא הנחה את הנישומים והמייצגים על הדרך שבה עליהם לדווח על </w:t>
      </w:r>
      <w:proofErr w:type="spellStart"/>
      <w:r w:rsidRPr="00743C5C">
        <w:rPr>
          <w:rFonts w:ascii="Tahoma" w:hAnsi="Tahoma" w:cs="Tahoma"/>
          <w:sz w:val="16"/>
          <w:szCs w:val="20"/>
          <w:rtl/>
        </w:rPr>
        <w:t>ההישבון</w:t>
      </w:r>
      <w:proofErr w:type="spellEnd"/>
      <w:r w:rsidRPr="00743C5C">
        <w:rPr>
          <w:rFonts w:ascii="Tahoma" w:hAnsi="Tahoma" w:cs="Tahoma"/>
          <w:sz w:val="16"/>
          <w:szCs w:val="20"/>
          <w:rtl/>
        </w:rPr>
        <w:t xml:space="preserve"> שקיבלו בגין הסדר הסולר. נמצא כי בהיעדר הנחיות של אגף מס הכנסה, במרבית הדוחות השנתיים שהגישו הנישומים לא דווח על ההכנסה שנוצרה להם בגין </w:t>
      </w:r>
      <w:proofErr w:type="spellStart"/>
      <w:r w:rsidRPr="00743C5C">
        <w:rPr>
          <w:rFonts w:ascii="Tahoma" w:hAnsi="Tahoma" w:cs="Tahoma"/>
          <w:sz w:val="16"/>
          <w:szCs w:val="20"/>
          <w:rtl/>
        </w:rPr>
        <w:t>הישבון</w:t>
      </w:r>
      <w:proofErr w:type="spellEnd"/>
      <w:r w:rsidRPr="00743C5C">
        <w:rPr>
          <w:rFonts w:ascii="Tahoma" w:hAnsi="Tahoma" w:cs="Tahoma"/>
          <w:sz w:val="16"/>
          <w:szCs w:val="20"/>
          <w:rtl/>
        </w:rPr>
        <w:t xml:space="preserve"> הסולר. </w:t>
      </w:r>
    </w:p>
    <w:p w:rsidR="009169B9" w:rsidRPr="00743C5C" w:rsidRDefault="009169B9" w:rsidP="00B406BE">
      <w:pPr>
        <w:pStyle w:val="ListParagraph"/>
        <w:spacing w:after="120"/>
        <w:ind w:left="397"/>
        <w:contextualSpacing w:val="0"/>
        <w:rPr>
          <w:rFonts w:ascii="Tahoma" w:hAnsi="Tahoma" w:cs="Tahoma"/>
          <w:sz w:val="16"/>
          <w:szCs w:val="20"/>
          <w:rtl/>
        </w:rPr>
      </w:pPr>
      <w:r w:rsidRPr="00743C5C">
        <w:rPr>
          <w:rFonts w:ascii="Tahoma" w:hAnsi="Tahoma" w:cs="Tahoma"/>
          <w:sz w:val="16"/>
          <w:szCs w:val="20"/>
          <w:rtl/>
        </w:rPr>
        <w:t xml:space="preserve">עוד הועלה בביקורת הקודמת כי חלק מהנישומים שדיווחו על </w:t>
      </w:r>
      <w:proofErr w:type="spellStart"/>
      <w:r w:rsidRPr="00743C5C">
        <w:rPr>
          <w:rFonts w:ascii="Tahoma" w:hAnsi="Tahoma" w:cs="Tahoma"/>
          <w:sz w:val="16"/>
          <w:szCs w:val="20"/>
          <w:rtl/>
        </w:rPr>
        <w:t>ההישבון</w:t>
      </w:r>
      <w:proofErr w:type="spellEnd"/>
      <w:r w:rsidRPr="00743C5C">
        <w:rPr>
          <w:rFonts w:ascii="Tahoma" w:hAnsi="Tahoma" w:cs="Tahoma"/>
          <w:sz w:val="16"/>
          <w:szCs w:val="20"/>
          <w:rtl/>
        </w:rPr>
        <w:t xml:space="preserve"> שקיבלו בגין הסדר הסולר ציינו בדוחות שהגישו למס הכנסה סכומי </w:t>
      </w:r>
      <w:proofErr w:type="spellStart"/>
      <w:r w:rsidRPr="00743C5C">
        <w:rPr>
          <w:rFonts w:ascii="Tahoma" w:hAnsi="Tahoma" w:cs="Tahoma"/>
          <w:sz w:val="16"/>
          <w:szCs w:val="20"/>
          <w:rtl/>
        </w:rPr>
        <w:t>הישבון</w:t>
      </w:r>
      <w:proofErr w:type="spellEnd"/>
      <w:r w:rsidRPr="00743C5C">
        <w:rPr>
          <w:rFonts w:ascii="Tahoma" w:hAnsi="Tahoma" w:cs="Tahoma"/>
          <w:sz w:val="16"/>
          <w:szCs w:val="20"/>
          <w:rtl/>
        </w:rPr>
        <w:t xml:space="preserve"> נמוכים מהסכומים שקיבלו בפועל. חלקם עשו זאת בעקבות קיזוז חוב שרשות המיסים קיזזה להם </w:t>
      </w:r>
      <w:proofErr w:type="spellStart"/>
      <w:r w:rsidRPr="00743C5C">
        <w:rPr>
          <w:rFonts w:ascii="Tahoma" w:hAnsi="Tahoma" w:cs="Tahoma"/>
          <w:sz w:val="16"/>
          <w:szCs w:val="20"/>
          <w:rtl/>
        </w:rPr>
        <w:t>מההישבון</w:t>
      </w:r>
      <w:proofErr w:type="spellEnd"/>
      <w:r w:rsidRPr="00743C5C">
        <w:rPr>
          <w:rFonts w:ascii="Tahoma" w:hAnsi="Tahoma" w:cs="Tahoma"/>
          <w:sz w:val="16"/>
          <w:szCs w:val="20"/>
          <w:rtl/>
        </w:rPr>
        <w:t xml:space="preserve">. במקרים כאלה דיווחו הנישומים רק על הסכום שנכנס לחשבונם לאחר הקיזוז, ולא על מלוא הסכום לפני הקיזוז. בכל המקרים האלה משרדי השומה לא השוו את סכום </w:t>
      </w:r>
      <w:proofErr w:type="spellStart"/>
      <w:r w:rsidRPr="00743C5C">
        <w:rPr>
          <w:rFonts w:ascii="Tahoma" w:hAnsi="Tahoma" w:cs="Tahoma"/>
          <w:sz w:val="16"/>
          <w:szCs w:val="20"/>
          <w:rtl/>
        </w:rPr>
        <w:t>ההישבון</w:t>
      </w:r>
      <w:proofErr w:type="spellEnd"/>
      <w:r w:rsidRPr="00743C5C">
        <w:rPr>
          <w:rFonts w:ascii="Tahoma" w:hAnsi="Tahoma" w:cs="Tahoma"/>
          <w:sz w:val="16"/>
          <w:szCs w:val="20"/>
          <w:rtl/>
        </w:rPr>
        <w:t xml:space="preserve"> שדיווח עליו הנישום לסכום </w:t>
      </w:r>
      <w:proofErr w:type="spellStart"/>
      <w:r w:rsidRPr="00743C5C">
        <w:rPr>
          <w:rFonts w:ascii="Tahoma" w:hAnsi="Tahoma" w:cs="Tahoma"/>
          <w:sz w:val="16"/>
          <w:szCs w:val="20"/>
          <w:rtl/>
        </w:rPr>
        <w:t>ההישבון</w:t>
      </w:r>
      <w:proofErr w:type="spellEnd"/>
      <w:r w:rsidRPr="00743C5C">
        <w:rPr>
          <w:rFonts w:ascii="Tahoma" w:hAnsi="Tahoma" w:cs="Tahoma"/>
          <w:sz w:val="16"/>
          <w:szCs w:val="20"/>
          <w:rtl/>
        </w:rPr>
        <w:t xml:space="preserve"> המלא שקיבל לפני הקיזוז. על פי נתוני רשות המיסים, היא מקזזת בכל שנה סכום של כ-300 מיליון ש"ח מסכומי </w:t>
      </w:r>
      <w:proofErr w:type="spellStart"/>
      <w:r w:rsidRPr="00743C5C">
        <w:rPr>
          <w:rFonts w:ascii="Tahoma" w:hAnsi="Tahoma" w:cs="Tahoma"/>
          <w:sz w:val="16"/>
          <w:szCs w:val="20"/>
          <w:rtl/>
        </w:rPr>
        <w:t>ההישבון</w:t>
      </w:r>
      <w:proofErr w:type="spellEnd"/>
      <w:r w:rsidRPr="00743C5C">
        <w:rPr>
          <w:rFonts w:ascii="Tahoma" w:hAnsi="Tahoma" w:cs="Tahoma"/>
          <w:sz w:val="16"/>
          <w:szCs w:val="20"/>
          <w:rtl/>
        </w:rPr>
        <w:t xml:space="preserve">. על כן הפסד המס הפוטנציאלי של הרשות עקב דיווחים שבהם מפחיתים הנישומים את הסכומים שקוזזו מהם הוא גדול. </w:t>
      </w:r>
    </w:p>
    <w:p w:rsidR="009169B9" w:rsidRPr="00743C5C" w:rsidRDefault="009169B9" w:rsidP="008F06DA">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624" w:right="284"/>
        <w:rPr>
          <w:rFonts w:ascii="Tahoma" w:hAnsi="Tahoma" w:cs="Tahoma"/>
          <w:b w:val="0"/>
          <w:bCs w:val="0"/>
          <w:sz w:val="16"/>
          <w:szCs w:val="20"/>
        </w:rPr>
      </w:pPr>
      <w:r w:rsidRPr="008F06DA">
        <w:rPr>
          <w:rFonts w:ascii="Tahoma" w:hAnsi="Tahoma" w:cs="Tahoma"/>
          <w:b w:val="0"/>
          <w:bCs w:val="0"/>
          <w:sz w:val="16"/>
          <w:szCs w:val="20"/>
          <w:rtl/>
        </w:rPr>
        <w:lastRenderedPageBreak/>
        <w:t>המעקב העלה כי ליקוי זה תוקן, וכי הנישומים והמייצגים הונחו לדווח בטופס שמצורף לדוח השנתי על החזרי הבלו שקיבלו על סולר. יש לראות בחיוב את תיקון הליקוי.</w:t>
      </w:r>
    </w:p>
    <w:p w:rsidR="009169B9" w:rsidRPr="00743C5C" w:rsidRDefault="009169B9" w:rsidP="00B406BE">
      <w:pPr>
        <w:spacing w:after="120"/>
        <w:ind w:left="397"/>
        <w:rPr>
          <w:rFonts w:ascii="Tahoma" w:hAnsi="Tahoma" w:cs="Tahoma"/>
          <w:sz w:val="16"/>
          <w:szCs w:val="20"/>
          <w:rtl/>
        </w:rPr>
      </w:pPr>
      <w:r w:rsidRPr="00743C5C">
        <w:rPr>
          <w:rFonts w:ascii="Tahoma" w:hAnsi="Tahoma" w:cs="Tahoma"/>
          <w:sz w:val="16"/>
          <w:szCs w:val="20"/>
          <w:rtl/>
        </w:rPr>
        <w:t>בביקורת הקודמת נבדקו תיקיהם של 17 נישומים שעימם נעשו הסדרי שומות. הועלה כי מפקח המס בדק רק לגבי אחד מהנישומים שנעשו עימם הסדרים אם הוא דיווח על הסכומים שקיבל על פי הסדר הסולר. לגבי יתר 16 הנישומים, משרדי השומה לא התייחסו לכך שהנישומים לא דיווחו על הסכומים שקיבלו על פי הסדר הסולר.</w:t>
      </w:r>
    </w:p>
    <w:p w:rsidR="009169B9" w:rsidRPr="00743C5C" w:rsidRDefault="009169B9" w:rsidP="00B406BE">
      <w:pPr>
        <w:spacing w:after="120"/>
        <w:ind w:left="397"/>
        <w:rPr>
          <w:rFonts w:ascii="Tahoma" w:hAnsi="Tahoma" w:cs="Tahoma"/>
          <w:sz w:val="16"/>
          <w:szCs w:val="20"/>
          <w:rtl/>
        </w:rPr>
      </w:pPr>
      <w:r w:rsidRPr="00743C5C">
        <w:rPr>
          <w:rFonts w:ascii="Tahoma" w:hAnsi="Tahoma" w:cs="Tahoma"/>
          <w:sz w:val="16"/>
          <w:szCs w:val="20"/>
          <w:rtl/>
        </w:rPr>
        <w:t xml:space="preserve">עוד נמצא בביקורת הקודמת כי במסגרת בדיקת השומות של הנישומים, אישרו משרדי השומה החזרים ל-12 נישומים בסכומים שהגיעו עד למאות אלפי ש"ח לכל נישום, בלי שבדקו אם הנישומים דיווחו על </w:t>
      </w:r>
      <w:proofErr w:type="spellStart"/>
      <w:r w:rsidRPr="00743C5C">
        <w:rPr>
          <w:rFonts w:ascii="Tahoma" w:hAnsi="Tahoma" w:cs="Tahoma"/>
          <w:sz w:val="16"/>
          <w:szCs w:val="20"/>
          <w:rtl/>
        </w:rPr>
        <w:t>הישבון</w:t>
      </w:r>
      <w:proofErr w:type="spellEnd"/>
      <w:r w:rsidRPr="00743C5C">
        <w:rPr>
          <w:rFonts w:ascii="Tahoma" w:hAnsi="Tahoma" w:cs="Tahoma"/>
          <w:sz w:val="16"/>
          <w:szCs w:val="20"/>
          <w:rtl/>
        </w:rPr>
        <w:t xml:space="preserve"> הסולר שקיבלו. ייתכן כי נישומים אלה קיבלו החזרי מס אף שלא היו זכאים להחזר. </w:t>
      </w:r>
    </w:p>
    <w:p w:rsidR="009169B9" w:rsidRPr="00743C5C" w:rsidRDefault="009169B9" w:rsidP="008F06DA">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624" w:right="284"/>
        <w:rPr>
          <w:rFonts w:ascii="Tahoma" w:hAnsi="Tahoma" w:cs="Tahoma"/>
          <w:b w:val="0"/>
          <w:bCs w:val="0"/>
          <w:sz w:val="16"/>
          <w:szCs w:val="20"/>
          <w:rtl/>
        </w:rPr>
      </w:pPr>
      <w:r w:rsidRPr="008F06DA">
        <w:rPr>
          <w:rFonts w:ascii="Tahoma" w:hAnsi="Tahoma" w:cs="Tahoma"/>
          <w:b w:val="0"/>
          <w:bCs w:val="0"/>
          <w:sz w:val="16"/>
          <w:szCs w:val="20"/>
          <w:rtl/>
        </w:rPr>
        <w:t xml:space="preserve">המעקב העלה כי ליקוי זה תוקן. הטופס שהנישומים והמייצגים הונחו לצרף לדוח השנתי על החזרי בלו שקיבלו על סולר, מאפשר למפקחי המס לבדוק ולהכליל את המידע בדבר </w:t>
      </w:r>
      <w:proofErr w:type="spellStart"/>
      <w:r w:rsidRPr="008F06DA">
        <w:rPr>
          <w:rFonts w:ascii="Tahoma" w:hAnsi="Tahoma" w:cs="Tahoma"/>
          <w:b w:val="0"/>
          <w:bCs w:val="0"/>
          <w:sz w:val="16"/>
          <w:szCs w:val="20"/>
          <w:rtl/>
        </w:rPr>
        <w:t>הישבון</w:t>
      </w:r>
      <w:proofErr w:type="spellEnd"/>
      <w:r w:rsidRPr="008F06DA">
        <w:rPr>
          <w:rFonts w:ascii="Tahoma" w:hAnsi="Tahoma" w:cs="Tahoma"/>
          <w:b w:val="0"/>
          <w:bCs w:val="0"/>
          <w:sz w:val="16"/>
          <w:szCs w:val="20"/>
          <w:rtl/>
        </w:rPr>
        <w:t xml:space="preserve"> הסדר הסולר בקביעת השומה של הנישומים. יש לראות בחיוב את תיקון הליקוי. </w:t>
      </w:r>
    </w:p>
    <w:p w:rsidR="009169B9" w:rsidRPr="00743C5C" w:rsidRDefault="009169B9" w:rsidP="008F06DA">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624" w:right="284"/>
        <w:rPr>
          <w:rFonts w:ascii="Tahoma" w:hAnsi="Tahoma" w:cs="Tahoma"/>
          <w:b w:val="0"/>
          <w:bCs w:val="0"/>
          <w:sz w:val="16"/>
          <w:szCs w:val="20"/>
        </w:rPr>
      </w:pPr>
      <w:r w:rsidRPr="008F06DA">
        <w:rPr>
          <w:rFonts w:ascii="Tahoma" w:hAnsi="Tahoma" w:cs="Tahoma"/>
          <w:b w:val="0"/>
          <w:bCs w:val="0"/>
          <w:sz w:val="16"/>
          <w:szCs w:val="20"/>
          <w:rtl/>
        </w:rPr>
        <w:t xml:space="preserve">אולם, משרד מבקר המדינה מציין כי המידע הרשום בטופס זה אינו נרשם במערכת הממוחשבת של רשות המיסים, ולכן הוא לא משמש מקור מידע לבקרה ממוחשבת לבחירת תיקים לביקורת. כמו כן אין כל סנקציה כנגד מי שלא ממלא טופס זה. </w:t>
      </w:r>
    </w:p>
    <w:p w:rsidR="009169B9" w:rsidRPr="00530118" w:rsidRDefault="009169B9" w:rsidP="00530118">
      <w:pPr>
        <w:pStyle w:val="31"/>
        <w:rPr>
          <w:rtl/>
        </w:rPr>
      </w:pPr>
      <w:r w:rsidRPr="00530118">
        <w:rPr>
          <w:rtl/>
        </w:rPr>
        <w:t>בחינה מחדש של הסדר הסולר</w:t>
      </w:r>
    </w:p>
    <w:p w:rsidR="009169B9" w:rsidRPr="00743C5C" w:rsidRDefault="009169B9" w:rsidP="009169B9">
      <w:pPr>
        <w:spacing w:after="120"/>
        <w:rPr>
          <w:rFonts w:ascii="Tahoma" w:hAnsi="Tahoma" w:cs="Tahoma"/>
          <w:sz w:val="16"/>
          <w:szCs w:val="20"/>
          <w:rtl/>
        </w:rPr>
      </w:pPr>
      <w:r w:rsidRPr="00743C5C">
        <w:rPr>
          <w:rFonts w:ascii="Tahoma" w:hAnsi="Tahoma" w:cs="Tahoma"/>
          <w:sz w:val="16"/>
          <w:szCs w:val="20"/>
          <w:rtl/>
        </w:rPr>
        <w:t xml:space="preserve">כפי שתואר לעיל, הסדר הסולר יצר כמה בעיות המקשות על רשות המיסים, כגון דיווחים כוזבים שנועדו להשיג סכום </w:t>
      </w:r>
      <w:proofErr w:type="spellStart"/>
      <w:r w:rsidRPr="00743C5C">
        <w:rPr>
          <w:rFonts w:ascii="Tahoma" w:hAnsi="Tahoma" w:cs="Tahoma"/>
          <w:sz w:val="16"/>
          <w:szCs w:val="20"/>
          <w:rtl/>
        </w:rPr>
        <w:t>הישבון</w:t>
      </w:r>
      <w:proofErr w:type="spellEnd"/>
      <w:r w:rsidRPr="00743C5C">
        <w:rPr>
          <w:rFonts w:ascii="Tahoma" w:hAnsi="Tahoma" w:cs="Tahoma"/>
          <w:sz w:val="16"/>
          <w:szCs w:val="20"/>
          <w:rtl/>
        </w:rPr>
        <w:t xml:space="preserve"> מרבי ובקשות </w:t>
      </w:r>
      <w:proofErr w:type="spellStart"/>
      <w:r w:rsidRPr="00743C5C">
        <w:rPr>
          <w:rFonts w:ascii="Tahoma" w:hAnsi="Tahoma" w:cs="Tahoma"/>
          <w:sz w:val="16"/>
          <w:szCs w:val="20"/>
          <w:rtl/>
        </w:rPr>
        <w:t>להישבון</w:t>
      </w:r>
      <w:proofErr w:type="spellEnd"/>
      <w:r w:rsidRPr="00743C5C">
        <w:rPr>
          <w:rFonts w:ascii="Tahoma" w:hAnsi="Tahoma" w:cs="Tahoma"/>
          <w:sz w:val="16"/>
          <w:szCs w:val="20"/>
          <w:rtl/>
        </w:rPr>
        <w:t xml:space="preserve"> בגין כלים שאינם פעילים. כמו כן, קביעת תקרות באופן ממוצע גרמה לפער בין עוסקים שונים. קרי, יש עוסקים שמקבלים </w:t>
      </w:r>
      <w:proofErr w:type="spellStart"/>
      <w:r w:rsidRPr="00743C5C">
        <w:rPr>
          <w:rFonts w:ascii="Tahoma" w:hAnsi="Tahoma" w:cs="Tahoma"/>
          <w:sz w:val="16"/>
          <w:szCs w:val="20"/>
          <w:rtl/>
        </w:rPr>
        <w:t>הישבון</w:t>
      </w:r>
      <w:proofErr w:type="spellEnd"/>
      <w:r w:rsidRPr="00743C5C">
        <w:rPr>
          <w:rFonts w:ascii="Tahoma" w:hAnsi="Tahoma" w:cs="Tahoma"/>
          <w:sz w:val="16"/>
          <w:szCs w:val="20"/>
          <w:rtl/>
        </w:rPr>
        <w:t xml:space="preserve"> בסכומים גבוהים ולעומתם יש עוסקים שהתקרות הממוצעות </w:t>
      </w:r>
      <w:proofErr w:type="spellStart"/>
      <w:r w:rsidRPr="00743C5C">
        <w:rPr>
          <w:rFonts w:ascii="Tahoma" w:hAnsi="Tahoma" w:cs="Tahoma"/>
          <w:sz w:val="16"/>
          <w:szCs w:val="20"/>
          <w:rtl/>
        </w:rPr>
        <w:t>להישבון</w:t>
      </w:r>
      <w:proofErr w:type="spellEnd"/>
      <w:r w:rsidRPr="00743C5C">
        <w:rPr>
          <w:rFonts w:ascii="Tahoma" w:hAnsi="Tahoma" w:cs="Tahoma"/>
          <w:sz w:val="16"/>
          <w:szCs w:val="20"/>
          <w:rtl/>
        </w:rPr>
        <w:t xml:space="preserve"> שנקבעו להם אינן משקפות את ההוצאות שלהם בגין סולר ולכן מקבלים סכומים נמוכים </w:t>
      </w:r>
      <w:proofErr w:type="spellStart"/>
      <w:r w:rsidRPr="00743C5C">
        <w:rPr>
          <w:rFonts w:ascii="Tahoma" w:hAnsi="Tahoma" w:cs="Tahoma"/>
          <w:sz w:val="16"/>
          <w:szCs w:val="20"/>
          <w:rtl/>
        </w:rPr>
        <w:t>מהמגיע</w:t>
      </w:r>
      <w:proofErr w:type="spellEnd"/>
      <w:r w:rsidRPr="00743C5C">
        <w:rPr>
          <w:rFonts w:ascii="Tahoma" w:hAnsi="Tahoma" w:cs="Tahoma"/>
          <w:sz w:val="16"/>
          <w:szCs w:val="20"/>
          <w:rtl/>
        </w:rPr>
        <w:t xml:space="preserve"> להם. </w:t>
      </w:r>
    </w:p>
    <w:p w:rsidR="009169B9" w:rsidRPr="00743C5C" w:rsidRDefault="009169B9" w:rsidP="009169B9">
      <w:pPr>
        <w:spacing w:after="120"/>
        <w:rPr>
          <w:rFonts w:ascii="Tahoma" w:hAnsi="Tahoma" w:cs="Tahoma"/>
          <w:sz w:val="16"/>
          <w:szCs w:val="20"/>
          <w:rtl/>
        </w:rPr>
      </w:pPr>
      <w:r w:rsidRPr="00743C5C">
        <w:rPr>
          <w:rFonts w:ascii="Tahoma" w:hAnsi="Tahoma" w:cs="Tahoma"/>
          <w:sz w:val="16"/>
          <w:szCs w:val="20"/>
          <w:rtl/>
        </w:rPr>
        <w:t xml:space="preserve">על פי פרסומים של המשרד להגנת הסביבה, השימוש בסולר מזהם פי כמה משימוש בבנזין. שימוש בסולר גורם להגדלת כמות הפחמן הדו-חמצני באטמוספרה, ועקב כך להתחממות כדור הארץ. נוסף על כך, הסולר הוא חומר רעיל ופירוקו הטבעי נמשך זמן רב וגורם לזיהום הקרקע, מי התהום והים. סולר המיועד להנעת כלי רכב יוצר את רוב זיהום האוויר במרכזי הערים שגורם למחלות נשימה ולסרטן. זיהום האוויר מכלי תחבורה מכביד על הוצאות המדינה על בריאות. קבלת </w:t>
      </w:r>
      <w:proofErr w:type="spellStart"/>
      <w:r w:rsidRPr="00743C5C">
        <w:rPr>
          <w:rFonts w:ascii="Tahoma" w:hAnsi="Tahoma" w:cs="Tahoma"/>
          <w:sz w:val="16"/>
          <w:szCs w:val="20"/>
          <w:rtl/>
        </w:rPr>
        <w:t>הישבון</w:t>
      </w:r>
      <w:proofErr w:type="spellEnd"/>
      <w:r w:rsidRPr="00743C5C">
        <w:rPr>
          <w:rFonts w:ascii="Tahoma" w:hAnsi="Tahoma" w:cs="Tahoma"/>
          <w:sz w:val="16"/>
          <w:szCs w:val="20"/>
          <w:rtl/>
        </w:rPr>
        <w:t xml:space="preserve"> בגין שימוש בסולר יוצרת תמריץ שלילי לשימוש בסוגי דלק ירוקים שאינם מזהמים או בכלי רכב חלופיים, ופוגעת בעיקרון שלפיו על המזהם לשלם.</w:t>
      </w:r>
    </w:p>
    <w:p w:rsidR="009169B9" w:rsidRPr="00743C5C" w:rsidRDefault="009169B9" w:rsidP="009169B9">
      <w:pPr>
        <w:spacing w:after="120"/>
        <w:rPr>
          <w:rFonts w:ascii="Tahoma" w:hAnsi="Tahoma" w:cs="Tahoma"/>
          <w:sz w:val="16"/>
          <w:szCs w:val="20"/>
          <w:rtl/>
        </w:rPr>
      </w:pPr>
      <w:r w:rsidRPr="00743C5C">
        <w:rPr>
          <w:rFonts w:ascii="Tahoma" w:hAnsi="Tahoma" w:cs="Tahoma"/>
          <w:sz w:val="16"/>
          <w:szCs w:val="20"/>
          <w:rtl/>
        </w:rPr>
        <w:lastRenderedPageBreak/>
        <w:t>המשרד להגנת הסביבה התייחס לביקורת הקודמת כי אכן "כלי רכב מונעי סולר מתאפיינים בזיהום אוויר גבוה המוביל לפגיעה באיכות האוויר בריכוזי האוכלוסין. לזיהום זה השלכות בריאותיות וכלכליות... משרדנו סבור כי אכן יש לבחון מחדש את מבנהו של הסדר הסולר במטרה למנוע עיוותי מס הפוגעים בסביבה ובאינטרס הציבורי".</w:t>
      </w:r>
    </w:p>
    <w:p w:rsidR="009169B9" w:rsidRPr="008F06DA" w:rsidRDefault="009169B9" w:rsidP="008F06DA">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8F06DA">
        <w:rPr>
          <w:rFonts w:ascii="Tahoma" w:hAnsi="Tahoma" w:cs="Tahoma"/>
          <w:b w:val="0"/>
          <w:bCs w:val="0"/>
          <w:sz w:val="16"/>
          <w:szCs w:val="20"/>
          <w:rtl/>
        </w:rPr>
        <w:t>בדוח הקודם העיר משרד מבקר המדינה כי לאחר כתשע שנים של הפעלת הסדר הסולר ולנוכח הליקויים שהועלו בדוח, על רשות המיסים לבחון את המשך הפעלתו במתכונת הנוכחית ולהביא בחשבון בעניין זה היבטים כלכליים, חברתיים וסביבתיים.</w:t>
      </w:r>
    </w:p>
    <w:p w:rsidR="009169B9" w:rsidRPr="008F06DA" w:rsidRDefault="009169B9" w:rsidP="005F74DE">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8F06DA">
        <w:rPr>
          <w:rFonts w:ascii="Tahoma" w:hAnsi="Tahoma" w:cs="Tahoma"/>
          <w:b w:val="0"/>
          <w:bCs w:val="0"/>
          <w:sz w:val="16"/>
          <w:szCs w:val="20"/>
          <w:rtl/>
        </w:rPr>
        <w:t xml:space="preserve">במעקב נמצא כי בעקבות הביקורת הקודמת הוחלט ברשות המיסים לצמצם את הסדר הסולר במידה ניכרת. ב-28 במרץ 2018 פורסם ברשומות צו הבלו על הדלק (פטור </w:t>
      </w:r>
      <w:proofErr w:type="spellStart"/>
      <w:r w:rsidRPr="008F06DA">
        <w:rPr>
          <w:rFonts w:ascii="Tahoma" w:hAnsi="Tahoma" w:cs="Tahoma"/>
          <w:b w:val="0"/>
          <w:bCs w:val="0"/>
          <w:sz w:val="16"/>
          <w:szCs w:val="20"/>
          <w:rtl/>
        </w:rPr>
        <w:t>והישבון</w:t>
      </w:r>
      <w:proofErr w:type="spellEnd"/>
      <w:r w:rsidRPr="008F06DA">
        <w:rPr>
          <w:rFonts w:ascii="Tahoma" w:hAnsi="Tahoma" w:cs="Tahoma"/>
          <w:b w:val="0"/>
          <w:bCs w:val="0"/>
          <w:sz w:val="16"/>
          <w:szCs w:val="20"/>
          <w:rtl/>
        </w:rPr>
        <w:t>) (תיקון והוראת שעה), התשכ"ח-2018. על פי הצו יצומצם הסדר הסולר ורובו יבוטל בהדרגה עד לינואר 202</w:t>
      </w:r>
      <w:r w:rsidR="005F74DE">
        <w:rPr>
          <w:rFonts w:ascii="Tahoma" w:hAnsi="Tahoma" w:cs="Tahoma" w:hint="cs"/>
          <w:b w:val="0"/>
          <w:bCs w:val="0"/>
          <w:sz w:val="16"/>
          <w:szCs w:val="20"/>
          <w:rtl/>
        </w:rPr>
        <w:t>6</w:t>
      </w:r>
      <w:r w:rsidRPr="008F06DA">
        <w:rPr>
          <w:rFonts w:ascii="Tahoma" w:hAnsi="Tahoma" w:cs="Tahoma"/>
          <w:b w:val="0"/>
          <w:bCs w:val="0"/>
          <w:sz w:val="16"/>
          <w:szCs w:val="20"/>
          <w:rtl/>
        </w:rPr>
        <w:t>. כך יקטן התמריץ השלילי בשימוש בסוגי דלק ירוקים שאינם מזהמים או בכלי רכב המונעים בתחליפי נפט לתחבורה. ניתן לציין לחיוב את פעילות רשות המיסים לבחינת הנושא על השלכותיו.</w:t>
      </w:r>
    </w:p>
    <w:p w:rsidR="009169B9" w:rsidRPr="00530118" w:rsidRDefault="009169B9" w:rsidP="00530118">
      <w:pPr>
        <w:pStyle w:val="31"/>
        <w:rPr>
          <w:rtl/>
          <w:lang w:eastAsia="he-IL"/>
        </w:rPr>
      </w:pPr>
      <w:r w:rsidRPr="00530118">
        <w:rPr>
          <w:rtl/>
          <w:lang w:eastAsia="he-IL"/>
        </w:rPr>
        <w:t xml:space="preserve">סיכום </w:t>
      </w:r>
    </w:p>
    <w:p w:rsidR="009169B9" w:rsidRPr="00743C5C" w:rsidRDefault="009169B9" w:rsidP="008F06DA">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8F06DA">
        <w:rPr>
          <w:rFonts w:ascii="Tahoma" w:hAnsi="Tahoma" w:cs="Tahoma"/>
          <w:b w:val="0"/>
          <w:bCs w:val="0"/>
          <w:sz w:val="16"/>
          <w:szCs w:val="20"/>
          <w:rtl/>
        </w:rPr>
        <w:t>הסדר הסולר נועד לצמצם את הפגיעה בעוסקים בכמה ענפים כלכליים שבהם הסולר וכלי הרכב הם האמצעים העיקריים לייצור ההכנסה. ואולם הממצאים שהועלו בדוח הקודם לימדו כי רשות המיסים אינה מטפלת בצורה מיטבית בנושא הסדר הסולר, וכי הבקרה שהיא מבצעת על מימוש ההסדר לקויה, דבר שעלול להביא לדיווחים כוזבים בבקשות להחזרים. נוסף על כך, הסדר הסולר יוצר תמריץ שלילי לשימוש בסוגי דלק ירוקים שאינם מזהמים או בכלי רכב חלופיים, ופוגע בעיקרון שלפיו המזהם משלם. עלות הסדר הסולר למשק הישראלי בשנת 2018, בגין ההחזרים לעוסקים הנכללים בו, הייתה כ-3.59 מיליארד ש"ח. על סכום זה יש להוסיף את סכומי מס ההכנסה על סכומי ההחזר שלא דווחו למס הכנסה.</w:t>
      </w:r>
    </w:p>
    <w:p w:rsidR="009169B9" w:rsidRPr="00743C5C" w:rsidRDefault="009169B9" w:rsidP="005F74DE">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8F06DA">
        <w:rPr>
          <w:rFonts w:ascii="Tahoma" w:hAnsi="Tahoma" w:cs="Tahoma"/>
          <w:b w:val="0"/>
          <w:bCs w:val="0"/>
          <w:sz w:val="16"/>
          <w:szCs w:val="20"/>
          <w:rtl/>
        </w:rPr>
        <w:lastRenderedPageBreak/>
        <w:t>לאחר הביקורת הקודמת בחנה רשות המיסים את המשך הפעלתו של הסדר הסולר באותה מתכונת והחליטה לצמצם אותו בהליך הדרגתי במשך שש השנים הקרובות עד לינואר 202</w:t>
      </w:r>
      <w:r w:rsidR="005F74DE">
        <w:rPr>
          <w:rFonts w:ascii="Tahoma" w:hAnsi="Tahoma" w:cs="Tahoma" w:hint="cs"/>
          <w:b w:val="0"/>
          <w:bCs w:val="0"/>
          <w:sz w:val="16"/>
          <w:szCs w:val="20"/>
          <w:rtl/>
        </w:rPr>
        <w:t>6</w:t>
      </w:r>
      <w:r w:rsidRPr="008F06DA">
        <w:rPr>
          <w:rFonts w:ascii="Tahoma" w:hAnsi="Tahoma" w:cs="Tahoma"/>
          <w:b w:val="0"/>
          <w:bCs w:val="0"/>
          <w:sz w:val="16"/>
          <w:szCs w:val="20"/>
          <w:rtl/>
        </w:rPr>
        <w:t xml:space="preserve">. צמצום ההסדר כולל ביטול של ההסדר בענפי התחבורה השונים וצמצומו בענפים אחרים, כמו מפעלים ומכונות ניידות. צמצום הסדר הסולר יקטין את התמריץ השלילי לשימוש בסוגי דלק ירוקים שאינם מזהמים. יש לציין כי כמפורט לעיל, רשות המיסים פעלה לתיקון חלק מהליקויים שנמצאו בביקורת הקודמת. נעשתה בחינה מחדש של הסדר הסולר ותוקנו באופן חלקי הטיפול של משרדי </w:t>
      </w:r>
      <w:proofErr w:type="spellStart"/>
      <w:r w:rsidRPr="008F06DA">
        <w:rPr>
          <w:rFonts w:ascii="Tahoma" w:hAnsi="Tahoma" w:cs="Tahoma"/>
          <w:b w:val="0"/>
          <w:bCs w:val="0"/>
          <w:sz w:val="16"/>
          <w:szCs w:val="20"/>
          <w:rtl/>
        </w:rPr>
        <w:t>המע"ם</w:t>
      </w:r>
      <w:proofErr w:type="spellEnd"/>
      <w:r w:rsidRPr="008F06DA">
        <w:rPr>
          <w:rFonts w:ascii="Tahoma" w:hAnsi="Tahoma" w:cs="Tahoma"/>
          <w:b w:val="0"/>
          <w:bCs w:val="0"/>
          <w:sz w:val="16"/>
          <w:szCs w:val="20"/>
          <w:rtl/>
        </w:rPr>
        <w:t xml:space="preserve"> ומשרדי מס הכנסה וכן הבקרה הלקויה של המערכת הממוחשבת </w:t>
      </w:r>
      <w:proofErr w:type="spellStart"/>
      <w:r w:rsidRPr="008F06DA">
        <w:rPr>
          <w:rFonts w:ascii="Tahoma" w:hAnsi="Tahoma" w:cs="Tahoma"/>
          <w:b w:val="0"/>
          <w:bCs w:val="0"/>
          <w:sz w:val="16"/>
          <w:szCs w:val="20"/>
          <w:rtl/>
        </w:rPr>
        <w:t>להישבון</w:t>
      </w:r>
      <w:proofErr w:type="spellEnd"/>
      <w:r w:rsidRPr="008F06DA">
        <w:rPr>
          <w:rFonts w:ascii="Tahoma" w:hAnsi="Tahoma" w:cs="Tahoma"/>
          <w:b w:val="0"/>
          <w:bCs w:val="0"/>
          <w:sz w:val="16"/>
          <w:szCs w:val="20"/>
          <w:rtl/>
        </w:rPr>
        <w:t xml:space="preserve"> הסולר. עם זאת, חלק מהליקויים הנוגעים לפיקוח על הבקשות להחזר עדיין קיימים; עדיין נותרו הליקויים בדבר הניצול לרעה של התנאים שנקבעו </w:t>
      </w:r>
      <w:proofErr w:type="spellStart"/>
      <w:r w:rsidRPr="008F06DA">
        <w:rPr>
          <w:rFonts w:ascii="Tahoma" w:hAnsi="Tahoma" w:cs="Tahoma"/>
          <w:b w:val="0"/>
          <w:bCs w:val="0"/>
          <w:sz w:val="16"/>
          <w:szCs w:val="20"/>
          <w:rtl/>
        </w:rPr>
        <w:t>להישבון</w:t>
      </w:r>
      <w:proofErr w:type="spellEnd"/>
      <w:r w:rsidRPr="008F06DA">
        <w:rPr>
          <w:rFonts w:ascii="Tahoma" w:hAnsi="Tahoma" w:cs="Tahoma"/>
          <w:b w:val="0"/>
          <w:bCs w:val="0"/>
          <w:sz w:val="16"/>
          <w:szCs w:val="20"/>
          <w:rtl/>
        </w:rPr>
        <w:t xml:space="preserve"> הסולר והשימוש בחשבוניות פיקטיביות לקבלת </w:t>
      </w:r>
      <w:proofErr w:type="spellStart"/>
      <w:r w:rsidRPr="008F06DA">
        <w:rPr>
          <w:rFonts w:ascii="Tahoma" w:hAnsi="Tahoma" w:cs="Tahoma"/>
          <w:b w:val="0"/>
          <w:bCs w:val="0"/>
          <w:sz w:val="16"/>
          <w:szCs w:val="20"/>
          <w:rtl/>
        </w:rPr>
        <w:t>ההישבון</w:t>
      </w:r>
      <w:proofErr w:type="spellEnd"/>
      <w:r w:rsidRPr="008F06DA">
        <w:rPr>
          <w:rFonts w:ascii="Tahoma" w:hAnsi="Tahoma" w:cs="Tahoma"/>
          <w:b w:val="0"/>
          <w:bCs w:val="0"/>
          <w:sz w:val="16"/>
          <w:szCs w:val="20"/>
          <w:rtl/>
        </w:rPr>
        <w:t>. עד השלמתו של צמצום הסדר הסולר, על רשות המיסים לפעול לתיקון הליקויים שטרם תוקנו.</w:t>
      </w:r>
    </w:p>
    <w:p w:rsidR="00A36941" w:rsidRDefault="00A36941" w:rsidP="008B17A0">
      <w:pPr>
        <w:spacing w:after="120"/>
        <w:rPr>
          <w:rFonts w:ascii="Tahoma" w:hAnsi="Tahoma" w:cs="Tahoma"/>
          <w:szCs w:val="20"/>
          <w:rtl/>
        </w:rPr>
      </w:pPr>
    </w:p>
    <w:p w:rsidR="00960877" w:rsidRDefault="00960877" w:rsidP="008B17A0">
      <w:pPr>
        <w:spacing w:after="120"/>
        <w:rPr>
          <w:rFonts w:ascii="Tahoma" w:hAnsi="Tahoma" w:cs="Tahoma"/>
          <w:szCs w:val="20"/>
          <w:rtl/>
        </w:rPr>
        <w:sectPr w:rsidR="00960877" w:rsidSect="008A6979">
          <w:headerReference w:type="first" r:id="rId18"/>
          <w:footerReference w:type="first" r:id="rId19"/>
          <w:pgSz w:w="11906" w:h="16838"/>
          <w:pgMar w:top="2268" w:right="1985" w:bottom="2155" w:left="1701" w:header="709" w:footer="709" w:gutter="0"/>
          <w:cols w:space="708"/>
          <w:bidi/>
          <w:rtlGutter/>
          <w:docGrid w:linePitch="360"/>
        </w:sectPr>
      </w:pPr>
    </w:p>
    <w:p w:rsidR="00960877" w:rsidRPr="008B17A0" w:rsidRDefault="00960877" w:rsidP="008B17A0">
      <w:pPr>
        <w:spacing w:after="120"/>
        <w:rPr>
          <w:rFonts w:ascii="Tahoma" w:hAnsi="Tahoma" w:cs="Tahoma"/>
          <w:szCs w:val="20"/>
          <w:rtl/>
        </w:rPr>
      </w:pPr>
    </w:p>
    <w:sectPr w:rsidR="00960877" w:rsidRPr="008B17A0" w:rsidSect="006A2D1D">
      <w:headerReference w:type="default" r:id="rId20"/>
      <w:footerReference w:type="default" r:id="rId21"/>
      <w:pgSz w:w="11906" w:h="16838"/>
      <w:pgMar w:top="2268" w:right="1985" w:bottom="2155" w:left="1701"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6500" w:rsidRDefault="00316500">
      <w:pPr>
        <w:spacing w:line="240" w:lineRule="auto"/>
      </w:pPr>
      <w:r>
        <w:separator/>
      </w:r>
    </w:p>
  </w:endnote>
  <w:endnote w:type="continuationSeparator" w:id="0">
    <w:p w:rsidR="00316500" w:rsidRDefault="003165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David">
    <w:panose1 w:val="020E0502060401010101"/>
    <w:charset w:val="B1"/>
    <w:family w:val="swiss"/>
    <w:pitch w:val="variable"/>
    <w:sig w:usb0="00000801" w:usb1="00000000" w:usb2="00000000" w:usb3="00000000" w:csb0="00000020" w:csb1="00000000"/>
  </w:font>
  <w:font w:name="FrankRuehl">
    <w:altName w:val="Arial"/>
    <w:panose1 w:val="020E0503060101010101"/>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593" w:rsidRPr="00DE6C5F" w:rsidRDefault="00AC7CAF" w:rsidP="00DE6C5F">
    <w:pPr>
      <w:pStyle w:val="Footer"/>
      <w:spacing w:after="120" w:line="312" w:lineRule="auto"/>
      <w:jc w:val="right"/>
      <w:rPr>
        <w:rFonts w:ascii="Tahoma" w:hAnsi="Tahoma" w:cs="Tahoma"/>
        <w:color w:val="002060"/>
        <w:sz w:val="18"/>
        <w:szCs w:val="18"/>
      </w:rPr>
    </w:pPr>
    <w:r w:rsidRPr="00AC7CAF">
      <w:rPr>
        <w:rFonts w:ascii="Tahoma" w:hAnsi="Tahoma" w:cs="Tahoma"/>
        <w:color w:val="002060"/>
        <w:sz w:val="18"/>
        <w:szCs w:val="18"/>
        <w:rtl/>
      </w:rPr>
      <w:t>משרד האוצר - רשות המיסים בישראל</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593" w:rsidRPr="00D15500" w:rsidRDefault="00327593" w:rsidP="00D15500">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877" w:rsidRPr="00960877" w:rsidRDefault="00960877" w:rsidP="009608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6500" w:rsidRDefault="00316500" w:rsidP="00C23CC9">
      <w:pPr>
        <w:spacing w:line="240" w:lineRule="auto"/>
      </w:pPr>
      <w:r>
        <w:separator/>
      </w:r>
    </w:p>
  </w:footnote>
  <w:footnote w:type="continuationSeparator" w:id="0">
    <w:p w:rsidR="00316500" w:rsidRDefault="00316500" w:rsidP="00C23CC9">
      <w:pPr>
        <w:spacing w:line="240" w:lineRule="auto"/>
      </w:pPr>
      <w:r>
        <w:continuationSeparator/>
      </w:r>
    </w:p>
  </w:footnote>
  <w:footnote w:id="1">
    <w:p w:rsidR="009169B9" w:rsidRPr="00743C5C" w:rsidRDefault="009169B9" w:rsidP="00A01312">
      <w:pPr>
        <w:pStyle w:val="FootnoteText"/>
        <w:spacing w:after="60" w:line="312" w:lineRule="auto"/>
        <w:ind w:left="397" w:hanging="397"/>
        <w:rPr>
          <w:rFonts w:ascii="Tahoma" w:hAnsi="Tahoma" w:cs="Tahoma"/>
          <w:sz w:val="16"/>
          <w:szCs w:val="16"/>
        </w:rPr>
      </w:pPr>
      <w:r w:rsidRPr="005A2F6D">
        <w:rPr>
          <w:rStyle w:val="FootnoteReference"/>
          <w:rFonts w:ascii="Tahoma" w:hAnsi="Tahoma" w:cs="Tahoma"/>
          <w:sz w:val="16"/>
          <w:szCs w:val="16"/>
          <w:vertAlign w:val="baseline"/>
        </w:rPr>
        <w:footnoteRef/>
      </w:r>
      <w:r w:rsidRPr="00743C5C">
        <w:rPr>
          <w:rFonts w:ascii="Tahoma" w:hAnsi="Tahoma" w:cs="Tahoma"/>
          <w:sz w:val="16"/>
          <w:szCs w:val="16"/>
          <w:rtl/>
        </w:rPr>
        <w:t xml:space="preserve"> </w:t>
      </w:r>
      <w:r w:rsidRPr="00743C5C">
        <w:rPr>
          <w:rFonts w:ascii="Tahoma" w:hAnsi="Tahoma" w:cs="Tahoma"/>
          <w:sz w:val="16"/>
          <w:szCs w:val="16"/>
          <w:rtl/>
        </w:rPr>
        <w:tab/>
        <w:t>כלי הרכב הכלולים בהסדר הסולר.</w:t>
      </w:r>
    </w:p>
  </w:footnote>
  <w:footnote w:id="2">
    <w:p w:rsidR="009169B9" w:rsidRPr="00743C5C" w:rsidRDefault="009169B9" w:rsidP="00A01312">
      <w:pPr>
        <w:pStyle w:val="FootnoteText"/>
        <w:spacing w:after="60" w:line="312" w:lineRule="auto"/>
        <w:ind w:left="397" w:hanging="397"/>
        <w:rPr>
          <w:rFonts w:ascii="Tahoma" w:hAnsi="Tahoma" w:cs="Tahoma"/>
          <w:sz w:val="16"/>
          <w:szCs w:val="16"/>
          <w:rtl/>
        </w:rPr>
      </w:pPr>
      <w:r w:rsidRPr="005A2F6D">
        <w:rPr>
          <w:rStyle w:val="FootnoteReference"/>
          <w:rFonts w:ascii="Tahoma" w:hAnsi="Tahoma" w:cs="Tahoma"/>
          <w:sz w:val="16"/>
          <w:szCs w:val="16"/>
          <w:vertAlign w:val="baseline"/>
        </w:rPr>
        <w:footnoteRef/>
      </w:r>
      <w:r w:rsidRPr="00743C5C">
        <w:rPr>
          <w:rFonts w:ascii="Tahoma" w:hAnsi="Tahoma" w:cs="Tahoma"/>
          <w:sz w:val="16"/>
          <w:szCs w:val="16"/>
          <w:rtl/>
        </w:rPr>
        <w:t xml:space="preserve"> </w:t>
      </w:r>
      <w:r w:rsidRPr="00743C5C">
        <w:rPr>
          <w:rFonts w:ascii="Tahoma" w:hAnsi="Tahoma" w:cs="Tahoma"/>
          <w:sz w:val="16"/>
          <w:szCs w:val="16"/>
          <w:rtl/>
        </w:rPr>
        <w:tab/>
        <w:t>למשל, צריכה שנתית לשנת 2018 של אוטובוס ציבורי היא 41,313 ליטר; צריכה שנתית של כלי רכב מסחרי לסוגיו היא 11,778 - 75,400 ליטר.</w:t>
      </w:r>
    </w:p>
  </w:footnote>
  <w:footnote w:id="3">
    <w:p w:rsidR="009169B9" w:rsidRPr="00743C5C" w:rsidRDefault="009169B9" w:rsidP="00A01312">
      <w:pPr>
        <w:pStyle w:val="FootnoteText"/>
        <w:spacing w:after="60" w:line="312" w:lineRule="auto"/>
        <w:ind w:left="397" w:hanging="397"/>
        <w:rPr>
          <w:rFonts w:ascii="Tahoma" w:hAnsi="Tahoma" w:cs="Tahoma"/>
          <w:sz w:val="16"/>
          <w:szCs w:val="16"/>
          <w:rtl/>
        </w:rPr>
      </w:pPr>
      <w:r w:rsidRPr="005A2F6D">
        <w:rPr>
          <w:rStyle w:val="FootnoteReference"/>
          <w:rFonts w:ascii="Tahoma" w:hAnsi="Tahoma" w:cs="Tahoma"/>
          <w:sz w:val="16"/>
          <w:szCs w:val="16"/>
          <w:vertAlign w:val="baseline"/>
        </w:rPr>
        <w:footnoteRef/>
      </w:r>
      <w:r w:rsidRPr="00743C5C">
        <w:rPr>
          <w:rFonts w:ascii="Tahoma" w:hAnsi="Tahoma" w:cs="Tahoma"/>
          <w:sz w:val="16"/>
          <w:szCs w:val="16"/>
          <w:rtl/>
        </w:rPr>
        <w:t xml:space="preserve"> </w:t>
      </w:r>
      <w:r w:rsidRPr="00743C5C">
        <w:rPr>
          <w:rFonts w:ascii="Tahoma" w:hAnsi="Tahoma" w:cs="Tahoma"/>
          <w:sz w:val="16"/>
          <w:szCs w:val="16"/>
          <w:rtl/>
        </w:rPr>
        <w:tab/>
        <w:t xml:space="preserve">מבקר המדינה, </w:t>
      </w:r>
      <w:r w:rsidRPr="00743C5C">
        <w:rPr>
          <w:rFonts w:ascii="Tahoma" w:hAnsi="Tahoma" w:cs="Tahoma"/>
          <w:b/>
          <w:bCs/>
          <w:sz w:val="16"/>
          <w:szCs w:val="16"/>
          <w:rtl/>
        </w:rPr>
        <w:t>דוח שנתי 66א</w:t>
      </w:r>
      <w:r w:rsidRPr="00743C5C">
        <w:rPr>
          <w:rFonts w:ascii="Tahoma" w:hAnsi="Tahoma" w:cs="Tahoma"/>
          <w:sz w:val="16"/>
          <w:szCs w:val="16"/>
          <w:rtl/>
        </w:rPr>
        <w:t xml:space="preserve"> (2015), "הסדר הסולר - רשות המסים בישראל", עמ' 275 עד 296. </w:t>
      </w:r>
    </w:p>
  </w:footnote>
  <w:footnote w:id="4">
    <w:p w:rsidR="009169B9" w:rsidRPr="00743C5C" w:rsidRDefault="009169B9" w:rsidP="00A01312">
      <w:pPr>
        <w:pStyle w:val="FootnoteText"/>
        <w:spacing w:after="60" w:line="312" w:lineRule="auto"/>
        <w:ind w:left="397" w:hanging="397"/>
        <w:rPr>
          <w:rFonts w:ascii="Tahoma" w:hAnsi="Tahoma" w:cs="Tahoma"/>
          <w:sz w:val="16"/>
          <w:szCs w:val="16"/>
          <w:rtl/>
        </w:rPr>
      </w:pPr>
      <w:r w:rsidRPr="005A2F6D">
        <w:rPr>
          <w:rStyle w:val="FootnoteReference"/>
          <w:rFonts w:ascii="Tahoma" w:hAnsi="Tahoma" w:cs="Tahoma"/>
          <w:sz w:val="16"/>
          <w:szCs w:val="16"/>
          <w:vertAlign w:val="baseline"/>
        </w:rPr>
        <w:footnoteRef/>
      </w:r>
      <w:r w:rsidRPr="00743C5C">
        <w:rPr>
          <w:rFonts w:ascii="Tahoma" w:hAnsi="Tahoma" w:cs="Tahoma"/>
          <w:sz w:val="16"/>
          <w:szCs w:val="16"/>
          <w:rtl/>
        </w:rPr>
        <w:t xml:space="preserve"> </w:t>
      </w:r>
      <w:r w:rsidRPr="00743C5C">
        <w:rPr>
          <w:rFonts w:ascii="Tahoma" w:hAnsi="Tahoma" w:cs="Tahoma"/>
          <w:sz w:val="16"/>
          <w:szCs w:val="16"/>
          <w:rtl/>
        </w:rPr>
        <w:tab/>
        <w:t>הערות ראש הממשלה לדוח מבקר המדינה 66א, ירושלים, חשון תשע"ו, אוקטובר 2015.</w:t>
      </w:r>
    </w:p>
  </w:footnote>
  <w:footnote w:id="5">
    <w:p w:rsidR="009169B9" w:rsidRPr="00743C5C" w:rsidRDefault="009169B9" w:rsidP="00A01312">
      <w:pPr>
        <w:pStyle w:val="FootnoteText"/>
        <w:spacing w:after="60" w:line="312" w:lineRule="auto"/>
        <w:ind w:left="397" w:hanging="397"/>
        <w:rPr>
          <w:rFonts w:ascii="Tahoma" w:hAnsi="Tahoma" w:cs="Tahoma"/>
          <w:sz w:val="16"/>
          <w:szCs w:val="16"/>
          <w:rtl/>
        </w:rPr>
      </w:pPr>
      <w:r w:rsidRPr="005A2F6D">
        <w:rPr>
          <w:rStyle w:val="FootnoteReference"/>
          <w:rFonts w:ascii="Tahoma" w:hAnsi="Tahoma" w:cs="Tahoma"/>
          <w:sz w:val="16"/>
          <w:szCs w:val="16"/>
          <w:vertAlign w:val="baseline"/>
        </w:rPr>
        <w:footnoteRef/>
      </w:r>
      <w:r w:rsidRPr="00743C5C">
        <w:rPr>
          <w:rFonts w:ascii="Tahoma" w:hAnsi="Tahoma" w:cs="Tahoma"/>
          <w:sz w:val="16"/>
          <w:szCs w:val="16"/>
          <w:rtl/>
        </w:rPr>
        <w:t xml:space="preserve"> </w:t>
      </w:r>
      <w:r w:rsidRPr="00743C5C">
        <w:rPr>
          <w:rFonts w:ascii="Tahoma" w:hAnsi="Tahoma" w:cs="Tahoma"/>
          <w:sz w:val="16"/>
          <w:szCs w:val="16"/>
          <w:rtl/>
        </w:rPr>
        <w:tab/>
        <w:t xml:space="preserve">ראו מבקר המדינה, </w:t>
      </w:r>
      <w:r w:rsidRPr="00743C5C">
        <w:rPr>
          <w:rFonts w:ascii="Tahoma" w:hAnsi="Tahoma" w:cs="Tahoma"/>
          <w:b/>
          <w:bCs/>
          <w:sz w:val="16"/>
          <w:szCs w:val="16"/>
          <w:rtl/>
        </w:rPr>
        <w:t>דוח שנתי 57ב</w:t>
      </w:r>
      <w:r w:rsidRPr="00743C5C">
        <w:rPr>
          <w:rFonts w:ascii="Tahoma" w:hAnsi="Tahoma" w:cs="Tahoma"/>
          <w:sz w:val="16"/>
          <w:szCs w:val="16"/>
          <w:rtl/>
        </w:rPr>
        <w:t xml:space="preserve"> (2007), "ההתמודדות עם תופעת החשבוניות הפיקטיביות", </w:t>
      </w:r>
      <w:r w:rsidRPr="00743C5C">
        <w:rPr>
          <w:rFonts w:ascii="Tahoma" w:hAnsi="Tahoma" w:cs="Tahoma"/>
          <w:sz w:val="16"/>
          <w:szCs w:val="16"/>
          <w:rtl/>
        </w:rPr>
        <w:br/>
        <w:t xml:space="preserve">עמ' 295 - 301. </w:t>
      </w:r>
    </w:p>
  </w:footnote>
  <w:footnote w:id="6">
    <w:p w:rsidR="009169B9" w:rsidRPr="00743C5C" w:rsidRDefault="009169B9" w:rsidP="00A01312">
      <w:pPr>
        <w:pStyle w:val="FootnoteText"/>
        <w:spacing w:after="60" w:line="312" w:lineRule="auto"/>
        <w:ind w:left="397" w:hanging="397"/>
        <w:rPr>
          <w:rFonts w:ascii="Tahoma" w:hAnsi="Tahoma" w:cs="Tahoma"/>
          <w:sz w:val="16"/>
          <w:szCs w:val="16"/>
          <w:rtl/>
        </w:rPr>
      </w:pPr>
      <w:r w:rsidRPr="005A2F6D">
        <w:rPr>
          <w:rStyle w:val="FootnoteReference"/>
          <w:rFonts w:ascii="Tahoma" w:hAnsi="Tahoma" w:cs="Tahoma"/>
          <w:sz w:val="16"/>
          <w:szCs w:val="16"/>
          <w:vertAlign w:val="baseline"/>
        </w:rPr>
        <w:footnoteRef/>
      </w:r>
      <w:r w:rsidRPr="00743C5C">
        <w:rPr>
          <w:rFonts w:ascii="Tahoma" w:hAnsi="Tahoma" w:cs="Tahoma"/>
          <w:sz w:val="16"/>
          <w:szCs w:val="16"/>
          <w:rtl/>
        </w:rPr>
        <w:t xml:space="preserve"> </w:t>
      </w:r>
      <w:r w:rsidRPr="00743C5C">
        <w:rPr>
          <w:rFonts w:ascii="Tahoma" w:hAnsi="Tahoma" w:cs="Tahoma"/>
          <w:sz w:val="16"/>
          <w:szCs w:val="16"/>
          <w:rtl/>
        </w:rPr>
        <w:tab/>
        <w:t xml:space="preserve">ראו מבקר המדינה, </w:t>
      </w:r>
      <w:r w:rsidRPr="00743C5C">
        <w:rPr>
          <w:rFonts w:ascii="Tahoma" w:hAnsi="Tahoma" w:cs="Tahoma"/>
          <w:b/>
          <w:bCs/>
          <w:sz w:val="16"/>
          <w:szCs w:val="16"/>
          <w:rtl/>
        </w:rPr>
        <w:t>דוח שנתי א64</w:t>
      </w:r>
      <w:r w:rsidRPr="00743C5C">
        <w:rPr>
          <w:rFonts w:ascii="Tahoma" w:hAnsi="Tahoma" w:cs="Tahoma"/>
          <w:sz w:val="16"/>
          <w:szCs w:val="16"/>
          <w:rtl/>
        </w:rPr>
        <w:t xml:space="preserve"> (2013), "פעילות המערכת החדשה לאיתור חשבוניות פיקטיביות", </w:t>
      </w:r>
      <w:r w:rsidRPr="00743C5C">
        <w:rPr>
          <w:rFonts w:ascii="Tahoma" w:hAnsi="Tahoma" w:cs="Tahoma"/>
          <w:sz w:val="16"/>
          <w:szCs w:val="16"/>
          <w:rtl/>
        </w:rPr>
        <w:br/>
        <w:t>עמ' 191 - 206.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979" w:rsidRDefault="008A6979" w:rsidP="008A6979">
    <w:pPr>
      <w:pStyle w:val="Header"/>
      <w:tabs>
        <w:tab w:val="clear" w:pos="4153"/>
        <w:tab w:val="clear" w:pos="8306"/>
        <w:tab w:val="left" w:pos="493"/>
        <w:tab w:val="center" w:pos="4111"/>
        <w:tab w:val="right" w:pos="7478"/>
        <w:tab w:val="right" w:pos="8222"/>
      </w:tabs>
      <w:jc w:val="left"/>
    </w:pPr>
    <w:r>
      <w:rPr>
        <w:noProof/>
      </w:rPr>
      <w:drawing>
        <wp:anchor distT="0" distB="0" distL="114300" distR="114300" simplePos="0" relativeHeight="251660800" behindDoc="1" locked="0" layoutInCell="1" allowOverlap="1" wp14:anchorId="63196CA1" wp14:editId="616950C6">
          <wp:simplePos x="0" y="0"/>
          <wp:positionH relativeFrom="column">
            <wp:posOffset>-635</wp:posOffset>
          </wp:positionH>
          <wp:positionV relativeFrom="paragraph">
            <wp:posOffset>-81915</wp:posOffset>
          </wp:positionV>
          <wp:extent cx="5219700" cy="309245"/>
          <wp:effectExtent l="0" t="0" r="0" b="0"/>
          <wp:wrapNone/>
          <wp:docPr id="3" name="Picture 4" descr="סמל מדינת ישראל וסמל משרד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yout.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19700" cy="309245"/>
                  </a:xfrm>
                  <a:prstGeom prst="rect">
                    <a:avLst/>
                  </a:prstGeom>
                </pic:spPr>
              </pic:pic>
            </a:graphicData>
          </a:graphic>
          <wp14:sizeRelH relativeFrom="margin">
            <wp14:pctWidth>0</wp14:pctWidth>
          </wp14:sizeRelH>
          <wp14:sizeRelV relativeFrom="margin">
            <wp14:pctHeight>0</wp14:pctHeight>
          </wp14:sizeRelV>
        </wp:anchor>
      </w:drawing>
    </w:r>
    <w:r>
      <w:tab/>
    </w:r>
    <w:r w:rsidRPr="005B4811">
      <w:rPr>
        <w:rFonts w:ascii="Tahoma" w:hAnsi="Tahoma" w:cs="Tahoma" w:hint="cs"/>
        <w:color w:val="002060"/>
        <w:sz w:val="18"/>
        <w:szCs w:val="18"/>
        <w:rtl/>
      </w:rPr>
      <w:t>מדינת ישראל</w:t>
    </w:r>
    <w:r>
      <w:rPr>
        <w:rFonts w:ascii="Tahoma" w:hAnsi="Tahoma" w:cs="Tahoma"/>
        <w:color w:val="002060"/>
        <w:sz w:val="18"/>
        <w:szCs w:val="18"/>
      </w:rPr>
      <w:tab/>
    </w: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sidR="006040C1">
      <w:rPr>
        <w:noProof/>
        <w:rtl/>
      </w:rPr>
      <w:t>554</w:t>
    </w:r>
    <w:r>
      <w:rPr>
        <w:rtl/>
      </w:rPr>
      <w:fldChar w:fldCharType="end"/>
    </w:r>
    <w:r>
      <w:t xml:space="preserve"> </w:t>
    </w:r>
    <w:r>
      <w:rPr>
        <w:rtl/>
      </w:rPr>
      <w:t>-</w:t>
    </w:r>
    <w:r>
      <w:rPr>
        <w:rFonts w:ascii="Tahoma" w:hAnsi="Tahoma" w:cs="Tahoma"/>
        <w:color w:val="002060"/>
        <w:sz w:val="18"/>
        <w:szCs w:val="18"/>
      </w:rPr>
      <w:tab/>
    </w: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593" w:rsidRPr="008A6979" w:rsidRDefault="00327593" w:rsidP="008A6979">
    <w:pPr>
      <w:pStyle w:val="Header"/>
      <w:rPr>
        <w:szCs w:val="20"/>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877" w:rsidRPr="00960877" w:rsidRDefault="00960877" w:rsidP="009608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636125"/>
    <w:multiLevelType w:val="hybridMultilevel"/>
    <w:tmpl w:val="38043AEE"/>
    <w:lvl w:ilvl="0" w:tplc="E4949CA6">
      <w:start w:val="1"/>
      <w:numFmt w:val="decimal"/>
      <w:lvlText w:val="%1."/>
      <w:lvlJc w:val="left"/>
      <w:pPr>
        <w:ind w:left="672" w:hanging="360"/>
      </w:pPr>
      <w:rPr>
        <w:rFonts w:eastAsiaTheme="majorEastAsia" w:hint="default"/>
        <w:b/>
        <w:bCs w:val="0"/>
        <w:color w:val="004E6C"/>
      </w:rPr>
    </w:lvl>
    <w:lvl w:ilvl="1" w:tplc="413CFA68" w:tentative="1">
      <w:start w:val="1"/>
      <w:numFmt w:val="lowerLetter"/>
      <w:lvlText w:val="%2."/>
      <w:lvlJc w:val="left"/>
      <w:pPr>
        <w:ind w:left="1392" w:hanging="360"/>
      </w:pPr>
    </w:lvl>
    <w:lvl w:ilvl="2" w:tplc="348A15C4" w:tentative="1">
      <w:start w:val="1"/>
      <w:numFmt w:val="lowerRoman"/>
      <w:lvlText w:val="%3."/>
      <w:lvlJc w:val="right"/>
      <w:pPr>
        <w:ind w:left="2112" w:hanging="180"/>
      </w:pPr>
    </w:lvl>
    <w:lvl w:ilvl="3" w:tplc="550AC820" w:tentative="1">
      <w:start w:val="1"/>
      <w:numFmt w:val="decimal"/>
      <w:lvlText w:val="%4."/>
      <w:lvlJc w:val="left"/>
      <w:pPr>
        <w:ind w:left="2832" w:hanging="360"/>
      </w:pPr>
    </w:lvl>
    <w:lvl w:ilvl="4" w:tplc="217E3594" w:tentative="1">
      <w:start w:val="1"/>
      <w:numFmt w:val="lowerLetter"/>
      <w:lvlText w:val="%5."/>
      <w:lvlJc w:val="left"/>
      <w:pPr>
        <w:ind w:left="3552" w:hanging="360"/>
      </w:pPr>
    </w:lvl>
    <w:lvl w:ilvl="5" w:tplc="B794390C" w:tentative="1">
      <w:start w:val="1"/>
      <w:numFmt w:val="lowerRoman"/>
      <w:lvlText w:val="%6."/>
      <w:lvlJc w:val="right"/>
      <w:pPr>
        <w:ind w:left="4272" w:hanging="180"/>
      </w:pPr>
    </w:lvl>
    <w:lvl w:ilvl="6" w:tplc="DA0221E6" w:tentative="1">
      <w:start w:val="1"/>
      <w:numFmt w:val="decimal"/>
      <w:lvlText w:val="%7."/>
      <w:lvlJc w:val="left"/>
      <w:pPr>
        <w:ind w:left="4992" w:hanging="360"/>
      </w:pPr>
    </w:lvl>
    <w:lvl w:ilvl="7" w:tplc="B8B0C850" w:tentative="1">
      <w:start w:val="1"/>
      <w:numFmt w:val="lowerLetter"/>
      <w:lvlText w:val="%8."/>
      <w:lvlJc w:val="left"/>
      <w:pPr>
        <w:ind w:left="5712" w:hanging="360"/>
      </w:pPr>
    </w:lvl>
    <w:lvl w:ilvl="8" w:tplc="5D281F36" w:tentative="1">
      <w:start w:val="1"/>
      <w:numFmt w:val="lowerRoman"/>
      <w:lvlText w:val="%9."/>
      <w:lvlJc w:val="right"/>
      <w:pPr>
        <w:ind w:left="6432" w:hanging="180"/>
      </w:pPr>
    </w:lvl>
  </w:abstractNum>
  <w:abstractNum w:abstractNumId="1">
    <w:nsid w:val="1B5258AD"/>
    <w:multiLevelType w:val="hybridMultilevel"/>
    <w:tmpl w:val="F620D9CA"/>
    <w:lvl w:ilvl="0" w:tplc="DDAA5962">
      <w:start w:val="1"/>
      <w:numFmt w:val="hebrew1"/>
      <w:lvlText w:val="%1."/>
      <w:lvlJc w:val="left"/>
      <w:pPr>
        <w:ind w:left="672" w:hanging="360"/>
      </w:pPr>
      <w:rPr>
        <w:rFonts w:hint="default"/>
        <w:b/>
        <w:bCs w:val="0"/>
        <w:color w:val="244061" w:themeColor="accent1" w:themeShade="80"/>
      </w:rPr>
    </w:lvl>
    <w:lvl w:ilvl="1" w:tplc="82FED20E" w:tentative="1">
      <w:start w:val="1"/>
      <w:numFmt w:val="lowerLetter"/>
      <w:lvlText w:val="%2."/>
      <w:lvlJc w:val="left"/>
      <w:pPr>
        <w:ind w:left="1392" w:hanging="360"/>
      </w:pPr>
    </w:lvl>
    <w:lvl w:ilvl="2" w:tplc="03E01C5E" w:tentative="1">
      <w:start w:val="1"/>
      <w:numFmt w:val="lowerRoman"/>
      <w:lvlText w:val="%3."/>
      <w:lvlJc w:val="right"/>
      <w:pPr>
        <w:ind w:left="2112" w:hanging="180"/>
      </w:pPr>
    </w:lvl>
    <w:lvl w:ilvl="3" w:tplc="C7268972" w:tentative="1">
      <w:start w:val="1"/>
      <w:numFmt w:val="decimal"/>
      <w:lvlText w:val="%4."/>
      <w:lvlJc w:val="left"/>
      <w:pPr>
        <w:ind w:left="2832" w:hanging="360"/>
      </w:pPr>
    </w:lvl>
    <w:lvl w:ilvl="4" w:tplc="44A01186" w:tentative="1">
      <w:start w:val="1"/>
      <w:numFmt w:val="lowerLetter"/>
      <w:lvlText w:val="%5."/>
      <w:lvlJc w:val="left"/>
      <w:pPr>
        <w:ind w:left="3552" w:hanging="360"/>
      </w:pPr>
    </w:lvl>
    <w:lvl w:ilvl="5" w:tplc="B7748EB8" w:tentative="1">
      <w:start w:val="1"/>
      <w:numFmt w:val="lowerRoman"/>
      <w:lvlText w:val="%6."/>
      <w:lvlJc w:val="right"/>
      <w:pPr>
        <w:ind w:left="4272" w:hanging="180"/>
      </w:pPr>
    </w:lvl>
    <w:lvl w:ilvl="6" w:tplc="C660F4AE" w:tentative="1">
      <w:start w:val="1"/>
      <w:numFmt w:val="decimal"/>
      <w:lvlText w:val="%7."/>
      <w:lvlJc w:val="left"/>
      <w:pPr>
        <w:ind w:left="4992" w:hanging="360"/>
      </w:pPr>
    </w:lvl>
    <w:lvl w:ilvl="7" w:tplc="78C6DDB4" w:tentative="1">
      <w:start w:val="1"/>
      <w:numFmt w:val="lowerLetter"/>
      <w:lvlText w:val="%8."/>
      <w:lvlJc w:val="left"/>
      <w:pPr>
        <w:ind w:left="5712" w:hanging="360"/>
      </w:pPr>
    </w:lvl>
    <w:lvl w:ilvl="8" w:tplc="EBCEFBC2" w:tentative="1">
      <w:start w:val="1"/>
      <w:numFmt w:val="lowerRoman"/>
      <w:lvlText w:val="%9."/>
      <w:lvlJc w:val="right"/>
      <w:pPr>
        <w:ind w:left="6432" w:hanging="180"/>
      </w:pPr>
    </w:lvl>
  </w:abstractNum>
  <w:abstractNum w:abstractNumId="2">
    <w:nsid w:val="468531F0"/>
    <w:multiLevelType w:val="hybridMultilevel"/>
    <w:tmpl w:val="C404811C"/>
    <w:lvl w:ilvl="0" w:tplc="705E2C1E">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3">
    <w:nsid w:val="4991073E"/>
    <w:multiLevelType w:val="hybridMultilevel"/>
    <w:tmpl w:val="B6F41DD4"/>
    <w:lvl w:ilvl="0" w:tplc="6750FB70">
      <w:start w:val="1"/>
      <w:numFmt w:val="decimal"/>
      <w:lvlText w:val="%1."/>
      <w:lvlJc w:val="left"/>
      <w:pPr>
        <w:ind w:left="672" w:hanging="360"/>
      </w:pPr>
      <w:rPr>
        <w:rFonts w:hint="default"/>
        <w:b/>
        <w:bCs w:val="0"/>
        <w:color w:val="auto"/>
      </w:rPr>
    </w:lvl>
    <w:lvl w:ilvl="1" w:tplc="413CFA68" w:tentative="1">
      <w:start w:val="1"/>
      <w:numFmt w:val="lowerLetter"/>
      <w:lvlText w:val="%2."/>
      <w:lvlJc w:val="left"/>
      <w:pPr>
        <w:ind w:left="1392" w:hanging="360"/>
      </w:pPr>
    </w:lvl>
    <w:lvl w:ilvl="2" w:tplc="348A15C4" w:tentative="1">
      <w:start w:val="1"/>
      <w:numFmt w:val="lowerRoman"/>
      <w:lvlText w:val="%3."/>
      <w:lvlJc w:val="right"/>
      <w:pPr>
        <w:ind w:left="2112" w:hanging="180"/>
      </w:pPr>
    </w:lvl>
    <w:lvl w:ilvl="3" w:tplc="550AC820" w:tentative="1">
      <w:start w:val="1"/>
      <w:numFmt w:val="decimal"/>
      <w:lvlText w:val="%4."/>
      <w:lvlJc w:val="left"/>
      <w:pPr>
        <w:ind w:left="2832" w:hanging="360"/>
      </w:pPr>
    </w:lvl>
    <w:lvl w:ilvl="4" w:tplc="217E3594" w:tentative="1">
      <w:start w:val="1"/>
      <w:numFmt w:val="lowerLetter"/>
      <w:lvlText w:val="%5."/>
      <w:lvlJc w:val="left"/>
      <w:pPr>
        <w:ind w:left="3552" w:hanging="360"/>
      </w:pPr>
    </w:lvl>
    <w:lvl w:ilvl="5" w:tplc="B794390C" w:tentative="1">
      <w:start w:val="1"/>
      <w:numFmt w:val="lowerRoman"/>
      <w:lvlText w:val="%6."/>
      <w:lvlJc w:val="right"/>
      <w:pPr>
        <w:ind w:left="4272" w:hanging="180"/>
      </w:pPr>
    </w:lvl>
    <w:lvl w:ilvl="6" w:tplc="DA0221E6" w:tentative="1">
      <w:start w:val="1"/>
      <w:numFmt w:val="decimal"/>
      <w:lvlText w:val="%7."/>
      <w:lvlJc w:val="left"/>
      <w:pPr>
        <w:ind w:left="4992" w:hanging="360"/>
      </w:pPr>
    </w:lvl>
    <w:lvl w:ilvl="7" w:tplc="B8B0C850" w:tentative="1">
      <w:start w:val="1"/>
      <w:numFmt w:val="lowerLetter"/>
      <w:lvlText w:val="%8."/>
      <w:lvlJc w:val="left"/>
      <w:pPr>
        <w:ind w:left="5712" w:hanging="360"/>
      </w:pPr>
    </w:lvl>
    <w:lvl w:ilvl="8" w:tplc="5D281F36" w:tentative="1">
      <w:start w:val="1"/>
      <w:numFmt w:val="lowerRoman"/>
      <w:lvlText w:val="%9."/>
      <w:lvlJc w:val="right"/>
      <w:pPr>
        <w:ind w:left="6432" w:hanging="180"/>
      </w:pPr>
    </w:lvl>
  </w:abstractNum>
  <w:abstractNum w:abstractNumId="4">
    <w:nsid w:val="4A7C4BCF"/>
    <w:multiLevelType w:val="hybridMultilevel"/>
    <w:tmpl w:val="F806A040"/>
    <w:lvl w:ilvl="0" w:tplc="AF5E162A">
      <w:start w:val="1"/>
      <w:numFmt w:val="decimal"/>
      <w:lvlText w:val="%1."/>
      <w:lvlJc w:val="left"/>
      <w:pPr>
        <w:ind w:left="720" w:hanging="360"/>
      </w:pPr>
      <w:rPr>
        <w:rFonts w:hint="default"/>
        <w:sz w:val="24"/>
      </w:rPr>
    </w:lvl>
    <w:lvl w:ilvl="1" w:tplc="A8D235AA">
      <w:start w:val="1"/>
      <w:numFmt w:val="lowerLetter"/>
      <w:lvlText w:val="%2."/>
      <w:lvlJc w:val="left"/>
      <w:pPr>
        <w:ind w:left="1440" w:hanging="360"/>
      </w:pPr>
    </w:lvl>
    <w:lvl w:ilvl="2" w:tplc="1892E49A" w:tentative="1">
      <w:start w:val="1"/>
      <w:numFmt w:val="lowerRoman"/>
      <w:lvlText w:val="%3."/>
      <w:lvlJc w:val="right"/>
      <w:pPr>
        <w:ind w:left="2160" w:hanging="180"/>
      </w:pPr>
    </w:lvl>
    <w:lvl w:ilvl="3" w:tplc="7F8A3612" w:tentative="1">
      <w:start w:val="1"/>
      <w:numFmt w:val="decimal"/>
      <w:lvlText w:val="%4."/>
      <w:lvlJc w:val="left"/>
      <w:pPr>
        <w:ind w:left="2880" w:hanging="360"/>
      </w:pPr>
    </w:lvl>
    <w:lvl w:ilvl="4" w:tplc="D2860CC0" w:tentative="1">
      <w:start w:val="1"/>
      <w:numFmt w:val="lowerLetter"/>
      <w:lvlText w:val="%5."/>
      <w:lvlJc w:val="left"/>
      <w:pPr>
        <w:ind w:left="3600" w:hanging="360"/>
      </w:pPr>
    </w:lvl>
    <w:lvl w:ilvl="5" w:tplc="A0766C2C" w:tentative="1">
      <w:start w:val="1"/>
      <w:numFmt w:val="lowerRoman"/>
      <w:lvlText w:val="%6."/>
      <w:lvlJc w:val="right"/>
      <w:pPr>
        <w:ind w:left="4320" w:hanging="180"/>
      </w:pPr>
    </w:lvl>
    <w:lvl w:ilvl="6" w:tplc="6B306F38">
      <w:start w:val="1"/>
      <w:numFmt w:val="decimal"/>
      <w:lvlText w:val="%7."/>
      <w:lvlJc w:val="left"/>
      <w:pPr>
        <w:ind w:left="5040" w:hanging="360"/>
      </w:pPr>
    </w:lvl>
    <w:lvl w:ilvl="7" w:tplc="5AE8040E" w:tentative="1">
      <w:start w:val="1"/>
      <w:numFmt w:val="lowerLetter"/>
      <w:lvlText w:val="%8."/>
      <w:lvlJc w:val="left"/>
      <w:pPr>
        <w:ind w:left="5760" w:hanging="360"/>
      </w:pPr>
    </w:lvl>
    <w:lvl w:ilvl="8" w:tplc="F0D8350E" w:tentative="1">
      <w:start w:val="1"/>
      <w:numFmt w:val="lowerRoman"/>
      <w:lvlText w:val="%9."/>
      <w:lvlJc w:val="right"/>
      <w:pPr>
        <w:ind w:left="6480" w:hanging="180"/>
      </w:pPr>
    </w:lvl>
  </w:abstractNum>
  <w:abstractNum w:abstractNumId="5">
    <w:nsid w:val="4B9379D1"/>
    <w:multiLevelType w:val="hybridMultilevel"/>
    <w:tmpl w:val="1EE22CCC"/>
    <w:lvl w:ilvl="0" w:tplc="AF5E162A">
      <w:start w:val="1"/>
      <w:numFmt w:val="decimal"/>
      <w:lvlText w:val="%1."/>
      <w:lvlJc w:val="left"/>
      <w:pPr>
        <w:ind w:left="720" w:hanging="360"/>
      </w:pPr>
      <w:rPr>
        <w:rFonts w:hint="default"/>
        <w:sz w:val="24"/>
      </w:rPr>
    </w:lvl>
    <w:lvl w:ilvl="1" w:tplc="04090013">
      <w:start w:val="1"/>
      <w:numFmt w:val="hebrew1"/>
      <w:lvlText w:val="%2."/>
      <w:lvlJc w:val="center"/>
      <w:pPr>
        <w:ind w:left="1440" w:hanging="360"/>
      </w:pPr>
    </w:lvl>
    <w:lvl w:ilvl="2" w:tplc="1892E49A" w:tentative="1">
      <w:start w:val="1"/>
      <w:numFmt w:val="lowerRoman"/>
      <w:lvlText w:val="%3."/>
      <w:lvlJc w:val="right"/>
      <w:pPr>
        <w:ind w:left="2160" w:hanging="180"/>
      </w:pPr>
    </w:lvl>
    <w:lvl w:ilvl="3" w:tplc="7F8A3612" w:tentative="1">
      <w:start w:val="1"/>
      <w:numFmt w:val="decimal"/>
      <w:lvlText w:val="%4."/>
      <w:lvlJc w:val="left"/>
      <w:pPr>
        <w:ind w:left="2880" w:hanging="360"/>
      </w:pPr>
    </w:lvl>
    <w:lvl w:ilvl="4" w:tplc="D2860CC0" w:tentative="1">
      <w:start w:val="1"/>
      <w:numFmt w:val="lowerLetter"/>
      <w:lvlText w:val="%5."/>
      <w:lvlJc w:val="left"/>
      <w:pPr>
        <w:ind w:left="3600" w:hanging="360"/>
      </w:pPr>
    </w:lvl>
    <w:lvl w:ilvl="5" w:tplc="A0766C2C" w:tentative="1">
      <w:start w:val="1"/>
      <w:numFmt w:val="lowerRoman"/>
      <w:lvlText w:val="%6."/>
      <w:lvlJc w:val="right"/>
      <w:pPr>
        <w:ind w:left="4320" w:hanging="180"/>
      </w:pPr>
    </w:lvl>
    <w:lvl w:ilvl="6" w:tplc="6B306F38">
      <w:start w:val="1"/>
      <w:numFmt w:val="decimal"/>
      <w:lvlText w:val="%7."/>
      <w:lvlJc w:val="left"/>
      <w:pPr>
        <w:ind w:left="5040" w:hanging="360"/>
      </w:pPr>
    </w:lvl>
    <w:lvl w:ilvl="7" w:tplc="5AE8040E" w:tentative="1">
      <w:start w:val="1"/>
      <w:numFmt w:val="lowerLetter"/>
      <w:lvlText w:val="%8."/>
      <w:lvlJc w:val="left"/>
      <w:pPr>
        <w:ind w:left="5760" w:hanging="360"/>
      </w:pPr>
    </w:lvl>
    <w:lvl w:ilvl="8" w:tplc="F0D8350E" w:tentative="1">
      <w:start w:val="1"/>
      <w:numFmt w:val="lowerRoman"/>
      <w:lvlText w:val="%9."/>
      <w:lvlJc w:val="right"/>
      <w:pPr>
        <w:ind w:left="6480" w:hanging="180"/>
      </w:pPr>
    </w:lvl>
  </w:abstractNum>
  <w:abstractNum w:abstractNumId="6">
    <w:nsid w:val="63113D87"/>
    <w:multiLevelType w:val="hybridMultilevel"/>
    <w:tmpl w:val="F620D9CA"/>
    <w:lvl w:ilvl="0" w:tplc="DDAA5962">
      <w:start w:val="1"/>
      <w:numFmt w:val="hebrew1"/>
      <w:lvlText w:val="%1."/>
      <w:lvlJc w:val="left"/>
      <w:pPr>
        <w:ind w:left="672" w:hanging="360"/>
      </w:pPr>
      <w:rPr>
        <w:rFonts w:hint="default"/>
        <w:b/>
        <w:bCs w:val="0"/>
        <w:color w:val="244061" w:themeColor="accent1" w:themeShade="80"/>
      </w:rPr>
    </w:lvl>
    <w:lvl w:ilvl="1" w:tplc="82FED20E" w:tentative="1">
      <w:start w:val="1"/>
      <w:numFmt w:val="lowerLetter"/>
      <w:lvlText w:val="%2."/>
      <w:lvlJc w:val="left"/>
      <w:pPr>
        <w:ind w:left="1392" w:hanging="360"/>
      </w:pPr>
    </w:lvl>
    <w:lvl w:ilvl="2" w:tplc="03E01C5E" w:tentative="1">
      <w:start w:val="1"/>
      <w:numFmt w:val="lowerRoman"/>
      <w:lvlText w:val="%3."/>
      <w:lvlJc w:val="right"/>
      <w:pPr>
        <w:ind w:left="2112" w:hanging="180"/>
      </w:pPr>
    </w:lvl>
    <w:lvl w:ilvl="3" w:tplc="C7268972" w:tentative="1">
      <w:start w:val="1"/>
      <w:numFmt w:val="decimal"/>
      <w:lvlText w:val="%4."/>
      <w:lvlJc w:val="left"/>
      <w:pPr>
        <w:ind w:left="2832" w:hanging="360"/>
      </w:pPr>
    </w:lvl>
    <w:lvl w:ilvl="4" w:tplc="44A01186" w:tentative="1">
      <w:start w:val="1"/>
      <w:numFmt w:val="lowerLetter"/>
      <w:lvlText w:val="%5."/>
      <w:lvlJc w:val="left"/>
      <w:pPr>
        <w:ind w:left="3552" w:hanging="360"/>
      </w:pPr>
    </w:lvl>
    <w:lvl w:ilvl="5" w:tplc="B7748EB8" w:tentative="1">
      <w:start w:val="1"/>
      <w:numFmt w:val="lowerRoman"/>
      <w:lvlText w:val="%6."/>
      <w:lvlJc w:val="right"/>
      <w:pPr>
        <w:ind w:left="4272" w:hanging="180"/>
      </w:pPr>
    </w:lvl>
    <w:lvl w:ilvl="6" w:tplc="C660F4AE" w:tentative="1">
      <w:start w:val="1"/>
      <w:numFmt w:val="decimal"/>
      <w:lvlText w:val="%7."/>
      <w:lvlJc w:val="left"/>
      <w:pPr>
        <w:ind w:left="4992" w:hanging="360"/>
      </w:pPr>
    </w:lvl>
    <w:lvl w:ilvl="7" w:tplc="78C6DDB4" w:tentative="1">
      <w:start w:val="1"/>
      <w:numFmt w:val="lowerLetter"/>
      <w:lvlText w:val="%8."/>
      <w:lvlJc w:val="left"/>
      <w:pPr>
        <w:ind w:left="5712" w:hanging="360"/>
      </w:pPr>
    </w:lvl>
    <w:lvl w:ilvl="8" w:tplc="EBCEFBC2" w:tentative="1">
      <w:start w:val="1"/>
      <w:numFmt w:val="lowerRoman"/>
      <w:lvlText w:val="%9."/>
      <w:lvlJc w:val="right"/>
      <w:pPr>
        <w:ind w:left="6432" w:hanging="180"/>
      </w:pPr>
    </w:lvl>
  </w:abstractNum>
  <w:abstractNum w:abstractNumId="7">
    <w:nsid w:val="63FF7159"/>
    <w:multiLevelType w:val="hybridMultilevel"/>
    <w:tmpl w:val="38043AEE"/>
    <w:lvl w:ilvl="0" w:tplc="E4949CA6">
      <w:start w:val="1"/>
      <w:numFmt w:val="decimal"/>
      <w:lvlText w:val="%1."/>
      <w:lvlJc w:val="left"/>
      <w:pPr>
        <w:ind w:left="672" w:hanging="360"/>
      </w:pPr>
      <w:rPr>
        <w:rFonts w:eastAsiaTheme="majorEastAsia" w:hint="default"/>
        <w:b/>
        <w:bCs w:val="0"/>
        <w:color w:val="004E6C"/>
      </w:rPr>
    </w:lvl>
    <w:lvl w:ilvl="1" w:tplc="413CFA68" w:tentative="1">
      <w:start w:val="1"/>
      <w:numFmt w:val="lowerLetter"/>
      <w:lvlText w:val="%2."/>
      <w:lvlJc w:val="left"/>
      <w:pPr>
        <w:ind w:left="1392" w:hanging="360"/>
      </w:pPr>
    </w:lvl>
    <w:lvl w:ilvl="2" w:tplc="348A15C4" w:tentative="1">
      <w:start w:val="1"/>
      <w:numFmt w:val="lowerRoman"/>
      <w:lvlText w:val="%3."/>
      <w:lvlJc w:val="right"/>
      <w:pPr>
        <w:ind w:left="2112" w:hanging="180"/>
      </w:pPr>
    </w:lvl>
    <w:lvl w:ilvl="3" w:tplc="550AC820" w:tentative="1">
      <w:start w:val="1"/>
      <w:numFmt w:val="decimal"/>
      <w:lvlText w:val="%4."/>
      <w:lvlJc w:val="left"/>
      <w:pPr>
        <w:ind w:left="2832" w:hanging="360"/>
      </w:pPr>
    </w:lvl>
    <w:lvl w:ilvl="4" w:tplc="217E3594" w:tentative="1">
      <w:start w:val="1"/>
      <w:numFmt w:val="lowerLetter"/>
      <w:lvlText w:val="%5."/>
      <w:lvlJc w:val="left"/>
      <w:pPr>
        <w:ind w:left="3552" w:hanging="360"/>
      </w:pPr>
    </w:lvl>
    <w:lvl w:ilvl="5" w:tplc="B794390C" w:tentative="1">
      <w:start w:val="1"/>
      <w:numFmt w:val="lowerRoman"/>
      <w:lvlText w:val="%6."/>
      <w:lvlJc w:val="right"/>
      <w:pPr>
        <w:ind w:left="4272" w:hanging="180"/>
      </w:pPr>
    </w:lvl>
    <w:lvl w:ilvl="6" w:tplc="DA0221E6" w:tentative="1">
      <w:start w:val="1"/>
      <w:numFmt w:val="decimal"/>
      <w:lvlText w:val="%7."/>
      <w:lvlJc w:val="left"/>
      <w:pPr>
        <w:ind w:left="4992" w:hanging="360"/>
      </w:pPr>
    </w:lvl>
    <w:lvl w:ilvl="7" w:tplc="B8B0C850" w:tentative="1">
      <w:start w:val="1"/>
      <w:numFmt w:val="lowerLetter"/>
      <w:lvlText w:val="%8."/>
      <w:lvlJc w:val="left"/>
      <w:pPr>
        <w:ind w:left="5712" w:hanging="360"/>
      </w:pPr>
    </w:lvl>
    <w:lvl w:ilvl="8" w:tplc="5D281F36" w:tentative="1">
      <w:start w:val="1"/>
      <w:numFmt w:val="lowerRoman"/>
      <w:lvlText w:val="%9."/>
      <w:lvlJc w:val="right"/>
      <w:pPr>
        <w:ind w:left="6432" w:hanging="180"/>
      </w:pPr>
    </w:lvl>
  </w:abstractNum>
  <w:abstractNum w:abstractNumId="8">
    <w:nsid w:val="67207BC1"/>
    <w:multiLevelType w:val="hybridMultilevel"/>
    <w:tmpl w:val="6046E034"/>
    <w:lvl w:ilvl="0" w:tplc="8FD67BD8">
      <w:start w:val="1"/>
      <w:numFmt w:val="decimal"/>
      <w:lvlText w:val="%1."/>
      <w:lvlJc w:val="left"/>
      <w:pPr>
        <w:ind w:left="720" w:hanging="360"/>
      </w:pPr>
      <w:rPr>
        <w:rFonts w:hint="default"/>
      </w:rPr>
    </w:lvl>
    <w:lvl w:ilvl="1" w:tplc="8F82E756" w:tentative="1">
      <w:start w:val="1"/>
      <w:numFmt w:val="lowerLetter"/>
      <w:lvlText w:val="%2."/>
      <w:lvlJc w:val="left"/>
      <w:pPr>
        <w:ind w:left="1440" w:hanging="360"/>
      </w:pPr>
    </w:lvl>
    <w:lvl w:ilvl="2" w:tplc="688885A6" w:tentative="1">
      <w:start w:val="1"/>
      <w:numFmt w:val="lowerRoman"/>
      <w:lvlText w:val="%3."/>
      <w:lvlJc w:val="right"/>
      <w:pPr>
        <w:ind w:left="2160" w:hanging="180"/>
      </w:pPr>
    </w:lvl>
    <w:lvl w:ilvl="3" w:tplc="C4B87FB6" w:tentative="1">
      <w:start w:val="1"/>
      <w:numFmt w:val="decimal"/>
      <w:lvlText w:val="%4."/>
      <w:lvlJc w:val="left"/>
      <w:pPr>
        <w:ind w:left="2880" w:hanging="360"/>
      </w:pPr>
    </w:lvl>
    <w:lvl w:ilvl="4" w:tplc="C6320430" w:tentative="1">
      <w:start w:val="1"/>
      <w:numFmt w:val="lowerLetter"/>
      <w:lvlText w:val="%5."/>
      <w:lvlJc w:val="left"/>
      <w:pPr>
        <w:ind w:left="3600" w:hanging="360"/>
      </w:pPr>
    </w:lvl>
    <w:lvl w:ilvl="5" w:tplc="F21E1082" w:tentative="1">
      <w:start w:val="1"/>
      <w:numFmt w:val="lowerRoman"/>
      <w:lvlText w:val="%6."/>
      <w:lvlJc w:val="right"/>
      <w:pPr>
        <w:ind w:left="4320" w:hanging="180"/>
      </w:pPr>
    </w:lvl>
    <w:lvl w:ilvl="6" w:tplc="3E2C9846">
      <w:start w:val="1"/>
      <w:numFmt w:val="decimal"/>
      <w:lvlText w:val="%7."/>
      <w:lvlJc w:val="left"/>
      <w:pPr>
        <w:ind w:left="5040" w:hanging="360"/>
      </w:pPr>
      <w:rPr>
        <w:rFonts w:ascii="Tahoma" w:hAnsi="Tahoma" w:hint="default"/>
        <w:sz w:val="20"/>
        <w:szCs w:val="20"/>
      </w:rPr>
    </w:lvl>
    <w:lvl w:ilvl="7" w:tplc="F66AC258" w:tentative="1">
      <w:start w:val="1"/>
      <w:numFmt w:val="lowerLetter"/>
      <w:lvlText w:val="%8."/>
      <w:lvlJc w:val="left"/>
      <w:pPr>
        <w:ind w:left="5760" w:hanging="360"/>
      </w:pPr>
    </w:lvl>
    <w:lvl w:ilvl="8" w:tplc="5FBAF42C" w:tentative="1">
      <w:start w:val="1"/>
      <w:numFmt w:val="lowerRoman"/>
      <w:lvlText w:val="%9."/>
      <w:lvlJc w:val="right"/>
      <w:pPr>
        <w:ind w:left="6480" w:hanging="180"/>
      </w:pPr>
    </w:lvl>
  </w:abstractNum>
  <w:abstractNum w:abstractNumId="9">
    <w:nsid w:val="7A8F17C2"/>
    <w:multiLevelType w:val="hybridMultilevel"/>
    <w:tmpl w:val="9850DE94"/>
    <w:lvl w:ilvl="0" w:tplc="B16628D4">
      <w:start w:val="1"/>
      <w:numFmt w:val="decimal"/>
      <w:lvlText w:val="%1."/>
      <w:lvlJc w:val="left"/>
      <w:pPr>
        <w:ind w:left="672" w:hanging="360"/>
      </w:pPr>
      <w:rPr>
        <w:rFonts w:hint="default"/>
        <w:sz w:val="24"/>
      </w:rPr>
    </w:lvl>
    <w:lvl w:ilvl="1" w:tplc="04090019" w:tentative="1">
      <w:start w:val="1"/>
      <w:numFmt w:val="lowerLetter"/>
      <w:lvlText w:val="%2."/>
      <w:lvlJc w:val="left"/>
      <w:pPr>
        <w:ind w:left="1392" w:hanging="360"/>
      </w:pPr>
    </w:lvl>
    <w:lvl w:ilvl="2" w:tplc="0409001B" w:tentative="1">
      <w:start w:val="1"/>
      <w:numFmt w:val="lowerRoman"/>
      <w:lvlText w:val="%3."/>
      <w:lvlJc w:val="right"/>
      <w:pPr>
        <w:ind w:left="2112" w:hanging="180"/>
      </w:pPr>
    </w:lvl>
    <w:lvl w:ilvl="3" w:tplc="0409000F" w:tentative="1">
      <w:start w:val="1"/>
      <w:numFmt w:val="decimal"/>
      <w:lvlText w:val="%4."/>
      <w:lvlJc w:val="left"/>
      <w:pPr>
        <w:ind w:left="2832" w:hanging="360"/>
      </w:pPr>
    </w:lvl>
    <w:lvl w:ilvl="4" w:tplc="04090019" w:tentative="1">
      <w:start w:val="1"/>
      <w:numFmt w:val="lowerLetter"/>
      <w:lvlText w:val="%5."/>
      <w:lvlJc w:val="left"/>
      <w:pPr>
        <w:ind w:left="3552" w:hanging="360"/>
      </w:pPr>
    </w:lvl>
    <w:lvl w:ilvl="5" w:tplc="0409001B" w:tentative="1">
      <w:start w:val="1"/>
      <w:numFmt w:val="lowerRoman"/>
      <w:lvlText w:val="%6."/>
      <w:lvlJc w:val="right"/>
      <w:pPr>
        <w:ind w:left="4272" w:hanging="180"/>
      </w:pPr>
    </w:lvl>
    <w:lvl w:ilvl="6" w:tplc="0409000F" w:tentative="1">
      <w:start w:val="1"/>
      <w:numFmt w:val="decimal"/>
      <w:lvlText w:val="%7."/>
      <w:lvlJc w:val="left"/>
      <w:pPr>
        <w:ind w:left="4992" w:hanging="360"/>
      </w:pPr>
    </w:lvl>
    <w:lvl w:ilvl="7" w:tplc="04090019" w:tentative="1">
      <w:start w:val="1"/>
      <w:numFmt w:val="lowerLetter"/>
      <w:lvlText w:val="%8."/>
      <w:lvlJc w:val="left"/>
      <w:pPr>
        <w:ind w:left="5712" w:hanging="360"/>
      </w:pPr>
    </w:lvl>
    <w:lvl w:ilvl="8" w:tplc="0409001B" w:tentative="1">
      <w:start w:val="1"/>
      <w:numFmt w:val="lowerRoman"/>
      <w:lvlText w:val="%9."/>
      <w:lvlJc w:val="right"/>
      <w:pPr>
        <w:ind w:left="6432" w:hanging="180"/>
      </w:pPr>
    </w:lvl>
  </w:abstractNum>
  <w:num w:numId="1">
    <w:abstractNumId w:val="6"/>
  </w:num>
  <w:num w:numId="2">
    <w:abstractNumId w:val="7"/>
  </w:num>
  <w:num w:numId="3">
    <w:abstractNumId w:val="2"/>
  </w:num>
  <w:num w:numId="4">
    <w:abstractNumId w:val="0"/>
  </w:num>
  <w:num w:numId="5">
    <w:abstractNumId w:val="3"/>
  </w:num>
  <w:num w:numId="6">
    <w:abstractNumId w:val="1"/>
  </w:num>
  <w:num w:numId="7">
    <w:abstractNumId w:val="8"/>
  </w:num>
  <w:num w:numId="8">
    <w:abstractNumId w:val="4"/>
  </w:num>
  <w:num w:numId="9">
    <w:abstractNumId w:val="5"/>
  </w:num>
  <w:num w:numId="10">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SortMethod w:val="000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tnwarning" w:val="1"/>
    <w:docVar w:name="sivug" w:val="1"/>
    <w:docVar w:name="space" w:val="1.3"/>
  </w:docVars>
  <w:rsids>
    <w:rsidRoot w:val="009D05CC"/>
    <w:rsid w:val="00001D5A"/>
    <w:rsid w:val="00002EF7"/>
    <w:rsid w:val="00003B77"/>
    <w:rsid w:val="00003F96"/>
    <w:rsid w:val="0000520D"/>
    <w:rsid w:val="000054B7"/>
    <w:rsid w:val="00005EE0"/>
    <w:rsid w:val="00006B59"/>
    <w:rsid w:val="0001014C"/>
    <w:rsid w:val="00011BFC"/>
    <w:rsid w:val="00012657"/>
    <w:rsid w:val="00013BC3"/>
    <w:rsid w:val="000155F0"/>
    <w:rsid w:val="000157CF"/>
    <w:rsid w:val="00015A22"/>
    <w:rsid w:val="0001735B"/>
    <w:rsid w:val="000206F1"/>
    <w:rsid w:val="00021FFB"/>
    <w:rsid w:val="0002582E"/>
    <w:rsid w:val="00026367"/>
    <w:rsid w:val="000264D7"/>
    <w:rsid w:val="000303C9"/>
    <w:rsid w:val="00031C68"/>
    <w:rsid w:val="00031CEB"/>
    <w:rsid w:val="00032932"/>
    <w:rsid w:val="0003494D"/>
    <w:rsid w:val="00035B80"/>
    <w:rsid w:val="00036B0F"/>
    <w:rsid w:val="00040918"/>
    <w:rsid w:val="00040C4D"/>
    <w:rsid w:val="000413AB"/>
    <w:rsid w:val="000419ED"/>
    <w:rsid w:val="00042688"/>
    <w:rsid w:val="00042837"/>
    <w:rsid w:val="00043204"/>
    <w:rsid w:val="00043931"/>
    <w:rsid w:val="000448BE"/>
    <w:rsid w:val="00046670"/>
    <w:rsid w:val="00047A92"/>
    <w:rsid w:val="000501A4"/>
    <w:rsid w:val="00050BDE"/>
    <w:rsid w:val="00052281"/>
    <w:rsid w:val="00052AE4"/>
    <w:rsid w:val="000532AA"/>
    <w:rsid w:val="00053AA7"/>
    <w:rsid w:val="00053D09"/>
    <w:rsid w:val="0005582D"/>
    <w:rsid w:val="00055CB5"/>
    <w:rsid w:val="00055E07"/>
    <w:rsid w:val="00055E4C"/>
    <w:rsid w:val="00055EC9"/>
    <w:rsid w:val="00056B3E"/>
    <w:rsid w:val="000571B9"/>
    <w:rsid w:val="0005725C"/>
    <w:rsid w:val="00060045"/>
    <w:rsid w:val="00060178"/>
    <w:rsid w:val="00061760"/>
    <w:rsid w:val="000618D0"/>
    <w:rsid w:val="00063297"/>
    <w:rsid w:val="00064637"/>
    <w:rsid w:val="000675B0"/>
    <w:rsid w:val="00067F12"/>
    <w:rsid w:val="000710A8"/>
    <w:rsid w:val="00072B83"/>
    <w:rsid w:val="00072FE8"/>
    <w:rsid w:val="000736B3"/>
    <w:rsid w:val="0007429C"/>
    <w:rsid w:val="00076758"/>
    <w:rsid w:val="0007717F"/>
    <w:rsid w:val="0007762A"/>
    <w:rsid w:val="00080072"/>
    <w:rsid w:val="00081D0E"/>
    <w:rsid w:val="0008345D"/>
    <w:rsid w:val="00084E3A"/>
    <w:rsid w:val="00086BCD"/>
    <w:rsid w:val="00091A72"/>
    <w:rsid w:val="00093E30"/>
    <w:rsid w:val="0009432F"/>
    <w:rsid w:val="00094F15"/>
    <w:rsid w:val="0009581B"/>
    <w:rsid w:val="00096CF4"/>
    <w:rsid w:val="00097CDE"/>
    <w:rsid w:val="000A00AE"/>
    <w:rsid w:val="000A01F2"/>
    <w:rsid w:val="000A0884"/>
    <w:rsid w:val="000A0915"/>
    <w:rsid w:val="000A1610"/>
    <w:rsid w:val="000A26F1"/>
    <w:rsid w:val="000A2BD8"/>
    <w:rsid w:val="000A4686"/>
    <w:rsid w:val="000A567C"/>
    <w:rsid w:val="000A5B75"/>
    <w:rsid w:val="000A65A9"/>
    <w:rsid w:val="000A69A7"/>
    <w:rsid w:val="000B1102"/>
    <w:rsid w:val="000B2074"/>
    <w:rsid w:val="000B2C5B"/>
    <w:rsid w:val="000B2DBE"/>
    <w:rsid w:val="000B3056"/>
    <w:rsid w:val="000B55BB"/>
    <w:rsid w:val="000B7912"/>
    <w:rsid w:val="000B7B95"/>
    <w:rsid w:val="000C05CB"/>
    <w:rsid w:val="000C0F17"/>
    <w:rsid w:val="000C16F6"/>
    <w:rsid w:val="000C2AB9"/>
    <w:rsid w:val="000C404B"/>
    <w:rsid w:val="000C50A1"/>
    <w:rsid w:val="000C6AAF"/>
    <w:rsid w:val="000C7459"/>
    <w:rsid w:val="000D11EB"/>
    <w:rsid w:val="000D2056"/>
    <w:rsid w:val="000D22F0"/>
    <w:rsid w:val="000D2F93"/>
    <w:rsid w:val="000D5B81"/>
    <w:rsid w:val="000D5C0B"/>
    <w:rsid w:val="000E013E"/>
    <w:rsid w:val="000E1FBD"/>
    <w:rsid w:val="000E23EA"/>
    <w:rsid w:val="000E2715"/>
    <w:rsid w:val="000E2B2C"/>
    <w:rsid w:val="000E3022"/>
    <w:rsid w:val="000E3D52"/>
    <w:rsid w:val="000E44FD"/>
    <w:rsid w:val="000E5149"/>
    <w:rsid w:val="000E5834"/>
    <w:rsid w:val="000F158C"/>
    <w:rsid w:val="000F1DEA"/>
    <w:rsid w:val="000F2408"/>
    <w:rsid w:val="000F3700"/>
    <w:rsid w:val="000F76A8"/>
    <w:rsid w:val="000F7725"/>
    <w:rsid w:val="00101681"/>
    <w:rsid w:val="00101BB0"/>
    <w:rsid w:val="00101D0F"/>
    <w:rsid w:val="00105970"/>
    <w:rsid w:val="00107175"/>
    <w:rsid w:val="00107A35"/>
    <w:rsid w:val="00111F8A"/>
    <w:rsid w:val="00112E28"/>
    <w:rsid w:val="00113C2F"/>
    <w:rsid w:val="00113E28"/>
    <w:rsid w:val="00114325"/>
    <w:rsid w:val="00115432"/>
    <w:rsid w:val="001157CE"/>
    <w:rsid w:val="00115E66"/>
    <w:rsid w:val="001172DF"/>
    <w:rsid w:val="0012279D"/>
    <w:rsid w:val="001239A8"/>
    <w:rsid w:val="00124DC1"/>
    <w:rsid w:val="00134F83"/>
    <w:rsid w:val="001354CB"/>
    <w:rsid w:val="00135695"/>
    <w:rsid w:val="00135742"/>
    <w:rsid w:val="00135A23"/>
    <w:rsid w:val="00136496"/>
    <w:rsid w:val="0013664A"/>
    <w:rsid w:val="00136A10"/>
    <w:rsid w:val="00137337"/>
    <w:rsid w:val="00137FF0"/>
    <w:rsid w:val="00140CC4"/>
    <w:rsid w:val="00141BD6"/>
    <w:rsid w:val="00142206"/>
    <w:rsid w:val="00143176"/>
    <w:rsid w:val="001451A4"/>
    <w:rsid w:val="0014715B"/>
    <w:rsid w:val="00150A48"/>
    <w:rsid w:val="00150BE4"/>
    <w:rsid w:val="00150BEB"/>
    <w:rsid w:val="00150CC9"/>
    <w:rsid w:val="00150F89"/>
    <w:rsid w:val="00152C2F"/>
    <w:rsid w:val="00153149"/>
    <w:rsid w:val="00153A60"/>
    <w:rsid w:val="00154682"/>
    <w:rsid w:val="00154827"/>
    <w:rsid w:val="00155501"/>
    <w:rsid w:val="00156CAA"/>
    <w:rsid w:val="0015702B"/>
    <w:rsid w:val="00160155"/>
    <w:rsid w:val="0016031C"/>
    <w:rsid w:val="00161124"/>
    <w:rsid w:val="001637C1"/>
    <w:rsid w:val="001643E4"/>
    <w:rsid w:val="00164534"/>
    <w:rsid w:val="00164B64"/>
    <w:rsid w:val="00166477"/>
    <w:rsid w:val="00166D27"/>
    <w:rsid w:val="00170320"/>
    <w:rsid w:val="00170625"/>
    <w:rsid w:val="00171B4A"/>
    <w:rsid w:val="0017200D"/>
    <w:rsid w:val="001730B0"/>
    <w:rsid w:val="00173FDD"/>
    <w:rsid w:val="001747CF"/>
    <w:rsid w:val="00174A21"/>
    <w:rsid w:val="00175FE2"/>
    <w:rsid w:val="00176411"/>
    <w:rsid w:val="00176B96"/>
    <w:rsid w:val="00177D09"/>
    <w:rsid w:val="00177D2F"/>
    <w:rsid w:val="00180392"/>
    <w:rsid w:val="001821A3"/>
    <w:rsid w:val="00182DC0"/>
    <w:rsid w:val="00183DDC"/>
    <w:rsid w:val="0018586A"/>
    <w:rsid w:val="00185B85"/>
    <w:rsid w:val="0018758B"/>
    <w:rsid w:val="0019015A"/>
    <w:rsid w:val="00190F93"/>
    <w:rsid w:val="00191FF6"/>
    <w:rsid w:val="00192F16"/>
    <w:rsid w:val="00193071"/>
    <w:rsid w:val="00195BC7"/>
    <w:rsid w:val="00195EBA"/>
    <w:rsid w:val="001960B4"/>
    <w:rsid w:val="00197B8A"/>
    <w:rsid w:val="001A0CA6"/>
    <w:rsid w:val="001A2081"/>
    <w:rsid w:val="001A2F88"/>
    <w:rsid w:val="001A325B"/>
    <w:rsid w:val="001A38A7"/>
    <w:rsid w:val="001A3974"/>
    <w:rsid w:val="001A5D04"/>
    <w:rsid w:val="001A613C"/>
    <w:rsid w:val="001A6276"/>
    <w:rsid w:val="001A72F6"/>
    <w:rsid w:val="001A7D06"/>
    <w:rsid w:val="001B17FB"/>
    <w:rsid w:val="001B2122"/>
    <w:rsid w:val="001B2821"/>
    <w:rsid w:val="001B2ACB"/>
    <w:rsid w:val="001B2DBB"/>
    <w:rsid w:val="001B3BE6"/>
    <w:rsid w:val="001B3EFA"/>
    <w:rsid w:val="001B4EA7"/>
    <w:rsid w:val="001B5656"/>
    <w:rsid w:val="001B5DFF"/>
    <w:rsid w:val="001B65B8"/>
    <w:rsid w:val="001B70CA"/>
    <w:rsid w:val="001B75F0"/>
    <w:rsid w:val="001C00D8"/>
    <w:rsid w:val="001C057E"/>
    <w:rsid w:val="001C308D"/>
    <w:rsid w:val="001C3232"/>
    <w:rsid w:val="001C34D5"/>
    <w:rsid w:val="001C3ED9"/>
    <w:rsid w:val="001C408E"/>
    <w:rsid w:val="001C45D9"/>
    <w:rsid w:val="001C49B8"/>
    <w:rsid w:val="001D1192"/>
    <w:rsid w:val="001D223A"/>
    <w:rsid w:val="001D2793"/>
    <w:rsid w:val="001D2F2A"/>
    <w:rsid w:val="001D3679"/>
    <w:rsid w:val="001D3CC2"/>
    <w:rsid w:val="001D461F"/>
    <w:rsid w:val="001D77E6"/>
    <w:rsid w:val="001E0D0D"/>
    <w:rsid w:val="001E1C40"/>
    <w:rsid w:val="001E1EC3"/>
    <w:rsid w:val="001E1FB9"/>
    <w:rsid w:val="001E1FD1"/>
    <w:rsid w:val="001E23E2"/>
    <w:rsid w:val="001E3778"/>
    <w:rsid w:val="001E3F7F"/>
    <w:rsid w:val="001E475C"/>
    <w:rsid w:val="001E773D"/>
    <w:rsid w:val="001F068F"/>
    <w:rsid w:val="001F407D"/>
    <w:rsid w:val="00200434"/>
    <w:rsid w:val="00200E5B"/>
    <w:rsid w:val="00202F8B"/>
    <w:rsid w:val="00203277"/>
    <w:rsid w:val="00203604"/>
    <w:rsid w:val="002064F7"/>
    <w:rsid w:val="00206BDB"/>
    <w:rsid w:val="002127FD"/>
    <w:rsid w:val="00212B04"/>
    <w:rsid w:val="00212EEA"/>
    <w:rsid w:val="002130B4"/>
    <w:rsid w:val="00214BC0"/>
    <w:rsid w:val="00214CAA"/>
    <w:rsid w:val="00215BEE"/>
    <w:rsid w:val="0021654E"/>
    <w:rsid w:val="002203C9"/>
    <w:rsid w:val="0022072A"/>
    <w:rsid w:val="00220F0B"/>
    <w:rsid w:val="0022100A"/>
    <w:rsid w:val="00221160"/>
    <w:rsid w:val="002213EE"/>
    <w:rsid w:val="00221922"/>
    <w:rsid w:val="002248C1"/>
    <w:rsid w:val="00224C04"/>
    <w:rsid w:val="00225718"/>
    <w:rsid w:val="00225CAE"/>
    <w:rsid w:val="00227E88"/>
    <w:rsid w:val="00231C3C"/>
    <w:rsid w:val="00231DC5"/>
    <w:rsid w:val="00232836"/>
    <w:rsid w:val="002338F8"/>
    <w:rsid w:val="00234167"/>
    <w:rsid w:val="00234F9B"/>
    <w:rsid w:val="0023589B"/>
    <w:rsid w:val="00235AEE"/>
    <w:rsid w:val="00235D75"/>
    <w:rsid w:val="002366CE"/>
    <w:rsid w:val="0024001A"/>
    <w:rsid w:val="00240887"/>
    <w:rsid w:val="002419F2"/>
    <w:rsid w:val="00243E20"/>
    <w:rsid w:val="00244096"/>
    <w:rsid w:val="00244C55"/>
    <w:rsid w:val="00245470"/>
    <w:rsid w:val="00246CD7"/>
    <w:rsid w:val="00247C83"/>
    <w:rsid w:val="0025068A"/>
    <w:rsid w:val="00250751"/>
    <w:rsid w:val="002562FF"/>
    <w:rsid w:val="00260D04"/>
    <w:rsid w:val="00261C84"/>
    <w:rsid w:val="00263521"/>
    <w:rsid w:val="002674A0"/>
    <w:rsid w:val="0027121E"/>
    <w:rsid w:val="0027188F"/>
    <w:rsid w:val="002739B2"/>
    <w:rsid w:val="00275A79"/>
    <w:rsid w:val="002813A0"/>
    <w:rsid w:val="002841CB"/>
    <w:rsid w:val="00284ABA"/>
    <w:rsid w:val="0028686C"/>
    <w:rsid w:val="0028694C"/>
    <w:rsid w:val="00292A58"/>
    <w:rsid w:val="00293FC3"/>
    <w:rsid w:val="00294784"/>
    <w:rsid w:val="00294AF0"/>
    <w:rsid w:val="00296A9F"/>
    <w:rsid w:val="00297B77"/>
    <w:rsid w:val="002A1117"/>
    <w:rsid w:val="002A18D6"/>
    <w:rsid w:val="002A2132"/>
    <w:rsid w:val="002A2C5A"/>
    <w:rsid w:val="002A4153"/>
    <w:rsid w:val="002A4707"/>
    <w:rsid w:val="002A57EB"/>
    <w:rsid w:val="002A598C"/>
    <w:rsid w:val="002A6418"/>
    <w:rsid w:val="002A64F8"/>
    <w:rsid w:val="002A68DE"/>
    <w:rsid w:val="002A6A8F"/>
    <w:rsid w:val="002A6B3B"/>
    <w:rsid w:val="002A7D21"/>
    <w:rsid w:val="002B10E8"/>
    <w:rsid w:val="002B637F"/>
    <w:rsid w:val="002B65DC"/>
    <w:rsid w:val="002C09E6"/>
    <w:rsid w:val="002C1EE0"/>
    <w:rsid w:val="002C28D3"/>
    <w:rsid w:val="002C2B0E"/>
    <w:rsid w:val="002C316A"/>
    <w:rsid w:val="002C3B87"/>
    <w:rsid w:val="002C4139"/>
    <w:rsid w:val="002C4302"/>
    <w:rsid w:val="002C4F9F"/>
    <w:rsid w:val="002C54FF"/>
    <w:rsid w:val="002C65B3"/>
    <w:rsid w:val="002C6D22"/>
    <w:rsid w:val="002C70A2"/>
    <w:rsid w:val="002C7D35"/>
    <w:rsid w:val="002D1688"/>
    <w:rsid w:val="002D3201"/>
    <w:rsid w:val="002D3AC8"/>
    <w:rsid w:val="002D572F"/>
    <w:rsid w:val="002D5930"/>
    <w:rsid w:val="002D65CF"/>
    <w:rsid w:val="002D6964"/>
    <w:rsid w:val="002D6DBD"/>
    <w:rsid w:val="002E01CC"/>
    <w:rsid w:val="002E188D"/>
    <w:rsid w:val="002E1E1F"/>
    <w:rsid w:val="002E2DB0"/>
    <w:rsid w:val="002E3AA6"/>
    <w:rsid w:val="002E424B"/>
    <w:rsid w:val="002E4818"/>
    <w:rsid w:val="002E5757"/>
    <w:rsid w:val="002E6B3E"/>
    <w:rsid w:val="002E707E"/>
    <w:rsid w:val="002E70B8"/>
    <w:rsid w:val="002F11D2"/>
    <w:rsid w:val="002F1610"/>
    <w:rsid w:val="002F2019"/>
    <w:rsid w:val="002F24F0"/>
    <w:rsid w:val="002F29CA"/>
    <w:rsid w:val="002F42B0"/>
    <w:rsid w:val="002F5163"/>
    <w:rsid w:val="002F5A80"/>
    <w:rsid w:val="002F5B51"/>
    <w:rsid w:val="002F6FA5"/>
    <w:rsid w:val="002F724D"/>
    <w:rsid w:val="0030043A"/>
    <w:rsid w:val="00301153"/>
    <w:rsid w:val="003020D6"/>
    <w:rsid w:val="00302DC7"/>
    <w:rsid w:val="0030338B"/>
    <w:rsid w:val="00304E57"/>
    <w:rsid w:val="003050D0"/>
    <w:rsid w:val="003067B1"/>
    <w:rsid w:val="00307A51"/>
    <w:rsid w:val="003108E3"/>
    <w:rsid w:val="00311190"/>
    <w:rsid w:val="00313D58"/>
    <w:rsid w:val="00313EEC"/>
    <w:rsid w:val="00315624"/>
    <w:rsid w:val="00315BD6"/>
    <w:rsid w:val="00315FF2"/>
    <w:rsid w:val="00316500"/>
    <w:rsid w:val="00316C57"/>
    <w:rsid w:val="003177E2"/>
    <w:rsid w:val="0032289E"/>
    <w:rsid w:val="00322A81"/>
    <w:rsid w:val="00323027"/>
    <w:rsid w:val="0032331E"/>
    <w:rsid w:val="00323669"/>
    <w:rsid w:val="00324236"/>
    <w:rsid w:val="00324BC1"/>
    <w:rsid w:val="00324C2A"/>
    <w:rsid w:val="00324F0D"/>
    <w:rsid w:val="003257C6"/>
    <w:rsid w:val="00325F44"/>
    <w:rsid w:val="00326ABF"/>
    <w:rsid w:val="00326C7C"/>
    <w:rsid w:val="00327593"/>
    <w:rsid w:val="00332F33"/>
    <w:rsid w:val="00334A65"/>
    <w:rsid w:val="00334D20"/>
    <w:rsid w:val="0033564C"/>
    <w:rsid w:val="003356A2"/>
    <w:rsid w:val="00337048"/>
    <w:rsid w:val="00337846"/>
    <w:rsid w:val="0034038A"/>
    <w:rsid w:val="003405E7"/>
    <w:rsid w:val="00340C7C"/>
    <w:rsid w:val="0034149F"/>
    <w:rsid w:val="00346930"/>
    <w:rsid w:val="00347612"/>
    <w:rsid w:val="003513C7"/>
    <w:rsid w:val="0035145F"/>
    <w:rsid w:val="00351F4E"/>
    <w:rsid w:val="00355453"/>
    <w:rsid w:val="003559A1"/>
    <w:rsid w:val="00355B59"/>
    <w:rsid w:val="00356540"/>
    <w:rsid w:val="00356926"/>
    <w:rsid w:val="00356C79"/>
    <w:rsid w:val="003606C0"/>
    <w:rsid w:val="00363344"/>
    <w:rsid w:val="003633E1"/>
    <w:rsid w:val="00363FE3"/>
    <w:rsid w:val="00365C9E"/>
    <w:rsid w:val="00365DC9"/>
    <w:rsid w:val="00365DE2"/>
    <w:rsid w:val="0036639F"/>
    <w:rsid w:val="003675CC"/>
    <w:rsid w:val="00371181"/>
    <w:rsid w:val="0037128C"/>
    <w:rsid w:val="0037259B"/>
    <w:rsid w:val="0037289B"/>
    <w:rsid w:val="003729F9"/>
    <w:rsid w:val="0037370B"/>
    <w:rsid w:val="00375AE4"/>
    <w:rsid w:val="00375C87"/>
    <w:rsid w:val="00376061"/>
    <w:rsid w:val="00376625"/>
    <w:rsid w:val="0037752E"/>
    <w:rsid w:val="0037753E"/>
    <w:rsid w:val="00377B33"/>
    <w:rsid w:val="00380052"/>
    <w:rsid w:val="003806AE"/>
    <w:rsid w:val="00382741"/>
    <w:rsid w:val="00382981"/>
    <w:rsid w:val="003839AA"/>
    <w:rsid w:val="003843E4"/>
    <w:rsid w:val="00385CBB"/>
    <w:rsid w:val="003907CF"/>
    <w:rsid w:val="00391943"/>
    <w:rsid w:val="003926A8"/>
    <w:rsid w:val="00392CEC"/>
    <w:rsid w:val="00392E92"/>
    <w:rsid w:val="003941E1"/>
    <w:rsid w:val="0039563E"/>
    <w:rsid w:val="0039592D"/>
    <w:rsid w:val="00396082"/>
    <w:rsid w:val="00396D3F"/>
    <w:rsid w:val="00396EB2"/>
    <w:rsid w:val="003971AD"/>
    <w:rsid w:val="00397234"/>
    <w:rsid w:val="00397C56"/>
    <w:rsid w:val="003A042B"/>
    <w:rsid w:val="003A08AE"/>
    <w:rsid w:val="003A185E"/>
    <w:rsid w:val="003A613A"/>
    <w:rsid w:val="003A66EF"/>
    <w:rsid w:val="003A769E"/>
    <w:rsid w:val="003B166B"/>
    <w:rsid w:val="003B4CBF"/>
    <w:rsid w:val="003B505F"/>
    <w:rsid w:val="003B5A1E"/>
    <w:rsid w:val="003B71E3"/>
    <w:rsid w:val="003C1622"/>
    <w:rsid w:val="003C26AC"/>
    <w:rsid w:val="003C2EC6"/>
    <w:rsid w:val="003C3358"/>
    <w:rsid w:val="003C4F30"/>
    <w:rsid w:val="003C5BB1"/>
    <w:rsid w:val="003C6C20"/>
    <w:rsid w:val="003C7AD3"/>
    <w:rsid w:val="003C7B2D"/>
    <w:rsid w:val="003D0F91"/>
    <w:rsid w:val="003D16F2"/>
    <w:rsid w:val="003D1D5C"/>
    <w:rsid w:val="003D2AE6"/>
    <w:rsid w:val="003D4194"/>
    <w:rsid w:val="003D43B8"/>
    <w:rsid w:val="003D5CAC"/>
    <w:rsid w:val="003D6CAC"/>
    <w:rsid w:val="003D6FE1"/>
    <w:rsid w:val="003D7383"/>
    <w:rsid w:val="003D7489"/>
    <w:rsid w:val="003E0ABC"/>
    <w:rsid w:val="003E364E"/>
    <w:rsid w:val="003E4D5A"/>
    <w:rsid w:val="003E58C2"/>
    <w:rsid w:val="003E5FCA"/>
    <w:rsid w:val="003E77E9"/>
    <w:rsid w:val="003E798E"/>
    <w:rsid w:val="003F06E0"/>
    <w:rsid w:val="003F0C61"/>
    <w:rsid w:val="003F0D90"/>
    <w:rsid w:val="003F0E51"/>
    <w:rsid w:val="003F2708"/>
    <w:rsid w:val="003F316F"/>
    <w:rsid w:val="003F46E7"/>
    <w:rsid w:val="003F5B6A"/>
    <w:rsid w:val="003F6CB2"/>
    <w:rsid w:val="003F6D65"/>
    <w:rsid w:val="003F7B2B"/>
    <w:rsid w:val="00403EED"/>
    <w:rsid w:val="0040494A"/>
    <w:rsid w:val="00405277"/>
    <w:rsid w:val="004064E0"/>
    <w:rsid w:val="00406F61"/>
    <w:rsid w:val="004078B5"/>
    <w:rsid w:val="0041045D"/>
    <w:rsid w:val="00410935"/>
    <w:rsid w:val="00410D75"/>
    <w:rsid w:val="0041180B"/>
    <w:rsid w:val="0041212D"/>
    <w:rsid w:val="0041284E"/>
    <w:rsid w:val="00413464"/>
    <w:rsid w:val="00416D06"/>
    <w:rsid w:val="00420371"/>
    <w:rsid w:val="004204DC"/>
    <w:rsid w:val="004206BA"/>
    <w:rsid w:val="0042090E"/>
    <w:rsid w:val="00420DB1"/>
    <w:rsid w:val="0042545B"/>
    <w:rsid w:val="00425E72"/>
    <w:rsid w:val="00425E85"/>
    <w:rsid w:val="004276E0"/>
    <w:rsid w:val="00427A72"/>
    <w:rsid w:val="00430277"/>
    <w:rsid w:val="00431222"/>
    <w:rsid w:val="00432A56"/>
    <w:rsid w:val="00434C19"/>
    <w:rsid w:val="00436048"/>
    <w:rsid w:val="00436B23"/>
    <w:rsid w:val="0043791D"/>
    <w:rsid w:val="00437D9B"/>
    <w:rsid w:val="004413C7"/>
    <w:rsid w:val="004414E6"/>
    <w:rsid w:val="00442E2D"/>
    <w:rsid w:val="00443D1B"/>
    <w:rsid w:val="004457ED"/>
    <w:rsid w:val="004470C5"/>
    <w:rsid w:val="00451A68"/>
    <w:rsid w:val="00451AA2"/>
    <w:rsid w:val="00451E5C"/>
    <w:rsid w:val="0045209D"/>
    <w:rsid w:val="00452950"/>
    <w:rsid w:val="004547C8"/>
    <w:rsid w:val="00456AD9"/>
    <w:rsid w:val="00460179"/>
    <w:rsid w:val="00462348"/>
    <w:rsid w:val="00463683"/>
    <w:rsid w:val="00464D56"/>
    <w:rsid w:val="00465DDF"/>
    <w:rsid w:val="004661DB"/>
    <w:rsid w:val="00466B28"/>
    <w:rsid w:val="00467D5E"/>
    <w:rsid w:val="004702A3"/>
    <w:rsid w:val="004705A4"/>
    <w:rsid w:val="00471164"/>
    <w:rsid w:val="00471E18"/>
    <w:rsid w:val="004736FF"/>
    <w:rsid w:val="004743DF"/>
    <w:rsid w:val="00474EFE"/>
    <w:rsid w:val="0047620F"/>
    <w:rsid w:val="004767BA"/>
    <w:rsid w:val="004779AA"/>
    <w:rsid w:val="00480107"/>
    <w:rsid w:val="004809CB"/>
    <w:rsid w:val="00482259"/>
    <w:rsid w:val="00482559"/>
    <w:rsid w:val="0048280E"/>
    <w:rsid w:val="00482C33"/>
    <w:rsid w:val="004833CE"/>
    <w:rsid w:val="004836A0"/>
    <w:rsid w:val="004845B2"/>
    <w:rsid w:val="00485787"/>
    <w:rsid w:val="00486172"/>
    <w:rsid w:val="004875EB"/>
    <w:rsid w:val="0049015A"/>
    <w:rsid w:val="00491199"/>
    <w:rsid w:val="004919A3"/>
    <w:rsid w:val="00492D47"/>
    <w:rsid w:val="004930AA"/>
    <w:rsid w:val="004939B6"/>
    <w:rsid w:val="00493CBE"/>
    <w:rsid w:val="004965B9"/>
    <w:rsid w:val="004A0385"/>
    <w:rsid w:val="004A07F3"/>
    <w:rsid w:val="004A0E02"/>
    <w:rsid w:val="004A0E75"/>
    <w:rsid w:val="004A144B"/>
    <w:rsid w:val="004A3415"/>
    <w:rsid w:val="004A3A1C"/>
    <w:rsid w:val="004A5AE0"/>
    <w:rsid w:val="004A5FCA"/>
    <w:rsid w:val="004A6C9C"/>
    <w:rsid w:val="004A77C4"/>
    <w:rsid w:val="004A7ABE"/>
    <w:rsid w:val="004B09A3"/>
    <w:rsid w:val="004B117A"/>
    <w:rsid w:val="004B18AE"/>
    <w:rsid w:val="004B21B0"/>
    <w:rsid w:val="004B3850"/>
    <w:rsid w:val="004B6164"/>
    <w:rsid w:val="004B7C1A"/>
    <w:rsid w:val="004C1BDC"/>
    <w:rsid w:val="004C2149"/>
    <w:rsid w:val="004C2531"/>
    <w:rsid w:val="004C2B02"/>
    <w:rsid w:val="004C3342"/>
    <w:rsid w:val="004C4396"/>
    <w:rsid w:val="004C4F65"/>
    <w:rsid w:val="004C7D9F"/>
    <w:rsid w:val="004D16BE"/>
    <w:rsid w:val="004D1983"/>
    <w:rsid w:val="004D1D1F"/>
    <w:rsid w:val="004D2D0A"/>
    <w:rsid w:val="004D3387"/>
    <w:rsid w:val="004D38B0"/>
    <w:rsid w:val="004D3AAD"/>
    <w:rsid w:val="004D5AD1"/>
    <w:rsid w:val="004E0BE3"/>
    <w:rsid w:val="004E0F37"/>
    <w:rsid w:val="004E13FA"/>
    <w:rsid w:val="004E1D0E"/>
    <w:rsid w:val="004E1DB7"/>
    <w:rsid w:val="004E229B"/>
    <w:rsid w:val="004E3112"/>
    <w:rsid w:val="004E5265"/>
    <w:rsid w:val="004E6717"/>
    <w:rsid w:val="004E6D72"/>
    <w:rsid w:val="004E7219"/>
    <w:rsid w:val="004E7332"/>
    <w:rsid w:val="004F01B0"/>
    <w:rsid w:val="004F19E2"/>
    <w:rsid w:val="004F1D1F"/>
    <w:rsid w:val="004F24FD"/>
    <w:rsid w:val="004F30E8"/>
    <w:rsid w:val="004F43AB"/>
    <w:rsid w:val="004F4F1F"/>
    <w:rsid w:val="004F4F85"/>
    <w:rsid w:val="004F539A"/>
    <w:rsid w:val="004F5B56"/>
    <w:rsid w:val="0050010C"/>
    <w:rsid w:val="005001D8"/>
    <w:rsid w:val="005006C5"/>
    <w:rsid w:val="005011A2"/>
    <w:rsid w:val="00501D89"/>
    <w:rsid w:val="0050204B"/>
    <w:rsid w:val="00502507"/>
    <w:rsid w:val="00502A0F"/>
    <w:rsid w:val="00503072"/>
    <w:rsid w:val="005031BB"/>
    <w:rsid w:val="00503380"/>
    <w:rsid w:val="00503B67"/>
    <w:rsid w:val="00503E67"/>
    <w:rsid w:val="00503F81"/>
    <w:rsid w:val="005048E9"/>
    <w:rsid w:val="00504A34"/>
    <w:rsid w:val="00505366"/>
    <w:rsid w:val="00510184"/>
    <w:rsid w:val="00510973"/>
    <w:rsid w:val="00510D89"/>
    <w:rsid w:val="00511F6D"/>
    <w:rsid w:val="0051326F"/>
    <w:rsid w:val="005147FC"/>
    <w:rsid w:val="005158BE"/>
    <w:rsid w:val="00516835"/>
    <w:rsid w:val="00517613"/>
    <w:rsid w:val="00520C3B"/>
    <w:rsid w:val="00520C4B"/>
    <w:rsid w:val="0052156D"/>
    <w:rsid w:val="00521A4E"/>
    <w:rsid w:val="00522475"/>
    <w:rsid w:val="005227A0"/>
    <w:rsid w:val="0052289F"/>
    <w:rsid w:val="005254F8"/>
    <w:rsid w:val="005259CE"/>
    <w:rsid w:val="00526053"/>
    <w:rsid w:val="005265D4"/>
    <w:rsid w:val="00526812"/>
    <w:rsid w:val="0052721A"/>
    <w:rsid w:val="00530118"/>
    <w:rsid w:val="00530147"/>
    <w:rsid w:val="0053022D"/>
    <w:rsid w:val="005315AB"/>
    <w:rsid w:val="005325F3"/>
    <w:rsid w:val="005326D9"/>
    <w:rsid w:val="00533572"/>
    <w:rsid w:val="00534623"/>
    <w:rsid w:val="00536D35"/>
    <w:rsid w:val="005373BF"/>
    <w:rsid w:val="00537EE4"/>
    <w:rsid w:val="005402FF"/>
    <w:rsid w:val="005408D0"/>
    <w:rsid w:val="00540A49"/>
    <w:rsid w:val="00540FF0"/>
    <w:rsid w:val="005413A3"/>
    <w:rsid w:val="00542C8D"/>
    <w:rsid w:val="00542EA3"/>
    <w:rsid w:val="00543699"/>
    <w:rsid w:val="00543A22"/>
    <w:rsid w:val="0054509A"/>
    <w:rsid w:val="00545927"/>
    <w:rsid w:val="005474F6"/>
    <w:rsid w:val="00550BA0"/>
    <w:rsid w:val="00550E94"/>
    <w:rsid w:val="00551B42"/>
    <w:rsid w:val="00551DB7"/>
    <w:rsid w:val="00554AAD"/>
    <w:rsid w:val="005554C5"/>
    <w:rsid w:val="005559D1"/>
    <w:rsid w:val="00555D63"/>
    <w:rsid w:val="005565B2"/>
    <w:rsid w:val="00556F6F"/>
    <w:rsid w:val="00557296"/>
    <w:rsid w:val="005608B2"/>
    <w:rsid w:val="00560A43"/>
    <w:rsid w:val="00561000"/>
    <w:rsid w:val="00563749"/>
    <w:rsid w:val="00563C85"/>
    <w:rsid w:val="00563DDB"/>
    <w:rsid w:val="00564813"/>
    <w:rsid w:val="0056546C"/>
    <w:rsid w:val="0056563A"/>
    <w:rsid w:val="00565966"/>
    <w:rsid w:val="00567686"/>
    <w:rsid w:val="005676DC"/>
    <w:rsid w:val="005715C9"/>
    <w:rsid w:val="00571D67"/>
    <w:rsid w:val="00572E40"/>
    <w:rsid w:val="00573801"/>
    <w:rsid w:val="00574579"/>
    <w:rsid w:val="0057527E"/>
    <w:rsid w:val="00575A1D"/>
    <w:rsid w:val="00575A7F"/>
    <w:rsid w:val="005764A9"/>
    <w:rsid w:val="00576867"/>
    <w:rsid w:val="00576D2C"/>
    <w:rsid w:val="00576EFD"/>
    <w:rsid w:val="00580508"/>
    <w:rsid w:val="00580C5C"/>
    <w:rsid w:val="00580DA8"/>
    <w:rsid w:val="00580F79"/>
    <w:rsid w:val="0058597D"/>
    <w:rsid w:val="00585F34"/>
    <w:rsid w:val="00587DC2"/>
    <w:rsid w:val="005906E5"/>
    <w:rsid w:val="00590EBE"/>
    <w:rsid w:val="0059185F"/>
    <w:rsid w:val="00592EBE"/>
    <w:rsid w:val="0059595B"/>
    <w:rsid w:val="00595A3D"/>
    <w:rsid w:val="00595D44"/>
    <w:rsid w:val="0059614A"/>
    <w:rsid w:val="005963B4"/>
    <w:rsid w:val="005974C2"/>
    <w:rsid w:val="005A021D"/>
    <w:rsid w:val="005A0CEA"/>
    <w:rsid w:val="005A190A"/>
    <w:rsid w:val="005A1A1B"/>
    <w:rsid w:val="005A2216"/>
    <w:rsid w:val="005A24B5"/>
    <w:rsid w:val="005A2CFC"/>
    <w:rsid w:val="005A2F6D"/>
    <w:rsid w:val="005A40BA"/>
    <w:rsid w:val="005A5A70"/>
    <w:rsid w:val="005A7389"/>
    <w:rsid w:val="005A7CA2"/>
    <w:rsid w:val="005B02F2"/>
    <w:rsid w:val="005B1071"/>
    <w:rsid w:val="005B1790"/>
    <w:rsid w:val="005B1F44"/>
    <w:rsid w:val="005B20D0"/>
    <w:rsid w:val="005B3945"/>
    <w:rsid w:val="005B4811"/>
    <w:rsid w:val="005B4C75"/>
    <w:rsid w:val="005B53E0"/>
    <w:rsid w:val="005B78A1"/>
    <w:rsid w:val="005C05FF"/>
    <w:rsid w:val="005C14A0"/>
    <w:rsid w:val="005C198B"/>
    <w:rsid w:val="005C438E"/>
    <w:rsid w:val="005C43F3"/>
    <w:rsid w:val="005C62D9"/>
    <w:rsid w:val="005D00DB"/>
    <w:rsid w:val="005D07D2"/>
    <w:rsid w:val="005D293C"/>
    <w:rsid w:val="005D30B8"/>
    <w:rsid w:val="005D48FE"/>
    <w:rsid w:val="005D5EAC"/>
    <w:rsid w:val="005D66B0"/>
    <w:rsid w:val="005D6C63"/>
    <w:rsid w:val="005D7598"/>
    <w:rsid w:val="005E1528"/>
    <w:rsid w:val="005E2189"/>
    <w:rsid w:val="005E2A5A"/>
    <w:rsid w:val="005E2C15"/>
    <w:rsid w:val="005E46DC"/>
    <w:rsid w:val="005E4C95"/>
    <w:rsid w:val="005F00DC"/>
    <w:rsid w:val="005F0B3C"/>
    <w:rsid w:val="005F0E3E"/>
    <w:rsid w:val="005F27EF"/>
    <w:rsid w:val="005F3AEF"/>
    <w:rsid w:val="005F492A"/>
    <w:rsid w:val="005F49D2"/>
    <w:rsid w:val="005F4CED"/>
    <w:rsid w:val="005F5352"/>
    <w:rsid w:val="005F5527"/>
    <w:rsid w:val="005F6F91"/>
    <w:rsid w:val="005F74DE"/>
    <w:rsid w:val="00600F74"/>
    <w:rsid w:val="00603ABE"/>
    <w:rsid w:val="00603F19"/>
    <w:rsid w:val="006040C1"/>
    <w:rsid w:val="006052E4"/>
    <w:rsid w:val="00605442"/>
    <w:rsid w:val="00607532"/>
    <w:rsid w:val="00610930"/>
    <w:rsid w:val="00610B37"/>
    <w:rsid w:val="00613D28"/>
    <w:rsid w:val="0061404F"/>
    <w:rsid w:val="0061424C"/>
    <w:rsid w:val="00614C2C"/>
    <w:rsid w:val="00614E96"/>
    <w:rsid w:val="00614EA9"/>
    <w:rsid w:val="00615EA0"/>
    <w:rsid w:val="00616E27"/>
    <w:rsid w:val="00617088"/>
    <w:rsid w:val="00617831"/>
    <w:rsid w:val="0062007E"/>
    <w:rsid w:val="00620205"/>
    <w:rsid w:val="006202CC"/>
    <w:rsid w:val="00620470"/>
    <w:rsid w:val="00620736"/>
    <w:rsid w:val="00621EF4"/>
    <w:rsid w:val="00622128"/>
    <w:rsid w:val="006241BE"/>
    <w:rsid w:val="00625009"/>
    <w:rsid w:val="006278CC"/>
    <w:rsid w:val="0063189C"/>
    <w:rsid w:val="00632878"/>
    <w:rsid w:val="00633595"/>
    <w:rsid w:val="00634521"/>
    <w:rsid w:val="0063468C"/>
    <w:rsid w:val="00634DAD"/>
    <w:rsid w:val="006358A5"/>
    <w:rsid w:val="006359D0"/>
    <w:rsid w:val="00636EAC"/>
    <w:rsid w:val="0063728E"/>
    <w:rsid w:val="006372F2"/>
    <w:rsid w:val="00637810"/>
    <w:rsid w:val="00637918"/>
    <w:rsid w:val="00637E30"/>
    <w:rsid w:val="00640391"/>
    <w:rsid w:val="0064090C"/>
    <w:rsid w:val="00640A83"/>
    <w:rsid w:val="00642D42"/>
    <w:rsid w:val="00642E0E"/>
    <w:rsid w:val="00643044"/>
    <w:rsid w:val="00643B35"/>
    <w:rsid w:val="006457EB"/>
    <w:rsid w:val="00650191"/>
    <w:rsid w:val="00650351"/>
    <w:rsid w:val="00650BE0"/>
    <w:rsid w:val="006531CB"/>
    <w:rsid w:val="00653453"/>
    <w:rsid w:val="00654C6A"/>
    <w:rsid w:val="00655B41"/>
    <w:rsid w:val="00656821"/>
    <w:rsid w:val="006569B1"/>
    <w:rsid w:val="006572F6"/>
    <w:rsid w:val="006600F5"/>
    <w:rsid w:val="00660609"/>
    <w:rsid w:val="0066318C"/>
    <w:rsid w:val="00664533"/>
    <w:rsid w:val="0066498E"/>
    <w:rsid w:val="00665B84"/>
    <w:rsid w:val="006662AD"/>
    <w:rsid w:val="00667ABB"/>
    <w:rsid w:val="00670B88"/>
    <w:rsid w:val="00670E84"/>
    <w:rsid w:val="0067240D"/>
    <w:rsid w:val="006726E0"/>
    <w:rsid w:val="00675A81"/>
    <w:rsid w:val="0067643D"/>
    <w:rsid w:val="0067675D"/>
    <w:rsid w:val="00677C73"/>
    <w:rsid w:val="00677F7C"/>
    <w:rsid w:val="00683356"/>
    <w:rsid w:val="006834E5"/>
    <w:rsid w:val="00683A28"/>
    <w:rsid w:val="00684DEA"/>
    <w:rsid w:val="006854F2"/>
    <w:rsid w:val="006862BE"/>
    <w:rsid w:val="00686E12"/>
    <w:rsid w:val="00690E56"/>
    <w:rsid w:val="0069249C"/>
    <w:rsid w:val="00692613"/>
    <w:rsid w:val="00697E8B"/>
    <w:rsid w:val="006A21AF"/>
    <w:rsid w:val="006A2D1D"/>
    <w:rsid w:val="006A49AE"/>
    <w:rsid w:val="006A5A4C"/>
    <w:rsid w:val="006A6846"/>
    <w:rsid w:val="006A75AC"/>
    <w:rsid w:val="006A7F23"/>
    <w:rsid w:val="006B056A"/>
    <w:rsid w:val="006B0FA2"/>
    <w:rsid w:val="006B1475"/>
    <w:rsid w:val="006B1A63"/>
    <w:rsid w:val="006B2A03"/>
    <w:rsid w:val="006B2ABD"/>
    <w:rsid w:val="006B3858"/>
    <w:rsid w:val="006B5363"/>
    <w:rsid w:val="006B56D9"/>
    <w:rsid w:val="006B709C"/>
    <w:rsid w:val="006C01B3"/>
    <w:rsid w:val="006C0671"/>
    <w:rsid w:val="006C1ABF"/>
    <w:rsid w:val="006C1BD3"/>
    <w:rsid w:val="006C1C44"/>
    <w:rsid w:val="006C1C92"/>
    <w:rsid w:val="006C34ED"/>
    <w:rsid w:val="006C3B12"/>
    <w:rsid w:val="006C3D2D"/>
    <w:rsid w:val="006C4D54"/>
    <w:rsid w:val="006C7199"/>
    <w:rsid w:val="006D04D2"/>
    <w:rsid w:val="006D280F"/>
    <w:rsid w:val="006D383A"/>
    <w:rsid w:val="006D4161"/>
    <w:rsid w:val="006D6131"/>
    <w:rsid w:val="006D66B2"/>
    <w:rsid w:val="006D6CC0"/>
    <w:rsid w:val="006D6DC4"/>
    <w:rsid w:val="006D76F3"/>
    <w:rsid w:val="006D786C"/>
    <w:rsid w:val="006D79E4"/>
    <w:rsid w:val="006E07AA"/>
    <w:rsid w:val="006E123A"/>
    <w:rsid w:val="006E3C03"/>
    <w:rsid w:val="006E52CE"/>
    <w:rsid w:val="006E57B4"/>
    <w:rsid w:val="006E585B"/>
    <w:rsid w:val="006E5FB1"/>
    <w:rsid w:val="006E6297"/>
    <w:rsid w:val="006E6560"/>
    <w:rsid w:val="006E787E"/>
    <w:rsid w:val="006F10E1"/>
    <w:rsid w:val="006F11DD"/>
    <w:rsid w:val="006F19AA"/>
    <w:rsid w:val="006F281D"/>
    <w:rsid w:val="006F285F"/>
    <w:rsid w:val="006F347B"/>
    <w:rsid w:val="006F3A6E"/>
    <w:rsid w:val="006F4A1E"/>
    <w:rsid w:val="006F713A"/>
    <w:rsid w:val="007021CD"/>
    <w:rsid w:val="0070320C"/>
    <w:rsid w:val="007033B5"/>
    <w:rsid w:val="00704670"/>
    <w:rsid w:val="00710AF8"/>
    <w:rsid w:val="00710BF9"/>
    <w:rsid w:val="00710F65"/>
    <w:rsid w:val="0071327A"/>
    <w:rsid w:val="00713714"/>
    <w:rsid w:val="0071397B"/>
    <w:rsid w:val="007139D1"/>
    <w:rsid w:val="00715002"/>
    <w:rsid w:val="007202FA"/>
    <w:rsid w:val="00720648"/>
    <w:rsid w:val="00720C94"/>
    <w:rsid w:val="0072219B"/>
    <w:rsid w:val="00722424"/>
    <w:rsid w:val="00722DED"/>
    <w:rsid w:val="007244C8"/>
    <w:rsid w:val="00724A11"/>
    <w:rsid w:val="00725154"/>
    <w:rsid w:val="007264A6"/>
    <w:rsid w:val="00726C56"/>
    <w:rsid w:val="00727068"/>
    <w:rsid w:val="00727786"/>
    <w:rsid w:val="00727AE5"/>
    <w:rsid w:val="00727E46"/>
    <w:rsid w:val="0073024E"/>
    <w:rsid w:val="00730D60"/>
    <w:rsid w:val="00731EC4"/>
    <w:rsid w:val="00731FA8"/>
    <w:rsid w:val="0073212E"/>
    <w:rsid w:val="0073326F"/>
    <w:rsid w:val="007343B1"/>
    <w:rsid w:val="00734516"/>
    <w:rsid w:val="00735043"/>
    <w:rsid w:val="00736983"/>
    <w:rsid w:val="00740C3E"/>
    <w:rsid w:val="0074450C"/>
    <w:rsid w:val="00744632"/>
    <w:rsid w:val="007452B3"/>
    <w:rsid w:val="0074683C"/>
    <w:rsid w:val="007474F0"/>
    <w:rsid w:val="00747AC3"/>
    <w:rsid w:val="007524DB"/>
    <w:rsid w:val="007526C7"/>
    <w:rsid w:val="00752BF2"/>
    <w:rsid w:val="00753941"/>
    <w:rsid w:val="00753A65"/>
    <w:rsid w:val="00753ADE"/>
    <w:rsid w:val="00756E3A"/>
    <w:rsid w:val="0075719C"/>
    <w:rsid w:val="00757B56"/>
    <w:rsid w:val="00760B67"/>
    <w:rsid w:val="00761CE2"/>
    <w:rsid w:val="00761E43"/>
    <w:rsid w:val="00763E35"/>
    <w:rsid w:val="00766829"/>
    <w:rsid w:val="00766AEC"/>
    <w:rsid w:val="00771F85"/>
    <w:rsid w:val="00772487"/>
    <w:rsid w:val="00772730"/>
    <w:rsid w:val="00773308"/>
    <w:rsid w:val="0077389E"/>
    <w:rsid w:val="00773F61"/>
    <w:rsid w:val="0077505C"/>
    <w:rsid w:val="0077594D"/>
    <w:rsid w:val="007761EE"/>
    <w:rsid w:val="00777DAD"/>
    <w:rsid w:val="00780D40"/>
    <w:rsid w:val="00784F53"/>
    <w:rsid w:val="00786364"/>
    <w:rsid w:val="00787591"/>
    <w:rsid w:val="00787AC0"/>
    <w:rsid w:val="00791581"/>
    <w:rsid w:val="00792B80"/>
    <w:rsid w:val="007938BB"/>
    <w:rsid w:val="00795121"/>
    <w:rsid w:val="00795C02"/>
    <w:rsid w:val="00795E68"/>
    <w:rsid w:val="00795F23"/>
    <w:rsid w:val="00796843"/>
    <w:rsid w:val="007A0926"/>
    <w:rsid w:val="007A3DF5"/>
    <w:rsid w:val="007A3F08"/>
    <w:rsid w:val="007A4DFA"/>
    <w:rsid w:val="007A4EBD"/>
    <w:rsid w:val="007A54C1"/>
    <w:rsid w:val="007A711B"/>
    <w:rsid w:val="007A75A0"/>
    <w:rsid w:val="007A7E74"/>
    <w:rsid w:val="007A7F2A"/>
    <w:rsid w:val="007B0184"/>
    <w:rsid w:val="007B06A5"/>
    <w:rsid w:val="007B0C46"/>
    <w:rsid w:val="007B112B"/>
    <w:rsid w:val="007B5B26"/>
    <w:rsid w:val="007B687A"/>
    <w:rsid w:val="007B691A"/>
    <w:rsid w:val="007B6D25"/>
    <w:rsid w:val="007C0832"/>
    <w:rsid w:val="007C1372"/>
    <w:rsid w:val="007C17FC"/>
    <w:rsid w:val="007C1C85"/>
    <w:rsid w:val="007C1FF6"/>
    <w:rsid w:val="007C2E02"/>
    <w:rsid w:val="007C2F86"/>
    <w:rsid w:val="007C45FB"/>
    <w:rsid w:val="007C4A9A"/>
    <w:rsid w:val="007C553D"/>
    <w:rsid w:val="007C56CB"/>
    <w:rsid w:val="007C5CAC"/>
    <w:rsid w:val="007C7734"/>
    <w:rsid w:val="007D01B9"/>
    <w:rsid w:val="007D0E2D"/>
    <w:rsid w:val="007D15AE"/>
    <w:rsid w:val="007D16B5"/>
    <w:rsid w:val="007D1D12"/>
    <w:rsid w:val="007D56D2"/>
    <w:rsid w:val="007D61B8"/>
    <w:rsid w:val="007D6945"/>
    <w:rsid w:val="007D70B5"/>
    <w:rsid w:val="007D760B"/>
    <w:rsid w:val="007D77AF"/>
    <w:rsid w:val="007D7EB3"/>
    <w:rsid w:val="007E01DB"/>
    <w:rsid w:val="007E10DE"/>
    <w:rsid w:val="007E36FC"/>
    <w:rsid w:val="007E3828"/>
    <w:rsid w:val="007E3B77"/>
    <w:rsid w:val="007E3C92"/>
    <w:rsid w:val="007E5629"/>
    <w:rsid w:val="007E69A8"/>
    <w:rsid w:val="007E6E5C"/>
    <w:rsid w:val="007E7D7C"/>
    <w:rsid w:val="007F1621"/>
    <w:rsid w:val="007F1D4F"/>
    <w:rsid w:val="007F34EB"/>
    <w:rsid w:val="007F3B2C"/>
    <w:rsid w:val="007F42D5"/>
    <w:rsid w:val="007F4A1B"/>
    <w:rsid w:val="007F4AD9"/>
    <w:rsid w:val="007F6056"/>
    <w:rsid w:val="007F7FF2"/>
    <w:rsid w:val="00800A64"/>
    <w:rsid w:val="00802129"/>
    <w:rsid w:val="008024D4"/>
    <w:rsid w:val="00802E55"/>
    <w:rsid w:val="00803FDE"/>
    <w:rsid w:val="008059B4"/>
    <w:rsid w:val="00805B42"/>
    <w:rsid w:val="00805E4B"/>
    <w:rsid w:val="00806D63"/>
    <w:rsid w:val="00807409"/>
    <w:rsid w:val="008102AD"/>
    <w:rsid w:val="0081297F"/>
    <w:rsid w:val="00814679"/>
    <w:rsid w:val="008168F8"/>
    <w:rsid w:val="00820393"/>
    <w:rsid w:val="008223F4"/>
    <w:rsid w:val="0082350D"/>
    <w:rsid w:val="00824AA0"/>
    <w:rsid w:val="00825A1B"/>
    <w:rsid w:val="00825AAA"/>
    <w:rsid w:val="00831AF4"/>
    <w:rsid w:val="00831C86"/>
    <w:rsid w:val="008327D7"/>
    <w:rsid w:val="00833E19"/>
    <w:rsid w:val="00834E18"/>
    <w:rsid w:val="00834E9C"/>
    <w:rsid w:val="0083622F"/>
    <w:rsid w:val="00836462"/>
    <w:rsid w:val="008368AA"/>
    <w:rsid w:val="00837276"/>
    <w:rsid w:val="008372A9"/>
    <w:rsid w:val="008375AA"/>
    <w:rsid w:val="00837997"/>
    <w:rsid w:val="00842138"/>
    <w:rsid w:val="00842F70"/>
    <w:rsid w:val="00845894"/>
    <w:rsid w:val="00845E9A"/>
    <w:rsid w:val="00847B0A"/>
    <w:rsid w:val="00847C79"/>
    <w:rsid w:val="00847D4E"/>
    <w:rsid w:val="00850599"/>
    <w:rsid w:val="00850910"/>
    <w:rsid w:val="00851CD4"/>
    <w:rsid w:val="00851FD3"/>
    <w:rsid w:val="00852213"/>
    <w:rsid w:val="0085238A"/>
    <w:rsid w:val="008524EB"/>
    <w:rsid w:val="00852890"/>
    <w:rsid w:val="0085318D"/>
    <w:rsid w:val="008565BC"/>
    <w:rsid w:val="00856648"/>
    <w:rsid w:val="00856A67"/>
    <w:rsid w:val="00857D59"/>
    <w:rsid w:val="00861731"/>
    <w:rsid w:val="0086190F"/>
    <w:rsid w:val="00864147"/>
    <w:rsid w:val="0086437F"/>
    <w:rsid w:val="00867FC5"/>
    <w:rsid w:val="008711F1"/>
    <w:rsid w:val="00871B57"/>
    <w:rsid w:val="00871E21"/>
    <w:rsid w:val="008747C9"/>
    <w:rsid w:val="00875402"/>
    <w:rsid w:val="00875858"/>
    <w:rsid w:val="00877E88"/>
    <w:rsid w:val="0088002F"/>
    <w:rsid w:val="008802A2"/>
    <w:rsid w:val="00881072"/>
    <w:rsid w:val="008816A3"/>
    <w:rsid w:val="008829F7"/>
    <w:rsid w:val="00882E18"/>
    <w:rsid w:val="00884B09"/>
    <w:rsid w:val="00885345"/>
    <w:rsid w:val="00885469"/>
    <w:rsid w:val="008864D1"/>
    <w:rsid w:val="008865D6"/>
    <w:rsid w:val="008866DF"/>
    <w:rsid w:val="00886AEF"/>
    <w:rsid w:val="00887178"/>
    <w:rsid w:val="0088747B"/>
    <w:rsid w:val="008879D3"/>
    <w:rsid w:val="00890D9C"/>
    <w:rsid w:val="00892F80"/>
    <w:rsid w:val="00893A03"/>
    <w:rsid w:val="00894E27"/>
    <w:rsid w:val="00895566"/>
    <w:rsid w:val="00895CB8"/>
    <w:rsid w:val="0089661E"/>
    <w:rsid w:val="00897D19"/>
    <w:rsid w:val="00897F55"/>
    <w:rsid w:val="008A0D84"/>
    <w:rsid w:val="008A14DB"/>
    <w:rsid w:val="008A1A62"/>
    <w:rsid w:val="008A1D01"/>
    <w:rsid w:val="008A1FFE"/>
    <w:rsid w:val="008A2C51"/>
    <w:rsid w:val="008A328B"/>
    <w:rsid w:val="008A342D"/>
    <w:rsid w:val="008A5963"/>
    <w:rsid w:val="008A5ABF"/>
    <w:rsid w:val="008A6979"/>
    <w:rsid w:val="008B0887"/>
    <w:rsid w:val="008B17A0"/>
    <w:rsid w:val="008B22B0"/>
    <w:rsid w:val="008B2C01"/>
    <w:rsid w:val="008B31F7"/>
    <w:rsid w:val="008B33C0"/>
    <w:rsid w:val="008B3869"/>
    <w:rsid w:val="008B4A36"/>
    <w:rsid w:val="008B4F41"/>
    <w:rsid w:val="008B5F0A"/>
    <w:rsid w:val="008C0E17"/>
    <w:rsid w:val="008C2AB9"/>
    <w:rsid w:val="008C3DBB"/>
    <w:rsid w:val="008C4092"/>
    <w:rsid w:val="008C5036"/>
    <w:rsid w:val="008C61AE"/>
    <w:rsid w:val="008C6F75"/>
    <w:rsid w:val="008C7200"/>
    <w:rsid w:val="008C7627"/>
    <w:rsid w:val="008D111E"/>
    <w:rsid w:val="008D1B62"/>
    <w:rsid w:val="008D1B9E"/>
    <w:rsid w:val="008D1F9A"/>
    <w:rsid w:val="008D2082"/>
    <w:rsid w:val="008D2388"/>
    <w:rsid w:val="008D4146"/>
    <w:rsid w:val="008D5013"/>
    <w:rsid w:val="008D59E9"/>
    <w:rsid w:val="008D7367"/>
    <w:rsid w:val="008E0F0B"/>
    <w:rsid w:val="008E1159"/>
    <w:rsid w:val="008E1580"/>
    <w:rsid w:val="008E1A9C"/>
    <w:rsid w:val="008E20F1"/>
    <w:rsid w:val="008E32CE"/>
    <w:rsid w:val="008E3CC4"/>
    <w:rsid w:val="008E40C9"/>
    <w:rsid w:val="008E4F24"/>
    <w:rsid w:val="008F06DA"/>
    <w:rsid w:val="008F1056"/>
    <w:rsid w:val="008F1589"/>
    <w:rsid w:val="008F1873"/>
    <w:rsid w:val="008F18E5"/>
    <w:rsid w:val="008F2E02"/>
    <w:rsid w:val="008F3327"/>
    <w:rsid w:val="008F3549"/>
    <w:rsid w:val="008F49E7"/>
    <w:rsid w:val="008F4BA0"/>
    <w:rsid w:val="008F4D58"/>
    <w:rsid w:val="008F5110"/>
    <w:rsid w:val="008F5B13"/>
    <w:rsid w:val="008F6006"/>
    <w:rsid w:val="008F62CE"/>
    <w:rsid w:val="008F71B1"/>
    <w:rsid w:val="008F7246"/>
    <w:rsid w:val="008F7DE6"/>
    <w:rsid w:val="009015B2"/>
    <w:rsid w:val="009022AF"/>
    <w:rsid w:val="009040D4"/>
    <w:rsid w:val="00904723"/>
    <w:rsid w:val="00905ACD"/>
    <w:rsid w:val="00906209"/>
    <w:rsid w:val="0090659B"/>
    <w:rsid w:val="0090660F"/>
    <w:rsid w:val="00906D38"/>
    <w:rsid w:val="00906E90"/>
    <w:rsid w:val="0091051D"/>
    <w:rsid w:val="00910533"/>
    <w:rsid w:val="00910C50"/>
    <w:rsid w:val="00912CB8"/>
    <w:rsid w:val="00916484"/>
    <w:rsid w:val="009169B9"/>
    <w:rsid w:val="00916B7D"/>
    <w:rsid w:val="00917575"/>
    <w:rsid w:val="009176BF"/>
    <w:rsid w:val="00917ABD"/>
    <w:rsid w:val="00920136"/>
    <w:rsid w:val="009209E3"/>
    <w:rsid w:val="00921847"/>
    <w:rsid w:val="00923A33"/>
    <w:rsid w:val="009261BF"/>
    <w:rsid w:val="009266A4"/>
    <w:rsid w:val="009272C6"/>
    <w:rsid w:val="009313EE"/>
    <w:rsid w:val="00933A3E"/>
    <w:rsid w:val="00934D39"/>
    <w:rsid w:val="00934DEB"/>
    <w:rsid w:val="0093548A"/>
    <w:rsid w:val="00936381"/>
    <w:rsid w:val="00936F5C"/>
    <w:rsid w:val="00936F84"/>
    <w:rsid w:val="00937A6E"/>
    <w:rsid w:val="00940851"/>
    <w:rsid w:val="00941194"/>
    <w:rsid w:val="009422BC"/>
    <w:rsid w:val="0094287F"/>
    <w:rsid w:val="00942B51"/>
    <w:rsid w:val="009430E5"/>
    <w:rsid w:val="0094315F"/>
    <w:rsid w:val="009432CB"/>
    <w:rsid w:val="00943DE3"/>
    <w:rsid w:val="00944192"/>
    <w:rsid w:val="0094678B"/>
    <w:rsid w:val="009513BE"/>
    <w:rsid w:val="0095242E"/>
    <w:rsid w:val="00953B97"/>
    <w:rsid w:val="00954408"/>
    <w:rsid w:val="00954FE1"/>
    <w:rsid w:val="0095542B"/>
    <w:rsid w:val="009556AE"/>
    <w:rsid w:val="00955DD9"/>
    <w:rsid w:val="009565BD"/>
    <w:rsid w:val="00956939"/>
    <w:rsid w:val="00956AB0"/>
    <w:rsid w:val="00960877"/>
    <w:rsid w:val="00961EF6"/>
    <w:rsid w:val="00962780"/>
    <w:rsid w:val="00962B87"/>
    <w:rsid w:val="00962FF1"/>
    <w:rsid w:val="009630CE"/>
    <w:rsid w:val="009641AD"/>
    <w:rsid w:val="00965842"/>
    <w:rsid w:val="009679D9"/>
    <w:rsid w:val="009703F8"/>
    <w:rsid w:val="0097067B"/>
    <w:rsid w:val="009712AE"/>
    <w:rsid w:val="00971BE0"/>
    <w:rsid w:val="00971EFA"/>
    <w:rsid w:val="009725A2"/>
    <w:rsid w:val="00973381"/>
    <w:rsid w:val="00974915"/>
    <w:rsid w:val="009752C7"/>
    <w:rsid w:val="009759F2"/>
    <w:rsid w:val="00976469"/>
    <w:rsid w:val="00976532"/>
    <w:rsid w:val="0097654B"/>
    <w:rsid w:val="009770B8"/>
    <w:rsid w:val="00977C6D"/>
    <w:rsid w:val="00977F17"/>
    <w:rsid w:val="00981AF3"/>
    <w:rsid w:val="00982497"/>
    <w:rsid w:val="00982CD1"/>
    <w:rsid w:val="0098342A"/>
    <w:rsid w:val="00983AE1"/>
    <w:rsid w:val="00985D36"/>
    <w:rsid w:val="009865D6"/>
    <w:rsid w:val="00990506"/>
    <w:rsid w:val="009910DC"/>
    <w:rsid w:val="00991B19"/>
    <w:rsid w:val="00993599"/>
    <w:rsid w:val="009974A8"/>
    <w:rsid w:val="009A0A09"/>
    <w:rsid w:val="009A245B"/>
    <w:rsid w:val="009A2516"/>
    <w:rsid w:val="009A2FAA"/>
    <w:rsid w:val="009B18D7"/>
    <w:rsid w:val="009B23EE"/>
    <w:rsid w:val="009B3610"/>
    <w:rsid w:val="009B37D3"/>
    <w:rsid w:val="009B4C61"/>
    <w:rsid w:val="009B4CE0"/>
    <w:rsid w:val="009B54CF"/>
    <w:rsid w:val="009B5A8C"/>
    <w:rsid w:val="009B5C74"/>
    <w:rsid w:val="009B6B5C"/>
    <w:rsid w:val="009C01B9"/>
    <w:rsid w:val="009C0342"/>
    <w:rsid w:val="009C0408"/>
    <w:rsid w:val="009C161A"/>
    <w:rsid w:val="009C3BAF"/>
    <w:rsid w:val="009C4088"/>
    <w:rsid w:val="009C7BBD"/>
    <w:rsid w:val="009C7FE0"/>
    <w:rsid w:val="009D05CC"/>
    <w:rsid w:val="009D09AE"/>
    <w:rsid w:val="009D2A1F"/>
    <w:rsid w:val="009D2BAC"/>
    <w:rsid w:val="009D55EE"/>
    <w:rsid w:val="009D5970"/>
    <w:rsid w:val="009D5C32"/>
    <w:rsid w:val="009D73F5"/>
    <w:rsid w:val="009D740A"/>
    <w:rsid w:val="009D7D93"/>
    <w:rsid w:val="009E1607"/>
    <w:rsid w:val="009E1A3F"/>
    <w:rsid w:val="009E21B7"/>
    <w:rsid w:val="009E2CF2"/>
    <w:rsid w:val="009E312B"/>
    <w:rsid w:val="009E4844"/>
    <w:rsid w:val="009E564F"/>
    <w:rsid w:val="009E6184"/>
    <w:rsid w:val="009E655C"/>
    <w:rsid w:val="009E6F2E"/>
    <w:rsid w:val="009F0BD3"/>
    <w:rsid w:val="009F3218"/>
    <w:rsid w:val="009F7F2B"/>
    <w:rsid w:val="00A0001D"/>
    <w:rsid w:val="00A0119C"/>
    <w:rsid w:val="00A01312"/>
    <w:rsid w:val="00A02557"/>
    <w:rsid w:val="00A03332"/>
    <w:rsid w:val="00A0541B"/>
    <w:rsid w:val="00A06208"/>
    <w:rsid w:val="00A0628B"/>
    <w:rsid w:val="00A1016F"/>
    <w:rsid w:val="00A10EC9"/>
    <w:rsid w:val="00A11F7F"/>
    <w:rsid w:val="00A12648"/>
    <w:rsid w:val="00A13855"/>
    <w:rsid w:val="00A140A3"/>
    <w:rsid w:val="00A15B34"/>
    <w:rsid w:val="00A1647B"/>
    <w:rsid w:val="00A177A3"/>
    <w:rsid w:val="00A20EFE"/>
    <w:rsid w:val="00A21556"/>
    <w:rsid w:val="00A21903"/>
    <w:rsid w:val="00A22AF7"/>
    <w:rsid w:val="00A25C16"/>
    <w:rsid w:val="00A30028"/>
    <w:rsid w:val="00A301EF"/>
    <w:rsid w:val="00A3040F"/>
    <w:rsid w:val="00A3168A"/>
    <w:rsid w:val="00A31CD2"/>
    <w:rsid w:val="00A32EFA"/>
    <w:rsid w:val="00A35D28"/>
    <w:rsid w:val="00A35E53"/>
    <w:rsid w:val="00A3635F"/>
    <w:rsid w:val="00A36941"/>
    <w:rsid w:val="00A37995"/>
    <w:rsid w:val="00A41A4E"/>
    <w:rsid w:val="00A42621"/>
    <w:rsid w:val="00A436D2"/>
    <w:rsid w:val="00A43752"/>
    <w:rsid w:val="00A443B8"/>
    <w:rsid w:val="00A452B2"/>
    <w:rsid w:val="00A454E3"/>
    <w:rsid w:val="00A463F3"/>
    <w:rsid w:val="00A50258"/>
    <w:rsid w:val="00A51149"/>
    <w:rsid w:val="00A5498C"/>
    <w:rsid w:val="00A5541A"/>
    <w:rsid w:val="00A567CB"/>
    <w:rsid w:val="00A57DEC"/>
    <w:rsid w:val="00A60C13"/>
    <w:rsid w:val="00A613E4"/>
    <w:rsid w:val="00A61AD5"/>
    <w:rsid w:val="00A62DEF"/>
    <w:rsid w:val="00A637C6"/>
    <w:rsid w:val="00A63824"/>
    <w:rsid w:val="00A63A5F"/>
    <w:rsid w:val="00A63D9A"/>
    <w:rsid w:val="00A63FAB"/>
    <w:rsid w:val="00A6458B"/>
    <w:rsid w:val="00A64C0E"/>
    <w:rsid w:val="00A653AC"/>
    <w:rsid w:val="00A65BF7"/>
    <w:rsid w:val="00A65DCD"/>
    <w:rsid w:val="00A66E2A"/>
    <w:rsid w:val="00A67E6C"/>
    <w:rsid w:val="00A7067D"/>
    <w:rsid w:val="00A7189A"/>
    <w:rsid w:val="00A71C9E"/>
    <w:rsid w:val="00A71DDE"/>
    <w:rsid w:val="00A7228B"/>
    <w:rsid w:val="00A72A7B"/>
    <w:rsid w:val="00A72B75"/>
    <w:rsid w:val="00A73038"/>
    <w:rsid w:val="00A73796"/>
    <w:rsid w:val="00A749FD"/>
    <w:rsid w:val="00A74B8A"/>
    <w:rsid w:val="00A74C77"/>
    <w:rsid w:val="00A75387"/>
    <w:rsid w:val="00A75C2A"/>
    <w:rsid w:val="00A76C99"/>
    <w:rsid w:val="00A76F14"/>
    <w:rsid w:val="00A800C8"/>
    <w:rsid w:val="00A811CB"/>
    <w:rsid w:val="00A81D2F"/>
    <w:rsid w:val="00A81E59"/>
    <w:rsid w:val="00A81EBE"/>
    <w:rsid w:val="00A826F1"/>
    <w:rsid w:val="00A84CD0"/>
    <w:rsid w:val="00A915F4"/>
    <w:rsid w:val="00A917A9"/>
    <w:rsid w:val="00A91C36"/>
    <w:rsid w:val="00A91D41"/>
    <w:rsid w:val="00A9684D"/>
    <w:rsid w:val="00A97402"/>
    <w:rsid w:val="00A97873"/>
    <w:rsid w:val="00AA3875"/>
    <w:rsid w:val="00AA3C4B"/>
    <w:rsid w:val="00AA4CFF"/>
    <w:rsid w:val="00AA5CDC"/>
    <w:rsid w:val="00AA6669"/>
    <w:rsid w:val="00AA690A"/>
    <w:rsid w:val="00AA6AB3"/>
    <w:rsid w:val="00AA6D26"/>
    <w:rsid w:val="00AB0541"/>
    <w:rsid w:val="00AB09EE"/>
    <w:rsid w:val="00AB2400"/>
    <w:rsid w:val="00AB5377"/>
    <w:rsid w:val="00AB5B77"/>
    <w:rsid w:val="00AB7D08"/>
    <w:rsid w:val="00AC0B81"/>
    <w:rsid w:val="00AC3506"/>
    <w:rsid w:val="00AC387E"/>
    <w:rsid w:val="00AC4DD2"/>
    <w:rsid w:val="00AC5BDF"/>
    <w:rsid w:val="00AC6903"/>
    <w:rsid w:val="00AC6B95"/>
    <w:rsid w:val="00AC7CAF"/>
    <w:rsid w:val="00AD0AF6"/>
    <w:rsid w:val="00AD343E"/>
    <w:rsid w:val="00AD476A"/>
    <w:rsid w:val="00AD47AA"/>
    <w:rsid w:val="00AD4ABF"/>
    <w:rsid w:val="00AD52D1"/>
    <w:rsid w:val="00AD54E1"/>
    <w:rsid w:val="00AD5632"/>
    <w:rsid w:val="00AD6306"/>
    <w:rsid w:val="00AE1BD1"/>
    <w:rsid w:val="00AE1DBE"/>
    <w:rsid w:val="00AE276C"/>
    <w:rsid w:val="00AE3DF4"/>
    <w:rsid w:val="00AE4788"/>
    <w:rsid w:val="00AE50A3"/>
    <w:rsid w:val="00AE54FF"/>
    <w:rsid w:val="00AE563F"/>
    <w:rsid w:val="00AE71A8"/>
    <w:rsid w:val="00AE74B3"/>
    <w:rsid w:val="00AE7678"/>
    <w:rsid w:val="00AF0329"/>
    <w:rsid w:val="00AF0774"/>
    <w:rsid w:val="00AF2612"/>
    <w:rsid w:val="00AF39DC"/>
    <w:rsid w:val="00AF3FE3"/>
    <w:rsid w:val="00AF4A53"/>
    <w:rsid w:val="00AF52DC"/>
    <w:rsid w:val="00AF6305"/>
    <w:rsid w:val="00AF6A68"/>
    <w:rsid w:val="00B008DF"/>
    <w:rsid w:val="00B00E5C"/>
    <w:rsid w:val="00B0131B"/>
    <w:rsid w:val="00B01819"/>
    <w:rsid w:val="00B022D8"/>
    <w:rsid w:val="00B02540"/>
    <w:rsid w:val="00B04DC3"/>
    <w:rsid w:val="00B0529B"/>
    <w:rsid w:val="00B1077D"/>
    <w:rsid w:val="00B11176"/>
    <w:rsid w:val="00B13CB1"/>
    <w:rsid w:val="00B167CE"/>
    <w:rsid w:val="00B16B62"/>
    <w:rsid w:val="00B17A2E"/>
    <w:rsid w:val="00B20292"/>
    <w:rsid w:val="00B206B1"/>
    <w:rsid w:val="00B22004"/>
    <w:rsid w:val="00B22C0A"/>
    <w:rsid w:val="00B22FF9"/>
    <w:rsid w:val="00B25B42"/>
    <w:rsid w:val="00B267F1"/>
    <w:rsid w:val="00B2725F"/>
    <w:rsid w:val="00B27998"/>
    <w:rsid w:val="00B308E1"/>
    <w:rsid w:val="00B331DC"/>
    <w:rsid w:val="00B33BCF"/>
    <w:rsid w:val="00B35546"/>
    <w:rsid w:val="00B35594"/>
    <w:rsid w:val="00B36B6D"/>
    <w:rsid w:val="00B3756E"/>
    <w:rsid w:val="00B401AE"/>
    <w:rsid w:val="00B406BE"/>
    <w:rsid w:val="00B414AF"/>
    <w:rsid w:val="00B41708"/>
    <w:rsid w:val="00B4301A"/>
    <w:rsid w:val="00B43FF7"/>
    <w:rsid w:val="00B4438B"/>
    <w:rsid w:val="00B46241"/>
    <w:rsid w:val="00B46422"/>
    <w:rsid w:val="00B47C72"/>
    <w:rsid w:val="00B50D0F"/>
    <w:rsid w:val="00B524C0"/>
    <w:rsid w:val="00B52CF9"/>
    <w:rsid w:val="00B52D9E"/>
    <w:rsid w:val="00B53C31"/>
    <w:rsid w:val="00B555A9"/>
    <w:rsid w:val="00B563E9"/>
    <w:rsid w:val="00B60ED0"/>
    <w:rsid w:val="00B627E7"/>
    <w:rsid w:val="00B6283F"/>
    <w:rsid w:val="00B62F33"/>
    <w:rsid w:val="00B6668D"/>
    <w:rsid w:val="00B666B9"/>
    <w:rsid w:val="00B66A94"/>
    <w:rsid w:val="00B66F81"/>
    <w:rsid w:val="00B677F1"/>
    <w:rsid w:val="00B707AF"/>
    <w:rsid w:val="00B70882"/>
    <w:rsid w:val="00B709B8"/>
    <w:rsid w:val="00B72D75"/>
    <w:rsid w:val="00B72F97"/>
    <w:rsid w:val="00B741EF"/>
    <w:rsid w:val="00B75F72"/>
    <w:rsid w:val="00B76DC1"/>
    <w:rsid w:val="00B805C4"/>
    <w:rsid w:val="00B81548"/>
    <w:rsid w:val="00B81633"/>
    <w:rsid w:val="00B82FF5"/>
    <w:rsid w:val="00B83A38"/>
    <w:rsid w:val="00B850CE"/>
    <w:rsid w:val="00B862C0"/>
    <w:rsid w:val="00B863D9"/>
    <w:rsid w:val="00B86E98"/>
    <w:rsid w:val="00B90192"/>
    <w:rsid w:val="00B90B9B"/>
    <w:rsid w:val="00B91455"/>
    <w:rsid w:val="00B919E1"/>
    <w:rsid w:val="00B945A2"/>
    <w:rsid w:val="00B962AB"/>
    <w:rsid w:val="00B96C66"/>
    <w:rsid w:val="00B97B6F"/>
    <w:rsid w:val="00BA0622"/>
    <w:rsid w:val="00BA13D0"/>
    <w:rsid w:val="00BA1C0C"/>
    <w:rsid w:val="00BA1C65"/>
    <w:rsid w:val="00BA1F66"/>
    <w:rsid w:val="00BA2A52"/>
    <w:rsid w:val="00BA35C3"/>
    <w:rsid w:val="00BA3F2E"/>
    <w:rsid w:val="00BA4760"/>
    <w:rsid w:val="00BA4FF0"/>
    <w:rsid w:val="00BA5FB5"/>
    <w:rsid w:val="00BA7003"/>
    <w:rsid w:val="00BB065D"/>
    <w:rsid w:val="00BB14CF"/>
    <w:rsid w:val="00BB1CF9"/>
    <w:rsid w:val="00BB26DC"/>
    <w:rsid w:val="00BB315F"/>
    <w:rsid w:val="00BB5036"/>
    <w:rsid w:val="00BB6888"/>
    <w:rsid w:val="00BB6EFD"/>
    <w:rsid w:val="00BC3D44"/>
    <w:rsid w:val="00BC4213"/>
    <w:rsid w:val="00BC5C80"/>
    <w:rsid w:val="00BC5D5B"/>
    <w:rsid w:val="00BC5F08"/>
    <w:rsid w:val="00BC65B2"/>
    <w:rsid w:val="00BD09B1"/>
    <w:rsid w:val="00BD1B72"/>
    <w:rsid w:val="00BD3BB5"/>
    <w:rsid w:val="00BD41C0"/>
    <w:rsid w:val="00BD4AA0"/>
    <w:rsid w:val="00BD5424"/>
    <w:rsid w:val="00BD6053"/>
    <w:rsid w:val="00BD6593"/>
    <w:rsid w:val="00BD66B2"/>
    <w:rsid w:val="00BD71AD"/>
    <w:rsid w:val="00BD7725"/>
    <w:rsid w:val="00BD78AD"/>
    <w:rsid w:val="00BE0F6C"/>
    <w:rsid w:val="00BE1F09"/>
    <w:rsid w:val="00BE2DD8"/>
    <w:rsid w:val="00BE301A"/>
    <w:rsid w:val="00BE400A"/>
    <w:rsid w:val="00BE4285"/>
    <w:rsid w:val="00BE458A"/>
    <w:rsid w:val="00BE4E51"/>
    <w:rsid w:val="00BE5E13"/>
    <w:rsid w:val="00BE7A1E"/>
    <w:rsid w:val="00BF0159"/>
    <w:rsid w:val="00BF0D84"/>
    <w:rsid w:val="00BF18FE"/>
    <w:rsid w:val="00BF1C55"/>
    <w:rsid w:val="00BF224A"/>
    <w:rsid w:val="00BF3AAA"/>
    <w:rsid w:val="00BF497A"/>
    <w:rsid w:val="00BF4AC8"/>
    <w:rsid w:val="00BF70D4"/>
    <w:rsid w:val="00BF71E4"/>
    <w:rsid w:val="00BF7B13"/>
    <w:rsid w:val="00C0163D"/>
    <w:rsid w:val="00C017CA"/>
    <w:rsid w:val="00C03CE8"/>
    <w:rsid w:val="00C0494D"/>
    <w:rsid w:val="00C05806"/>
    <w:rsid w:val="00C06A1F"/>
    <w:rsid w:val="00C108A9"/>
    <w:rsid w:val="00C12466"/>
    <w:rsid w:val="00C143BD"/>
    <w:rsid w:val="00C1441B"/>
    <w:rsid w:val="00C14FB5"/>
    <w:rsid w:val="00C151EC"/>
    <w:rsid w:val="00C15A04"/>
    <w:rsid w:val="00C1656A"/>
    <w:rsid w:val="00C16815"/>
    <w:rsid w:val="00C17D4D"/>
    <w:rsid w:val="00C2100C"/>
    <w:rsid w:val="00C226C2"/>
    <w:rsid w:val="00C2305A"/>
    <w:rsid w:val="00C23CC9"/>
    <w:rsid w:val="00C24114"/>
    <w:rsid w:val="00C2492B"/>
    <w:rsid w:val="00C30B3D"/>
    <w:rsid w:val="00C30BEF"/>
    <w:rsid w:val="00C32004"/>
    <w:rsid w:val="00C323BD"/>
    <w:rsid w:val="00C33180"/>
    <w:rsid w:val="00C33462"/>
    <w:rsid w:val="00C33AE2"/>
    <w:rsid w:val="00C34138"/>
    <w:rsid w:val="00C34324"/>
    <w:rsid w:val="00C344E9"/>
    <w:rsid w:val="00C3492B"/>
    <w:rsid w:val="00C35315"/>
    <w:rsid w:val="00C3555A"/>
    <w:rsid w:val="00C3626C"/>
    <w:rsid w:val="00C36CE9"/>
    <w:rsid w:val="00C37741"/>
    <w:rsid w:val="00C37E3D"/>
    <w:rsid w:val="00C4041E"/>
    <w:rsid w:val="00C44475"/>
    <w:rsid w:val="00C45757"/>
    <w:rsid w:val="00C46807"/>
    <w:rsid w:val="00C50B1E"/>
    <w:rsid w:val="00C51C72"/>
    <w:rsid w:val="00C544CC"/>
    <w:rsid w:val="00C55114"/>
    <w:rsid w:val="00C57198"/>
    <w:rsid w:val="00C578CE"/>
    <w:rsid w:val="00C617BF"/>
    <w:rsid w:val="00C62791"/>
    <w:rsid w:val="00C62FA1"/>
    <w:rsid w:val="00C653BA"/>
    <w:rsid w:val="00C677AA"/>
    <w:rsid w:val="00C71914"/>
    <w:rsid w:val="00C7263B"/>
    <w:rsid w:val="00C727EF"/>
    <w:rsid w:val="00C73290"/>
    <w:rsid w:val="00C74636"/>
    <w:rsid w:val="00C7613A"/>
    <w:rsid w:val="00C77AEB"/>
    <w:rsid w:val="00C805DA"/>
    <w:rsid w:val="00C8096C"/>
    <w:rsid w:val="00C80A78"/>
    <w:rsid w:val="00C80F33"/>
    <w:rsid w:val="00C80FD0"/>
    <w:rsid w:val="00C8100B"/>
    <w:rsid w:val="00C816BC"/>
    <w:rsid w:val="00C825DD"/>
    <w:rsid w:val="00C852AC"/>
    <w:rsid w:val="00C86543"/>
    <w:rsid w:val="00C8683F"/>
    <w:rsid w:val="00C87D19"/>
    <w:rsid w:val="00C90FA2"/>
    <w:rsid w:val="00C92267"/>
    <w:rsid w:val="00C95BC5"/>
    <w:rsid w:val="00C974ED"/>
    <w:rsid w:val="00C97A8D"/>
    <w:rsid w:val="00CA04C0"/>
    <w:rsid w:val="00CA4064"/>
    <w:rsid w:val="00CA41D2"/>
    <w:rsid w:val="00CA4F20"/>
    <w:rsid w:val="00CA5908"/>
    <w:rsid w:val="00CA5D21"/>
    <w:rsid w:val="00CA6512"/>
    <w:rsid w:val="00CA7A61"/>
    <w:rsid w:val="00CB0C16"/>
    <w:rsid w:val="00CB1327"/>
    <w:rsid w:val="00CB149F"/>
    <w:rsid w:val="00CB1EAE"/>
    <w:rsid w:val="00CB1F5B"/>
    <w:rsid w:val="00CB2147"/>
    <w:rsid w:val="00CB315D"/>
    <w:rsid w:val="00CB3EC6"/>
    <w:rsid w:val="00CB4F56"/>
    <w:rsid w:val="00CB68CC"/>
    <w:rsid w:val="00CB6BB5"/>
    <w:rsid w:val="00CB6D6A"/>
    <w:rsid w:val="00CB7873"/>
    <w:rsid w:val="00CC07DB"/>
    <w:rsid w:val="00CC0A26"/>
    <w:rsid w:val="00CC3F55"/>
    <w:rsid w:val="00CC54B1"/>
    <w:rsid w:val="00CC79A2"/>
    <w:rsid w:val="00CD0A75"/>
    <w:rsid w:val="00CD11DE"/>
    <w:rsid w:val="00CD143E"/>
    <w:rsid w:val="00CD19CA"/>
    <w:rsid w:val="00CD34FD"/>
    <w:rsid w:val="00CD6C4D"/>
    <w:rsid w:val="00CE0440"/>
    <w:rsid w:val="00CE05E1"/>
    <w:rsid w:val="00CE16F2"/>
    <w:rsid w:val="00CE1CC5"/>
    <w:rsid w:val="00CE253C"/>
    <w:rsid w:val="00CE2EE4"/>
    <w:rsid w:val="00CE3346"/>
    <w:rsid w:val="00CE3797"/>
    <w:rsid w:val="00CE41CB"/>
    <w:rsid w:val="00CE5FE1"/>
    <w:rsid w:val="00CF0777"/>
    <w:rsid w:val="00CF0FF4"/>
    <w:rsid w:val="00CF1622"/>
    <w:rsid w:val="00CF4635"/>
    <w:rsid w:val="00CF46ED"/>
    <w:rsid w:val="00CF5173"/>
    <w:rsid w:val="00CF51E8"/>
    <w:rsid w:val="00CF5BA3"/>
    <w:rsid w:val="00CF637A"/>
    <w:rsid w:val="00CF7C31"/>
    <w:rsid w:val="00D02242"/>
    <w:rsid w:val="00D025CC"/>
    <w:rsid w:val="00D028B3"/>
    <w:rsid w:val="00D06218"/>
    <w:rsid w:val="00D10566"/>
    <w:rsid w:val="00D138B4"/>
    <w:rsid w:val="00D13D12"/>
    <w:rsid w:val="00D15500"/>
    <w:rsid w:val="00D15C15"/>
    <w:rsid w:val="00D16725"/>
    <w:rsid w:val="00D16D23"/>
    <w:rsid w:val="00D17643"/>
    <w:rsid w:val="00D20188"/>
    <w:rsid w:val="00D201E3"/>
    <w:rsid w:val="00D2027A"/>
    <w:rsid w:val="00D218EF"/>
    <w:rsid w:val="00D22433"/>
    <w:rsid w:val="00D22748"/>
    <w:rsid w:val="00D22E55"/>
    <w:rsid w:val="00D232AE"/>
    <w:rsid w:val="00D23626"/>
    <w:rsid w:val="00D26918"/>
    <w:rsid w:val="00D27734"/>
    <w:rsid w:val="00D27BED"/>
    <w:rsid w:val="00D3182A"/>
    <w:rsid w:val="00D3227D"/>
    <w:rsid w:val="00D33567"/>
    <w:rsid w:val="00D341A7"/>
    <w:rsid w:val="00D35236"/>
    <w:rsid w:val="00D3579C"/>
    <w:rsid w:val="00D37121"/>
    <w:rsid w:val="00D376AA"/>
    <w:rsid w:val="00D40043"/>
    <w:rsid w:val="00D40A47"/>
    <w:rsid w:val="00D41051"/>
    <w:rsid w:val="00D417AE"/>
    <w:rsid w:val="00D41B6F"/>
    <w:rsid w:val="00D457ED"/>
    <w:rsid w:val="00D46D32"/>
    <w:rsid w:val="00D51C50"/>
    <w:rsid w:val="00D5266D"/>
    <w:rsid w:val="00D52BBA"/>
    <w:rsid w:val="00D54AEA"/>
    <w:rsid w:val="00D55A96"/>
    <w:rsid w:val="00D56796"/>
    <w:rsid w:val="00D56D85"/>
    <w:rsid w:val="00D60B6B"/>
    <w:rsid w:val="00D60D72"/>
    <w:rsid w:val="00D61918"/>
    <w:rsid w:val="00D63019"/>
    <w:rsid w:val="00D631BD"/>
    <w:rsid w:val="00D64812"/>
    <w:rsid w:val="00D64E31"/>
    <w:rsid w:val="00D65604"/>
    <w:rsid w:val="00D656B6"/>
    <w:rsid w:val="00D65F9D"/>
    <w:rsid w:val="00D666E7"/>
    <w:rsid w:val="00D67C66"/>
    <w:rsid w:val="00D67E37"/>
    <w:rsid w:val="00D705C5"/>
    <w:rsid w:val="00D706C6"/>
    <w:rsid w:val="00D726CE"/>
    <w:rsid w:val="00D73943"/>
    <w:rsid w:val="00D74912"/>
    <w:rsid w:val="00D75805"/>
    <w:rsid w:val="00D779F7"/>
    <w:rsid w:val="00D82F54"/>
    <w:rsid w:val="00D83026"/>
    <w:rsid w:val="00D83045"/>
    <w:rsid w:val="00D8411C"/>
    <w:rsid w:val="00D844D3"/>
    <w:rsid w:val="00D857E6"/>
    <w:rsid w:val="00D85885"/>
    <w:rsid w:val="00D8653A"/>
    <w:rsid w:val="00D871CE"/>
    <w:rsid w:val="00D87542"/>
    <w:rsid w:val="00D87D77"/>
    <w:rsid w:val="00D9375F"/>
    <w:rsid w:val="00D937F8"/>
    <w:rsid w:val="00D93883"/>
    <w:rsid w:val="00D93A88"/>
    <w:rsid w:val="00D93B43"/>
    <w:rsid w:val="00D93D76"/>
    <w:rsid w:val="00D93D78"/>
    <w:rsid w:val="00D93FAF"/>
    <w:rsid w:val="00D94DB5"/>
    <w:rsid w:val="00D95202"/>
    <w:rsid w:val="00D95B44"/>
    <w:rsid w:val="00D95C20"/>
    <w:rsid w:val="00D96BFE"/>
    <w:rsid w:val="00D97A8D"/>
    <w:rsid w:val="00D97B59"/>
    <w:rsid w:val="00D97C16"/>
    <w:rsid w:val="00D97D49"/>
    <w:rsid w:val="00DA025F"/>
    <w:rsid w:val="00DA0755"/>
    <w:rsid w:val="00DA08A5"/>
    <w:rsid w:val="00DA23AB"/>
    <w:rsid w:val="00DA2B4B"/>
    <w:rsid w:val="00DA4D03"/>
    <w:rsid w:val="00DA5A16"/>
    <w:rsid w:val="00DA7D0B"/>
    <w:rsid w:val="00DB07CA"/>
    <w:rsid w:val="00DB0823"/>
    <w:rsid w:val="00DB0E2A"/>
    <w:rsid w:val="00DB111E"/>
    <w:rsid w:val="00DB2718"/>
    <w:rsid w:val="00DB2A06"/>
    <w:rsid w:val="00DB383F"/>
    <w:rsid w:val="00DB53D6"/>
    <w:rsid w:val="00DB5FF0"/>
    <w:rsid w:val="00DB63F1"/>
    <w:rsid w:val="00DB65D7"/>
    <w:rsid w:val="00DB6791"/>
    <w:rsid w:val="00DB6C38"/>
    <w:rsid w:val="00DB7445"/>
    <w:rsid w:val="00DB7D53"/>
    <w:rsid w:val="00DC0464"/>
    <w:rsid w:val="00DC0787"/>
    <w:rsid w:val="00DC0F18"/>
    <w:rsid w:val="00DC1303"/>
    <w:rsid w:val="00DC42A4"/>
    <w:rsid w:val="00DC42EA"/>
    <w:rsid w:val="00DC693E"/>
    <w:rsid w:val="00DD0C3F"/>
    <w:rsid w:val="00DD1F41"/>
    <w:rsid w:val="00DD26CC"/>
    <w:rsid w:val="00DD3766"/>
    <w:rsid w:val="00DD6DE7"/>
    <w:rsid w:val="00DD71D6"/>
    <w:rsid w:val="00DD73A8"/>
    <w:rsid w:val="00DD7687"/>
    <w:rsid w:val="00DE08C3"/>
    <w:rsid w:val="00DE094A"/>
    <w:rsid w:val="00DE1DAB"/>
    <w:rsid w:val="00DE20A2"/>
    <w:rsid w:val="00DE261E"/>
    <w:rsid w:val="00DE269D"/>
    <w:rsid w:val="00DE52B7"/>
    <w:rsid w:val="00DE6636"/>
    <w:rsid w:val="00DE6C5F"/>
    <w:rsid w:val="00DF0B89"/>
    <w:rsid w:val="00DF131B"/>
    <w:rsid w:val="00DF164A"/>
    <w:rsid w:val="00DF353C"/>
    <w:rsid w:val="00DF3DF8"/>
    <w:rsid w:val="00DF46B7"/>
    <w:rsid w:val="00DF73B6"/>
    <w:rsid w:val="00DF781C"/>
    <w:rsid w:val="00E00C6B"/>
    <w:rsid w:val="00E02A3C"/>
    <w:rsid w:val="00E03F4C"/>
    <w:rsid w:val="00E03F4E"/>
    <w:rsid w:val="00E056B0"/>
    <w:rsid w:val="00E05C27"/>
    <w:rsid w:val="00E063DE"/>
    <w:rsid w:val="00E0671B"/>
    <w:rsid w:val="00E118AB"/>
    <w:rsid w:val="00E11E0F"/>
    <w:rsid w:val="00E11E5E"/>
    <w:rsid w:val="00E12077"/>
    <w:rsid w:val="00E12F2F"/>
    <w:rsid w:val="00E1319F"/>
    <w:rsid w:val="00E13A48"/>
    <w:rsid w:val="00E13FB6"/>
    <w:rsid w:val="00E14ACF"/>
    <w:rsid w:val="00E14BAD"/>
    <w:rsid w:val="00E14D14"/>
    <w:rsid w:val="00E173EF"/>
    <w:rsid w:val="00E20B5E"/>
    <w:rsid w:val="00E20F69"/>
    <w:rsid w:val="00E22732"/>
    <w:rsid w:val="00E22B39"/>
    <w:rsid w:val="00E2459F"/>
    <w:rsid w:val="00E2693C"/>
    <w:rsid w:val="00E30AF9"/>
    <w:rsid w:val="00E32488"/>
    <w:rsid w:val="00E327E4"/>
    <w:rsid w:val="00E34C86"/>
    <w:rsid w:val="00E34DB8"/>
    <w:rsid w:val="00E35369"/>
    <w:rsid w:val="00E35682"/>
    <w:rsid w:val="00E3649B"/>
    <w:rsid w:val="00E41042"/>
    <w:rsid w:val="00E4127C"/>
    <w:rsid w:val="00E41B14"/>
    <w:rsid w:val="00E41DD4"/>
    <w:rsid w:val="00E42804"/>
    <w:rsid w:val="00E43B12"/>
    <w:rsid w:val="00E443AB"/>
    <w:rsid w:val="00E444BC"/>
    <w:rsid w:val="00E4510E"/>
    <w:rsid w:val="00E46906"/>
    <w:rsid w:val="00E46EA3"/>
    <w:rsid w:val="00E50223"/>
    <w:rsid w:val="00E50F61"/>
    <w:rsid w:val="00E51C1B"/>
    <w:rsid w:val="00E53353"/>
    <w:rsid w:val="00E53C45"/>
    <w:rsid w:val="00E53CE0"/>
    <w:rsid w:val="00E53DA7"/>
    <w:rsid w:val="00E55DB0"/>
    <w:rsid w:val="00E567E7"/>
    <w:rsid w:val="00E577EC"/>
    <w:rsid w:val="00E57C4D"/>
    <w:rsid w:val="00E602BD"/>
    <w:rsid w:val="00E62337"/>
    <w:rsid w:val="00E62809"/>
    <w:rsid w:val="00E63321"/>
    <w:rsid w:val="00E634AD"/>
    <w:rsid w:val="00E635BD"/>
    <w:rsid w:val="00E63FAC"/>
    <w:rsid w:val="00E64C9D"/>
    <w:rsid w:val="00E6537A"/>
    <w:rsid w:val="00E65B3E"/>
    <w:rsid w:val="00E65FF3"/>
    <w:rsid w:val="00E6618A"/>
    <w:rsid w:val="00E67470"/>
    <w:rsid w:val="00E67A24"/>
    <w:rsid w:val="00E70552"/>
    <w:rsid w:val="00E712F8"/>
    <w:rsid w:val="00E72B05"/>
    <w:rsid w:val="00E72E0E"/>
    <w:rsid w:val="00E74A39"/>
    <w:rsid w:val="00E75609"/>
    <w:rsid w:val="00E75BCD"/>
    <w:rsid w:val="00E76031"/>
    <w:rsid w:val="00E82CAF"/>
    <w:rsid w:val="00E82CEF"/>
    <w:rsid w:val="00E83A79"/>
    <w:rsid w:val="00E83DCE"/>
    <w:rsid w:val="00E842A8"/>
    <w:rsid w:val="00E84360"/>
    <w:rsid w:val="00E84E89"/>
    <w:rsid w:val="00E870BF"/>
    <w:rsid w:val="00E871BC"/>
    <w:rsid w:val="00E90229"/>
    <w:rsid w:val="00E91899"/>
    <w:rsid w:val="00E92268"/>
    <w:rsid w:val="00E92604"/>
    <w:rsid w:val="00E942AE"/>
    <w:rsid w:val="00E96274"/>
    <w:rsid w:val="00E96D36"/>
    <w:rsid w:val="00E974B7"/>
    <w:rsid w:val="00E97DD3"/>
    <w:rsid w:val="00EA00A6"/>
    <w:rsid w:val="00EA1489"/>
    <w:rsid w:val="00EA1A6D"/>
    <w:rsid w:val="00EA335A"/>
    <w:rsid w:val="00EA3D63"/>
    <w:rsid w:val="00EA55C1"/>
    <w:rsid w:val="00EA6854"/>
    <w:rsid w:val="00EB0AA6"/>
    <w:rsid w:val="00EB1273"/>
    <w:rsid w:val="00EB22C0"/>
    <w:rsid w:val="00EB396F"/>
    <w:rsid w:val="00EB400B"/>
    <w:rsid w:val="00EB5C40"/>
    <w:rsid w:val="00EB6A2C"/>
    <w:rsid w:val="00EB6B83"/>
    <w:rsid w:val="00EC08AD"/>
    <w:rsid w:val="00EC1B2E"/>
    <w:rsid w:val="00EC2AB4"/>
    <w:rsid w:val="00EC2B87"/>
    <w:rsid w:val="00EC3089"/>
    <w:rsid w:val="00EC4214"/>
    <w:rsid w:val="00EC6B44"/>
    <w:rsid w:val="00EC7CED"/>
    <w:rsid w:val="00ED0D39"/>
    <w:rsid w:val="00ED0EA7"/>
    <w:rsid w:val="00ED172E"/>
    <w:rsid w:val="00ED1F4F"/>
    <w:rsid w:val="00ED353C"/>
    <w:rsid w:val="00ED41B5"/>
    <w:rsid w:val="00ED5433"/>
    <w:rsid w:val="00ED7DE0"/>
    <w:rsid w:val="00EE123E"/>
    <w:rsid w:val="00EE298D"/>
    <w:rsid w:val="00EE2BB3"/>
    <w:rsid w:val="00EE37A3"/>
    <w:rsid w:val="00EE4F91"/>
    <w:rsid w:val="00EE6737"/>
    <w:rsid w:val="00EE7093"/>
    <w:rsid w:val="00EE7375"/>
    <w:rsid w:val="00EE7465"/>
    <w:rsid w:val="00EE75B5"/>
    <w:rsid w:val="00EE7E8F"/>
    <w:rsid w:val="00EF2215"/>
    <w:rsid w:val="00EF3B49"/>
    <w:rsid w:val="00EF45CF"/>
    <w:rsid w:val="00EF4B52"/>
    <w:rsid w:val="00EF5CDA"/>
    <w:rsid w:val="00EF70BA"/>
    <w:rsid w:val="00F013CB"/>
    <w:rsid w:val="00F0267C"/>
    <w:rsid w:val="00F03379"/>
    <w:rsid w:val="00F0345E"/>
    <w:rsid w:val="00F03FC4"/>
    <w:rsid w:val="00F05790"/>
    <w:rsid w:val="00F06960"/>
    <w:rsid w:val="00F106E4"/>
    <w:rsid w:val="00F1171C"/>
    <w:rsid w:val="00F119FB"/>
    <w:rsid w:val="00F145D4"/>
    <w:rsid w:val="00F14AEC"/>
    <w:rsid w:val="00F16210"/>
    <w:rsid w:val="00F164D5"/>
    <w:rsid w:val="00F1792F"/>
    <w:rsid w:val="00F17A56"/>
    <w:rsid w:val="00F20474"/>
    <w:rsid w:val="00F21AB6"/>
    <w:rsid w:val="00F223D5"/>
    <w:rsid w:val="00F2283A"/>
    <w:rsid w:val="00F22A84"/>
    <w:rsid w:val="00F22A8F"/>
    <w:rsid w:val="00F22ED6"/>
    <w:rsid w:val="00F23EB4"/>
    <w:rsid w:val="00F2529A"/>
    <w:rsid w:val="00F25F5E"/>
    <w:rsid w:val="00F260CB"/>
    <w:rsid w:val="00F26C19"/>
    <w:rsid w:val="00F32553"/>
    <w:rsid w:val="00F327CE"/>
    <w:rsid w:val="00F332ED"/>
    <w:rsid w:val="00F33552"/>
    <w:rsid w:val="00F33C8D"/>
    <w:rsid w:val="00F35955"/>
    <w:rsid w:val="00F378C1"/>
    <w:rsid w:val="00F40CC5"/>
    <w:rsid w:val="00F41AF4"/>
    <w:rsid w:val="00F41DE0"/>
    <w:rsid w:val="00F42FBC"/>
    <w:rsid w:val="00F4385E"/>
    <w:rsid w:val="00F43BFB"/>
    <w:rsid w:val="00F43F5D"/>
    <w:rsid w:val="00F44398"/>
    <w:rsid w:val="00F448C3"/>
    <w:rsid w:val="00F45085"/>
    <w:rsid w:val="00F450F4"/>
    <w:rsid w:val="00F463F1"/>
    <w:rsid w:val="00F46892"/>
    <w:rsid w:val="00F469B2"/>
    <w:rsid w:val="00F47200"/>
    <w:rsid w:val="00F47953"/>
    <w:rsid w:val="00F50572"/>
    <w:rsid w:val="00F50E5A"/>
    <w:rsid w:val="00F511FB"/>
    <w:rsid w:val="00F51333"/>
    <w:rsid w:val="00F52456"/>
    <w:rsid w:val="00F5281E"/>
    <w:rsid w:val="00F531AA"/>
    <w:rsid w:val="00F536B7"/>
    <w:rsid w:val="00F53FEE"/>
    <w:rsid w:val="00F54DAB"/>
    <w:rsid w:val="00F56161"/>
    <w:rsid w:val="00F56862"/>
    <w:rsid w:val="00F575AF"/>
    <w:rsid w:val="00F604F4"/>
    <w:rsid w:val="00F60AFA"/>
    <w:rsid w:val="00F62588"/>
    <w:rsid w:val="00F627EB"/>
    <w:rsid w:val="00F629BF"/>
    <w:rsid w:val="00F633D8"/>
    <w:rsid w:val="00F6431B"/>
    <w:rsid w:val="00F64B3B"/>
    <w:rsid w:val="00F64C76"/>
    <w:rsid w:val="00F64CCC"/>
    <w:rsid w:val="00F64ED6"/>
    <w:rsid w:val="00F65747"/>
    <w:rsid w:val="00F65AD5"/>
    <w:rsid w:val="00F660F7"/>
    <w:rsid w:val="00F6638A"/>
    <w:rsid w:val="00F6692A"/>
    <w:rsid w:val="00F66E97"/>
    <w:rsid w:val="00F675B0"/>
    <w:rsid w:val="00F707C9"/>
    <w:rsid w:val="00F710FE"/>
    <w:rsid w:val="00F71BEA"/>
    <w:rsid w:val="00F744F4"/>
    <w:rsid w:val="00F74A01"/>
    <w:rsid w:val="00F75A10"/>
    <w:rsid w:val="00F75D9F"/>
    <w:rsid w:val="00F76063"/>
    <w:rsid w:val="00F77276"/>
    <w:rsid w:val="00F77786"/>
    <w:rsid w:val="00F77A8D"/>
    <w:rsid w:val="00F77D27"/>
    <w:rsid w:val="00F80013"/>
    <w:rsid w:val="00F8095A"/>
    <w:rsid w:val="00F81476"/>
    <w:rsid w:val="00F81681"/>
    <w:rsid w:val="00F81E11"/>
    <w:rsid w:val="00F834A7"/>
    <w:rsid w:val="00F864FC"/>
    <w:rsid w:val="00F86808"/>
    <w:rsid w:val="00F9142D"/>
    <w:rsid w:val="00F92104"/>
    <w:rsid w:val="00F93A3D"/>
    <w:rsid w:val="00F94C16"/>
    <w:rsid w:val="00F94D3F"/>
    <w:rsid w:val="00F9689E"/>
    <w:rsid w:val="00FA066D"/>
    <w:rsid w:val="00FA1126"/>
    <w:rsid w:val="00FA242E"/>
    <w:rsid w:val="00FA24F3"/>
    <w:rsid w:val="00FA42BC"/>
    <w:rsid w:val="00FA4635"/>
    <w:rsid w:val="00FA509C"/>
    <w:rsid w:val="00FA5FCE"/>
    <w:rsid w:val="00FA761A"/>
    <w:rsid w:val="00FA786A"/>
    <w:rsid w:val="00FB0515"/>
    <w:rsid w:val="00FB0EE9"/>
    <w:rsid w:val="00FB0EFB"/>
    <w:rsid w:val="00FB0F8A"/>
    <w:rsid w:val="00FB252E"/>
    <w:rsid w:val="00FB2EB5"/>
    <w:rsid w:val="00FB30F6"/>
    <w:rsid w:val="00FB34E4"/>
    <w:rsid w:val="00FB3DE3"/>
    <w:rsid w:val="00FB3F26"/>
    <w:rsid w:val="00FB4C8E"/>
    <w:rsid w:val="00FB4D15"/>
    <w:rsid w:val="00FB4E84"/>
    <w:rsid w:val="00FB68DD"/>
    <w:rsid w:val="00FC02F4"/>
    <w:rsid w:val="00FC2683"/>
    <w:rsid w:val="00FC2810"/>
    <w:rsid w:val="00FC3213"/>
    <w:rsid w:val="00FC3C6C"/>
    <w:rsid w:val="00FC48C6"/>
    <w:rsid w:val="00FC4A91"/>
    <w:rsid w:val="00FC4E0B"/>
    <w:rsid w:val="00FC6141"/>
    <w:rsid w:val="00FC646D"/>
    <w:rsid w:val="00FC6E1D"/>
    <w:rsid w:val="00FD1AA4"/>
    <w:rsid w:val="00FD1BD4"/>
    <w:rsid w:val="00FD2FA7"/>
    <w:rsid w:val="00FD4B79"/>
    <w:rsid w:val="00FD58EF"/>
    <w:rsid w:val="00FD5BC9"/>
    <w:rsid w:val="00FD667B"/>
    <w:rsid w:val="00FD7165"/>
    <w:rsid w:val="00FE1303"/>
    <w:rsid w:val="00FE291B"/>
    <w:rsid w:val="00FE40C1"/>
    <w:rsid w:val="00FE410C"/>
    <w:rsid w:val="00FE546C"/>
    <w:rsid w:val="00FE54AE"/>
    <w:rsid w:val="00FE5671"/>
    <w:rsid w:val="00FE6AE8"/>
    <w:rsid w:val="00FE70D5"/>
    <w:rsid w:val="00FF041F"/>
    <w:rsid w:val="00FF0C67"/>
    <w:rsid w:val="00FF0E6A"/>
    <w:rsid w:val="00FF0F69"/>
    <w:rsid w:val="00FF1623"/>
    <w:rsid w:val="00FF21EF"/>
    <w:rsid w:val="00FF2A34"/>
    <w:rsid w:val="00FF5813"/>
    <w:rsid w:val="00FF5E54"/>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711F1"/>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HeaderChar"/>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
    <w:basedOn w:val="DefaultParagraphFont"/>
    <w:uiPriority w:val="99"/>
    <w:unhideWhenUsed/>
    <w:rsid w:val="000501A4"/>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D05CC"/>
    <w:rPr>
      <w:rFonts w:cs="Times New Roman"/>
      <w:sz w:val="24"/>
    </w:rPr>
  </w:style>
  <w:style w:type="paragraph" w:styleId="BalloonText">
    <w:name w:val="Balloon Text"/>
    <w:basedOn w:val="Normal"/>
    <w:link w:val="BalloonTextChar"/>
    <w:uiPriority w:val="99"/>
    <w:semiHidden/>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semiHidden/>
    <w:unhideWhenUsed/>
    <w:rsid w:val="005F492A"/>
    <w:rPr>
      <w:b/>
      <w:bCs/>
    </w:rPr>
  </w:style>
  <w:style w:type="character" w:customStyle="1" w:styleId="CommentSubjectChar">
    <w:name w:val="Comment Subject Char"/>
    <w:basedOn w:val="CommentTextChar"/>
    <w:link w:val="CommentSubject"/>
    <w:uiPriority w:val="99"/>
    <w:semiHidden/>
    <w:rsid w:val="005F492A"/>
    <w:rPr>
      <w:b/>
      <w:bCs/>
      <w:szCs w:val="20"/>
    </w:rPr>
  </w:style>
  <w:style w:type="paragraph" w:styleId="ListParagraph">
    <w:name w:val="List Paragraph"/>
    <w:basedOn w:val="Normal"/>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paragraph" w:customStyle="1" w:styleId="51">
    <w:name w:val="כותרת 51"/>
    <w:basedOn w:val="Heading5"/>
    <w:qFormat/>
    <w:rsid w:val="008711F1"/>
    <w:pPr>
      <w:keepLines w:val="0"/>
      <w:spacing w:before="240" w:after="120" w:line="269" w:lineRule="auto"/>
    </w:pPr>
    <w:rPr>
      <w:rFonts w:ascii="Tahoma" w:eastAsiaTheme="minorHAnsi" w:hAnsi="Tahoma" w:cs="Tahoma"/>
      <w:b/>
      <w:bCs w:val="0"/>
      <w:color w:val="387026"/>
      <w:spacing w:val="0"/>
      <w:sz w:val="23"/>
      <w:szCs w:val="23"/>
    </w:rPr>
  </w:style>
  <w:style w:type="paragraph" w:customStyle="1" w:styleId="61">
    <w:name w:val="כותרת 61"/>
    <w:basedOn w:val="Heading6"/>
    <w:qFormat/>
    <w:rsid w:val="008711F1"/>
    <w:pPr>
      <w:keepNext w:val="0"/>
      <w:keepLines w:val="0"/>
      <w:spacing w:before="120" w:after="120" w:line="269" w:lineRule="auto"/>
    </w:pPr>
    <w:rPr>
      <w:rFonts w:ascii="Tahoma" w:eastAsiaTheme="minorHAnsi" w:hAnsi="Tahoma" w:cs="Tahoma"/>
      <w:color w:val="387026"/>
      <w:spacing w:val="0"/>
      <w:sz w:val="21"/>
      <w:szCs w:val="21"/>
    </w:rPr>
  </w:style>
  <w:style w:type="paragraph" w:customStyle="1" w:styleId="11">
    <w:name w:val="כותרת 11"/>
    <w:basedOn w:val="NAME"/>
    <w:qFormat/>
    <w:rsid w:val="008711F1"/>
    <w:pPr>
      <w:spacing w:before="1440" w:after="0"/>
    </w:pPr>
  </w:style>
  <w:style w:type="paragraph" w:customStyle="1" w:styleId="31">
    <w:name w:val="כותרת 31"/>
    <w:basedOn w:val="Heading3"/>
    <w:link w:val="3Char"/>
    <w:qFormat/>
    <w:rsid w:val="008711F1"/>
    <w:pPr>
      <w:keepLines w:val="0"/>
      <w:spacing w:before="600" w:after="120"/>
      <w:jc w:val="left"/>
    </w:pPr>
    <w:rPr>
      <w:rFonts w:ascii="Tahoma" w:eastAsia="Times New Roman" w:hAnsi="Tahoma" w:cs="Tahoma"/>
      <w:bCs w:val="0"/>
      <w:color w:val="009692"/>
      <w:sz w:val="32"/>
      <w:szCs w:val="32"/>
      <w:u w:val="none"/>
    </w:rPr>
  </w:style>
  <w:style w:type="character" w:customStyle="1" w:styleId="3Char">
    <w:name w:val="כותרת 3 Char"/>
    <w:basedOn w:val="Heading3Char"/>
    <w:link w:val="31"/>
    <w:rsid w:val="008711F1"/>
    <w:rPr>
      <w:rFonts w:ascii="Tahoma" w:eastAsia="Times New Roman" w:hAnsi="Tahoma" w:cs="Tahoma"/>
      <w:bCs w:val="0"/>
      <w:color w:val="009692"/>
      <w:sz w:val="32"/>
      <w:szCs w:val="32"/>
      <w:u w:val="single"/>
    </w:rPr>
  </w:style>
  <w:style w:type="paragraph" w:customStyle="1" w:styleId="21">
    <w:name w:val="כותרת 21"/>
    <w:basedOn w:val="Heading2"/>
    <w:link w:val="2Char"/>
    <w:qFormat/>
    <w:rsid w:val="008711F1"/>
    <w:pPr>
      <w:keepLines w:val="0"/>
      <w:spacing w:before="600" w:after="120"/>
      <w:jc w:val="left"/>
    </w:pPr>
    <w:rPr>
      <w:rFonts w:ascii="Arial Bold" w:hAnsi="Arial Bold" w:cs="Tahoma"/>
      <w:bCs w:val="0"/>
      <w:color w:val="365F91" w:themeColor="accent1" w:themeShade="BF"/>
      <w:sz w:val="36"/>
      <w:szCs w:val="36"/>
    </w:rPr>
  </w:style>
  <w:style w:type="character" w:customStyle="1" w:styleId="2Char">
    <w:name w:val="כותרת 2 Char"/>
    <w:basedOn w:val="Heading2Char"/>
    <w:link w:val="21"/>
    <w:rsid w:val="008711F1"/>
    <w:rPr>
      <w:rFonts w:ascii="Arial Bold" w:eastAsiaTheme="majorEastAsia" w:hAnsi="Arial Bold" w:cs="Tahoma"/>
      <w:bCs w:val="0"/>
      <w:color w:val="365F91" w:themeColor="accent1" w:themeShade="BF"/>
      <w:sz w:val="36"/>
      <w:szCs w:val="36"/>
    </w:rPr>
  </w:style>
  <w:style w:type="paragraph" w:customStyle="1" w:styleId="41">
    <w:name w:val="כותרת 41"/>
    <w:basedOn w:val="Heading4"/>
    <w:link w:val="4Char"/>
    <w:qFormat/>
    <w:rsid w:val="008711F1"/>
    <w:pPr>
      <w:keepLines w:val="0"/>
      <w:spacing w:before="360" w:after="120" w:line="269" w:lineRule="auto"/>
      <w:jc w:val="left"/>
    </w:pPr>
    <w:rPr>
      <w:rFonts w:ascii="Tahoma" w:hAnsi="Tahoma" w:cs="Tahoma"/>
      <w:bCs w:val="0"/>
      <w:color w:val="387026"/>
      <w:sz w:val="28"/>
      <w:szCs w:val="28"/>
    </w:rPr>
  </w:style>
  <w:style w:type="character" w:customStyle="1" w:styleId="4Char">
    <w:name w:val="כותרת 4 Char"/>
    <w:basedOn w:val="Heading4Char"/>
    <w:link w:val="41"/>
    <w:rsid w:val="008711F1"/>
    <w:rPr>
      <w:rFonts w:ascii="Tahoma" w:eastAsiaTheme="majorEastAsia" w:hAnsi="Tahoma" w:cs="Tahoma"/>
      <w:bCs w:val="0"/>
      <w:color w:val="387026"/>
      <w:sz w:val="28"/>
      <w:szCs w:val="28"/>
    </w:rPr>
  </w:style>
  <w:style w:type="paragraph" w:customStyle="1" w:styleId="a1">
    <w:name w:val="כותרת לוח"/>
    <w:basedOn w:val="Normal"/>
    <w:qFormat/>
    <w:rsid w:val="00AA5CDC"/>
    <w:pPr>
      <w:keepNext/>
      <w:keepLines/>
      <w:spacing w:after="200"/>
      <w:jc w:val="center"/>
    </w:pPr>
    <w:rPr>
      <w:rFonts w:ascii="Tahoma" w:eastAsiaTheme="minorEastAsia" w:hAnsi="Tahoma" w:cs="Tahoma"/>
      <w:b/>
      <w:bCs/>
      <w:color w:val="365F91" w:themeColor="accent1" w:themeShade="BF"/>
      <w:szCs w:val="20"/>
    </w:rPr>
  </w:style>
  <w:style w:type="character" w:styleId="PlaceholderText">
    <w:name w:val="Placeholder Text"/>
    <w:basedOn w:val="DefaultParagraphFont"/>
    <w:uiPriority w:val="99"/>
    <w:semiHidden/>
    <w:rsid w:val="009169B9"/>
    <w:rPr>
      <w:color w:val="808080"/>
    </w:rPr>
  </w:style>
  <w:style w:type="paragraph" w:styleId="BodyTextIndent">
    <w:name w:val="Body Text Indent"/>
    <w:basedOn w:val="Normal"/>
    <w:link w:val="BodyTextIndentChar"/>
    <w:uiPriority w:val="99"/>
    <w:unhideWhenUsed/>
    <w:rsid w:val="008F06DA"/>
    <w:pPr>
      <w:spacing w:after="120"/>
      <w:ind w:left="-2"/>
    </w:pPr>
    <w:rPr>
      <w:rFonts w:ascii="Tahoma" w:hAnsi="Tahoma" w:cs="Tahoma"/>
      <w:sz w:val="16"/>
      <w:szCs w:val="20"/>
    </w:rPr>
  </w:style>
  <w:style w:type="character" w:customStyle="1" w:styleId="BodyTextIndentChar">
    <w:name w:val="Body Text Indent Char"/>
    <w:basedOn w:val="DefaultParagraphFont"/>
    <w:link w:val="BodyTextIndent"/>
    <w:uiPriority w:val="99"/>
    <w:rsid w:val="008F06DA"/>
    <w:rPr>
      <w:rFonts w:ascii="Tahoma" w:hAnsi="Tahoma" w:cs="Tahoma"/>
      <w:sz w:val="16"/>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711F1"/>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HeaderChar"/>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
    <w:basedOn w:val="DefaultParagraphFont"/>
    <w:uiPriority w:val="99"/>
    <w:unhideWhenUsed/>
    <w:rsid w:val="000501A4"/>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D05CC"/>
    <w:rPr>
      <w:rFonts w:cs="Times New Roman"/>
      <w:sz w:val="24"/>
    </w:rPr>
  </w:style>
  <w:style w:type="paragraph" w:styleId="BalloonText">
    <w:name w:val="Balloon Text"/>
    <w:basedOn w:val="Normal"/>
    <w:link w:val="BalloonTextChar"/>
    <w:uiPriority w:val="99"/>
    <w:semiHidden/>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semiHidden/>
    <w:unhideWhenUsed/>
    <w:rsid w:val="005F492A"/>
    <w:rPr>
      <w:b/>
      <w:bCs/>
    </w:rPr>
  </w:style>
  <w:style w:type="character" w:customStyle="1" w:styleId="CommentSubjectChar">
    <w:name w:val="Comment Subject Char"/>
    <w:basedOn w:val="CommentTextChar"/>
    <w:link w:val="CommentSubject"/>
    <w:uiPriority w:val="99"/>
    <w:semiHidden/>
    <w:rsid w:val="005F492A"/>
    <w:rPr>
      <w:b/>
      <w:bCs/>
      <w:szCs w:val="20"/>
    </w:rPr>
  </w:style>
  <w:style w:type="paragraph" w:styleId="ListParagraph">
    <w:name w:val="List Paragraph"/>
    <w:basedOn w:val="Normal"/>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paragraph" w:customStyle="1" w:styleId="51">
    <w:name w:val="כותרת 51"/>
    <w:basedOn w:val="Heading5"/>
    <w:qFormat/>
    <w:rsid w:val="008711F1"/>
    <w:pPr>
      <w:keepLines w:val="0"/>
      <w:spacing w:before="240" w:after="120" w:line="269" w:lineRule="auto"/>
    </w:pPr>
    <w:rPr>
      <w:rFonts w:ascii="Tahoma" w:eastAsiaTheme="minorHAnsi" w:hAnsi="Tahoma" w:cs="Tahoma"/>
      <w:b/>
      <w:bCs w:val="0"/>
      <w:color w:val="387026"/>
      <w:spacing w:val="0"/>
      <w:sz w:val="23"/>
      <w:szCs w:val="23"/>
    </w:rPr>
  </w:style>
  <w:style w:type="paragraph" w:customStyle="1" w:styleId="61">
    <w:name w:val="כותרת 61"/>
    <w:basedOn w:val="Heading6"/>
    <w:qFormat/>
    <w:rsid w:val="008711F1"/>
    <w:pPr>
      <w:keepNext w:val="0"/>
      <w:keepLines w:val="0"/>
      <w:spacing w:before="120" w:after="120" w:line="269" w:lineRule="auto"/>
    </w:pPr>
    <w:rPr>
      <w:rFonts w:ascii="Tahoma" w:eastAsiaTheme="minorHAnsi" w:hAnsi="Tahoma" w:cs="Tahoma"/>
      <w:color w:val="387026"/>
      <w:spacing w:val="0"/>
      <w:sz w:val="21"/>
      <w:szCs w:val="21"/>
    </w:rPr>
  </w:style>
  <w:style w:type="paragraph" w:customStyle="1" w:styleId="11">
    <w:name w:val="כותרת 11"/>
    <w:basedOn w:val="NAME"/>
    <w:qFormat/>
    <w:rsid w:val="008711F1"/>
    <w:pPr>
      <w:spacing w:before="1440" w:after="0"/>
    </w:pPr>
  </w:style>
  <w:style w:type="paragraph" w:customStyle="1" w:styleId="31">
    <w:name w:val="כותרת 31"/>
    <w:basedOn w:val="Heading3"/>
    <w:link w:val="3Char"/>
    <w:qFormat/>
    <w:rsid w:val="008711F1"/>
    <w:pPr>
      <w:keepLines w:val="0"/>
      <w:spacing w:before="600" w:after="120"/>
      <w:jc w:val="left"/>
    </w:pPr>
    <w:rPr>
      <w:rFonts w:ascii="Tahoma" w:eastAsia="Times New Roman" w:hAnsi="Tahoma" w:cs="Tahoma"/>
      <w:bCs w:val="0"/>
      <w:color w:val="009692"/>
      <w:sz w:val="32"/>
      <w:szCs w:val="32"/>
      <w:u w:val="none"/>
    </w:rPr>
  </w:style>
  <w:style w:type="character" w:customStyle="1" w:styleId="3Char">
    <w:name w:val="כותרת 3 Char"/>
    <w:basedOn w:val="Heading3Char"/>
    <w:link w:val="31"/>
    <w:rsid w:val="008711F1"/>
    <w:rPr>
      <w:rFonts w:ascii="Tahoma" w:eastAsia="Times New Roman" w:hAnsi="Tahoma" w:cs="Tahoma"/>
      <w:bCs w:val="0"/>
      <w:color w:val="009692"/>
      <w:sz w:val="32"/>
      <w:szCs w:val="32"/>
      <w:u w:val="single"/>
    </w:rPr>
  </w:style>
  <w:style w:type="paragraph" w:customStyle="1" w:styleId="21">
    <w:name w:val="כותרת 21"/>
    <w:basedOn w:val="Heading2"/>
    <w:link w:val="2Char"/>
    <w:qFormat/>
    <w:rsid w:val="008711F1"/>
    <w:pPr>
      <w:keepLines w:val="0"/>
      <w:spacing w:before="600" w:after="120"/>
      <w:jc w:val="left"/>
    </w:pPr>
    <w:rPr>
      <w:rFonts w:ascii="Arial Bold" w:hAnsi="Arial Bold" w:cs="Tahoma"/>
      <w:bCs w:val="0"/>
      <w:color w:val="365F91" w:themeColor="accent1" w:themeShade="BF"/>
      <w:sz w:val="36"/>
      <w:szCs w:val="36"/>
    </w:rPr>
  </w:style>
  <w:style w:type="character" w:customStyle="1" w:styleId="2Char">
    <w:name w:val="כותרת 2 Char"/>
    <w:basedOn w:val="Heading2Char"/>
    <w:link w:val="21"/>
    <w:rsid w:val="008711F1"/>
    <w:rPr>
      <w:rFonts w:ascii="Arial Bold" w:eastAsiaTheme="majorEastAsia" w:hAnsi="Arial Bold" w:cs="Tahoma"/>
      <w:bCs w:val="0"/>
      <w:color w:val="365F91" w:themeColor="accent1" w:themeShade="BF"/>
      <w:sz w:val="36"/>
      <w:szCs w:val="36"/>
    </w:rPr>
  </w:style>
  <w:style w:type="paragraph" w:customStyle="1" w:styleId="41">
    <w:name w:val="כותרת 41"/>
    <w:basedOn w:val="Heading4"/>
    <w:link w:val="4Char"/>
    <w:qFormat/>
    <w:rsid w:val="008711F1"/>
    <w:pPr>
      <w:keepLines w:val="0"/>
      <w:spacing w:before="360" w:after="120" w:line="269" w:lineRule="auto"/>
      <w:jc w:val="left"/>
    </w:pPr>
    <w:rPr>
      <w:rFonts w:ascii="Tahoma" w:hAnsi="Tahoma" w:cs="Tahoma"/>
      <w:bCs w:val="0"/>
      <w:color w:val="387026"/>
      <w:sz w:val="28"/>
      <w:szCs w:val="28"/>
    </w:rPr>
  </w:style>
  <w:style w:type="character" w:customStyle="1" w:styleId="4Char">
    <w:name w:val="כותרת 4 Char"/>
    <w:basedOn w:val="Heading4Char"/>
    <w:link w:val="41"/>
    <w:rsid w:val="008711F1"/>
    <w:rPr>
      <w:rFonts w:ascii="Tahoma" w:eastAsiaTheme="majorEastAsia" w:hAnsi="Tahoma" w:cs="Tahoma"/>
      <w:bCs w:val="0"/>
      <w:color w:val="387026"/>
      <w:sz w:val="28"/>
      <w:szCs w:val="28"/>
    </w:rPr>
  </w:style>
  <w:style w:type="paragraph" w:customStyle="1" w:styleId="a1">
    <w:name w:val="כותרת לוח"/>
    <w:basedOn w:val="Normal"/>
    <w:qFormat/>
    <w:rsid w:val="00AA5CDC"/>
    <w:pPr>
      <w:keepNext/>
      <w:keepLines/>
      <w:spacing w:after="200"/>
      <w:jc w:val="center"/>
    </w:pPr>
    <w:rPr>
      <w:rFonts w:ascii="Tahoma" w:eastAsiaTheme="minorEastAsia" w:hAnsi="Tahoma" w:cs="Tahoma"/>
      <w:b/>
      <w:bCs/>
      <w:color w:val="365F91" w:themeColor="accent1" w:themeShade="BF"/>
      <w:szCs w:val="20"/>
    </w:rPr>
  </w:style>
  <w:style w:type="character" w:styleId="PlaceholderText">
    <w:name w:val="Placeholder Text"/>
    <w:basedOn w:val="DefaultParagraphFont"/>
    <w:uiPriority w:val="99"/>
    <w:semiHidden/>
    <w:rsid w:val="009169B9"/>
    <w:rPr>
      <w:color w:val="808080"/>
    </w:rPr>
  </w:style>
  <w:style w:type="paragraph" w:styleId="BodyTextIndent">
    <w:name w:val="Body Text Indent"/>
    <w:basedOn w:val="Normal"/>
    <w:link w:val="BodyTextIndentChar"/>
    <w:uiPriority w:val="99"/>
    <w:unhideWhenUsed/>
    <w:rsid w:val="008F06DA"/>
    <w:pPr>
      <w:spacing w:after="120"/>
      <w:ind w:left="-2"/>
    </w:pPr>
    <w:rPr>
      <w:rFonts w:ascii="Tahoma" w:hAnsi="Tahoma" w:cs="Tahoma"/>
      <w:sz w:val="16"/>
      <w:szCs w:val="20"/>
    </w:rPr>
  </w:style>
  <w:style w:type="character" w:customStyle="1" w:styleId="BodyTextIndentChar">
    <w:name w:val="Body Text Indent Char"/>
    <w:basedOn w:val="DefaultParagraphFont"/>
    <w:link w:val="BodyTextIndent"/>
    <w:uiPriority w:val="99"/>
    <w:rsid w:val="008F06DA"/>
    <w:rPr>
      <w:rFonts w:ascii="Tahoma" w:hAnsi="Tahoma" w:cs="Tahoma"/>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6304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2.xm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24415C9-6BBD-4709-AC5F-EE267B5420DA}">
  <ds:schemaRefs>
    <ds:schemaRef ds:uri="http://schemas.openxmlformats.org/officeDocument/2006/bibliography"/>
  </ds:schemaRefs>
</ds:datastoreItem>
</file>

<file path=customXml/itemProps2.xml><?xml version="1.0" encoding="utf-8"?>
<ds:datastoreItem xmlns:ds="http://schemas.openxmlformats.org/officeDocument/2006/customXml" ds:itemID="{866FBD56-8FF9-40D6-8C3F-114E87EAFA28}"/>
</file>

<file path=customXml/itemProps3.xml><?xml version="1.0" encoding="utf-8"?>
<ds:datastoreItem xmlns:ds="http://schemas.openxmlformats.org/officeDocument/2006/customXml" ds:itemID="{2723A6CD-AC9C-4C64-BB4C-9CCA0A703E82}"/>
</file>

<file path=customXml/itemProps4.xml><?xml version="1.0" encoding="utf-8"?>
<ds:datastoreItem xmlns:ds="http://schemas.openxmlformats.org/officeDocument/2006/customXml" ds:itemID="{BC5E1450-CB7C-456A-B1AA-E21A1B6647B6}"/>
</file>

<file path=docProps/app.xml><?xml version="1.0" encoding="utf-8"?>
<Properties xmlns="http://schemas.openxmlformats.org/officeDocument/2006/extended-properties" xmlns:vt="http://schemas.openxmlformats.org/officeDocument/2006/docPropsVTypes">
  <Template>Normal.dotm</Template>
  <TotalTime>68</TotalTime>
  <Pages>24</Pages>
  <Words>5175</Words>
  <Characters>25880</Characters>
  <Application>Microsoft Office Word</Application>
  <DocSecurity>0</DocSecurity>
  <Lines>215</Lines>
  <Paragraphs>61</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30994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mordechai</dc:creator>
  <cp:lastModifiedBy>Mordechai</cp:lastModifiedBy>
  <cp:revision>29</cp:revision>
  <cp:lastPrinted>2020-03-22T12:25:00Z</cp:lastPrinted>
  <dcterms:created xsi:type="dcterms:W3CDTF">2020-02-06T09:34:00Z</dcterms:created>
  <dcterms:modified xsi:type="dcterms:W3CDTF">2020-03-22T12:29:00Z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