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AB7F19" w:rsidRPr="00170230" w:rsidP="00AB7F19">
      <w:pPr>
        <w:spacing w:line="240" w:lineRule="atLeast"/>
        <w:jc w:val="center"/>
        <w:rPr>
          <w:rFonts w:ascii="Tahoma" w:hAnsi="Tahoma" w:cs="Tahoma"/>
          <w:szCs w:val="18"/>
        </w:rPr>
      </w:pPr>
      <w:bookmarkStart w:id="0" w:name="_Toc349122061"/>
      <w:bookmarkStart w:id="1" w:name="_Toc349136480"/>
      <w:bookmarkStart w:id="2" w:name="_Toc352831083"/>
      <w:bookmarkStart w:id="3" w:name="_Toc354324568"/>
      <w:bookmarkStart w:id="4" w:name="_Toc354661923"/>
      <w:r>
        <w:rPr>
          <w:rFonts w:ascii="Tahoma" w:hAnsi="Tahoma" w:cs="Tahoma"/>
          <w:noProof/>
          <w:szCs w:val="18"/>
        </w:rPr>
        <w:drawing>
          <wp:inline distT="0" distB="0" distL="0" distR="0">
            <wp:extent cx="658369" cy="810770"/>
            <wp:effectExtent l="0" t="0" r="8890" b="889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28024"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AB7F19" w:rsidRPr="00A10996" w:rsidP="00AB7F19">
      <w:pPr>
        <w:spacing w:before="120"/>
        <w:jc w:val="center"/>
        <w:rPr>
          <w:rFonts w:ascii="Tahoma" w:hAnsi="Tahoma" w:cs="Tahoma"/>
          <w:sz w:val="28"/>
          <w:szCs w:val="28"/>
          <w:rtl/>
        </w:rPr>
      </w:pPr>
      <w:r w:rsidRPr="00A10996">
        <w:rPr>
          <w:rFonts w:ascii="Tahoma" w:hAnsi="Tahoma" w:cs="Tahoma"/>
          <w:sz w:val="28"/>
          <w:szCs w:val="28"/>
          <w:rtl/>
        </w:rPr>
        <w:t>מבקר המדינה</w:t>
      </w:r>
    </w:p>
    <w:p w:rsidR="00AB7F19" w:rsidRPr="00AB7F19" w:rsidP="00AB7F19">
      <w:pPr>
        <w:pStyle w:val="NAME"/>
        <w:rPr>
          <w:rtl/>
        </w:rPr>
      </w:pPr>
      <w:r w:rsidRPr="00AB7F19">
        <w:rPr>
          <w:rFonts w:hint="eastAsia"/>
          <w:rtl/>
        </w:rPr>
        <w:t>טיפול</w:t>
      </w:r>
      <w:r w:rsidRPr="00AB7F19">
        <w:rPr>
          <w:rtl/>
        </w:rPr>
        <w:t xml:space="preserve"> </w:t>
      </w:r>
      <w:r w:rsidRPr="00AB7F19">
        <w:rPr>
          <w:rFonts w:hint="eastAsia"/>
          <w:rtl/>
        </w:rPr>
        <w:t>הממשלה</w:t>
      </w:r>
      <w:r w:rsidRPr="00AB7F19">
        <w:rPr>
          <w:rtl/>
        </w:rPr>
        <w:t xml:space="preserve"> </w:t>
      </w:r>
      <w:r w:rsidRPr="00AB7F19">
        <w:rPr>
          <w:rFonts w:hint="eastAsia"/>
          <w:rtl/>
        </w:rPr>
        <w:t>במובטלים</w:t>
      </w:r>
      <w:r w:rsidRPr="00AB7F19">
        <w:rPr>
          <w:rtl/>
        </w:rPr>
        <w:t xml:space="preserve"> </w:t>
      </w:r>
      <w:r w:rsidRPr="00AB7F19">
        <w:rPr>
          <w:rFonts w:hint="eastAsia"/>
          <w:rtl/>
        </w:rPr>
        <w:t>ובדורשי</w:t>
      </w:r>
      <w:r w:rsidRPr="00AB7F19">
        <w:rPr>
          <w:rtl/>
        </w:rPr>
        <w:t xml:space="preserve"> </w:t>
      </w:r>
      <w:r w:rsidRPr="00AB7F19">
        <w:rPr>
          <w:rFonts w:hint="eastAsia"/>
          <w:rtl/>
        </w:rPr>
        <w:t>עבודה</w:t>
      </w:r>
      <w:r w:rsidRPr="00AB7F19">
        <w:rPr>
          <w:rtl/>
        </w:rPr>
        <w:t xml:space="preserve"> </w:t>
      </w:r>
      <w:r w:rsidRPr="00AB7F19">
        <w:rPr>
          <w:rFonts w:hint="cs"/>
          <w:rtl/>
        </w:rPr>
        <w:br/>
      </w:r>
      <w:r w:rsidRPr="00AB7F19">
        <w:rPr>
          <w:rFonts w:hint="eastAsia"/>
          <w:rtl/>
        </w:rPr>
        <w:t>במשבר</w:t>
      </w:r>
      <w:r w:rsidRPr="00AB7F19">
        <w:rPr>
          <w:rtl/>
        </w:rPr>
        <w:t xml:space="preserve"> </w:t>
      </w:r>
      <w:r w:rsidRPr="00AB7F19">
        <w:rPr>
          <w:rFonts w:hint="eastAsia"/>
          <w:rtl/>
        </w:rPr>
        <w:t>הקורונה</w:t>
      </w:r>
    </w:p>
    <w:p w:rsidR="00AB7F19" w:rsidRPr="00AB7F19" w:rsidP="00AB7F19">
      <w:pPr>
        <w:pStyle w:val="name-sub"/>
        <w:rPr>
          <w:rtl/>
        </w:rPr>
      </w:pPr>
      <w:r w:rsidRPr="00AB7F19">
        <w:rPr>
          <w:rFonts w:hint="eastAsia"/>
          <w:rtl/>
        </w:rPr>
        <w:t>קבלת</w:t>
      </w:r>
      <w:r w:rsidRPr="00AB7F19">
        <w:rPr>
          <w:rtl/>
        </w:rPr>
        <w:t xml:space="preserve"> </w:t>
      </w:r>
      <w:r w:rsidRPr="00AB7F19">
        <w:rPr>
          <w:rFonts w:hint="eastAsia"/>
          <w:rtl/>
        </w:rPr>
        <w:t>נתונים</w:t>
      </w:r>
      <w:r w:rsidRPr="00AB7F19">
        <w:rPr>
          <w:rtl/>
        </w:rPr>
        <w:t xml:space="preserve"> </w:t>
      </w:r>
      <w:r w:rsidRPr="00AB7F19">
        <w:rPr>
          <w:rFonts w:hint="eastAsia"/>
          <w:rtl/>
        </w:rPr>
        <w:t>חודשיים</w:t>
      </w:r>
      <w:r w:rsidRPr="00AB7F19">
        <w:rPr>
          <w:rtl/>
        </w:rPr>
        <w:t xml:space="preserve"> </w:t>
      </w:r>
      <w:r w:rsidRPr="00AB7F19">
        <w:rPr>
          <w:rFonts w:hint="eastAsia"/>
          <w:rtl/>
        </w:rPr>
        <w:t>מהימנים</w:t>
      </w:r>
      <w:r w:rsidRPr="00AB7F19">
        <w:rPr>
          <w:rtl/>
        </w:rPr>
        <w:t xml:space="preserve"> </w:t>
      </w:r>
      <w:r w:rsidRPr="00AB7F19">
        <w:rPr>
          <w:rFonts w:hint="eastAsia"/>
          <w:rtl/>
        </w:rPr>
        <w:t>מהמעסיקים</w:t>
      </w:r>
      <w:r w:rsidRPr="00AB7F19">
        <w:rPr>
          <w:rtl/>
        </w:rPr>
        <w:t xml:space="preserve"> </w:t>
      </w:r>
      <w:r>
        <w:rPr>
          <w:rFonts w:hint="cs"/>
          <w:rtl/>
        </w:rPr>
        <w:br/>
      </w:r>
      <w:r w:rsidRPr="00AB7F19">
        <w:rPr>
          <w:rFonts w:hint="eastAsia"/>
          <w:rtl/>
        </w:rPr>
        <w:t>על</w:t>
      </w:r>
      <w:r w:rsidRPr="00AB7F19">
        <w:rPr>
          <w:rtl/>
        </w:rPr>
        <w:t xml:space="preserve"> </w:t>
      </w:r>
      <w:r w:rsidRPr="00AB7F19">
        <w:rPr>
          <w:rFonts w:hint="eastAsia"/>
          <w:rtl/>
        </w:rPr>
        <w:t>שכר</w:t>
      </w:r>
      <w:r w:rsidRPr="00AB7F19">
        <w:rPr>
          <w:rtl/>
        </w:rPr>
        <w:t xml:space="preserve"> </w:t>
      </w:r>
      <w:r w:rsidRPr="00AB7F19">
        <w:rPr>
          <w:rFonts w:hint="eastAsia"/>
          <w:rtl/>
        </w:rPr>
        <w:t>עובדיהם</w:t>
      </w:r>
    </w:p>
    <w:p w:rsidR="00AB7F19" w:rsidRPr="00154682" w:rsidP="00AB7F19">
      <w:pPr>
        <w:pStyle w:val="tab-name"/>
        <w:keepNext w:val="0"/>
        <w:spacing w:after="240" w:line="240" w:lineRule="exact"/>
        <w:ind w:right="0"/>
        <w:jc w:val="center"/>
        <w:rPr>
          <w:rFonts w:eastAsiaTheme="minorHAnsi"/>
          <w:color w:val="2A2AA6"/>
          <w:sz w:val="24"/>
          <w:szCs w:val="24"/>
          <w:rtl/>
        </w:rPr>
      </w:pPr>
      <w:r w:rsidRPr="00AB7F19">
        <w:rPr>
          <w:rFonts w:eastAsiaTheme="minorHAnsi" w:hint="eastAsia"/>
          <w:color w:val="2A2AA6"/>
          <w:sz w:val="24"/>
          <w:szCs w:val="24"/>
          <w:rtl/>
        </w:rPr>
        <w:t>דוח</w:t>
      </w:r>
      <w:r w:rsidRPr="00AB7F19">
        <w:rPr>
          <w:rFonts w:eastAsiaTheme="minorHAnsi"/>
          <w:color w:val="2A2AA6"/>
          <w:sz w:val="24"/>
          <w:szCs w:val="24"/>
          <w:rtl/>
        </w:rPr>
        <w:t xml:space="preserve"> </w:t>
      </w:r>
      <w:r w:rsidRPr="00AB7F19">
        <w:rPr>
          <w:rFonts w:eastAsiaTheme="minorHAnsi" w:hint="eastAsia"/>
          <w:color w:val="2A2AA6"/>
          <w:sz w:val="24"/>
          <w:szCs w:val="24"/>
          <w:rtl/>
        </w:rPr>
        <w:t>מיוחד</w:t>
      </w:r>
      <w:r w:rsidRPr="00AB7F19">
        <w:rPr>
          <w:rFonts w:eastAsiaTheme="minorHAnsi"/>
          <w:color w:val="2A2AA6"/>
          <w:sz w:val="24"/>
          <w:szCs w:val="24"/>
          <w:rtl/>
        </w:rPr>
        <w:t xml:space="preserve"> - </w:t>
      </w:r>
      <w:r w:rsidRPr="00AB7F19">
        <w:rPr>
          <w:rFonts w:eastAsiaTheme="minorHAnsi" w:hint="eastAsia"/>
          <w:color w:val="2A2AA6"/>
          <w:sz w:val="24"/>
          <w:szCs w:val="24"/>
          <w:rtl/>
        </w:rPr>
        <w:t>ממצאי</w:t>
      </w:r>
      <w:r w:rsidRPr="00AB7F19">
        <w:rPr>
          <w:rFonts w:eastAsiaTheme="minorHAnsi"/>
          <w:color w:val="2A2AA6"/>
          <w:sz w:val="24"/>
          <w:szCs w:val="24"/>
          <w:rtl/>
        </w:rPr>
        <w:t xml:space="preserve"> </w:t>
      </w:r>
      <w:r w:rsidRPr="00AB7F19">
        <w:rPr>
          <w:rFonts w:eastAsiaTheme="minorHAnsi" w:hint="eastAsia"/>
          <w:color w:val="2A2AA6"/>
          <w:sz w:val="24"/>
          <w:szCs w:val="24"/>
          <w:rtl/>
        </w:rPr>
        <w:t>ביניים</w:t>
      </w:r>
    </w:p>
    <w:p w:rsidR="00AB7F19" w:rsidP="00AB7F19">
      <w:pPr>
        <w:spacing w:before="3120" w:line="720" w:lineRule="exact"/>
        <w:jc w:val="center"/>
        <w:rPr>
          <w:rFonts w:ascii="Tahoma" w:hAnsi="Tahoma" w:cs="Tahoma"/>
          <w:sz w:val="24"/>
          <w:rtl/>
        </w:rPr>
      </w:pPr>
    </w:p>
    <w:p w:rsidR="00AB7F19" w:rsidP="00AB7F19">
      <w:pPr>
        <w:spacing w:line="240" w:lineRule="atLeast"/>
        <w:jc w:val="center"/>
        <w:rPr>
          <w:rFonts w:ascii="Tahoma" w:hAnsi="Tahoma" w:cs="Tahoma"/>
          <w:sz w:val="22"/>
          <w:szCs w:val="22"/>
          <w:rtl/>
        </w:rPr>
      </w:pPr>
      <w:r>
        <w:rPr>
          <w:noProof/>
          <w:rtl/>
        </w:rPr>
        <w:drawing>
          <wp:inline distT="0" distB="0" distL="0" distR="0">
            <wp:extent cx="744855" cy="489585"/>
            <wp:effectExtent l="0" t="0" r="0" b="571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958390" name="Picture 1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44855" cy="489585"/>
                    </a:xfrm>
                    <a:prstGeom prst="rect">
                      <a:avLst/>
                    </a:prstGeom>
                    <a:noFill/>
                  </pic:spPr>
                </pic:pic>
              </a:graphicData>
            </a:graphic>
          </wp:inline>
        </w:drawing>
      </w:r>
    </w:p>
    <w:p w:rsidR="00AB7F19" w:rsidP="00AB7F19">
      <w:pPr>
        <w:spacing w:line="240" w:lineRule="auto"/>
        <w:jc w:val="center"/>
        <w:rPr>
          <w:rFonts w:ascii="Tahoma" w:hAnsi="Tahoma" w:cs="Tahoma"/>
          <w:sz w:val="22"/>
          <w:szCs w:val="22"/>
          <w:rtl/>
        </w:rPr>
      </w:pPr>
      <w:r>
        <w:rPr>
          <w:rFonts w:ascii="Tahoma" w:hAnsi="Tahoma" w:cs="Tahoma"/>
          <w:sz w:val="22"/>
          <w:szCs w:val="22"/>
          <w:rtl/>
        </w:rPr>
        <w:t xml:space="preserve">ירושלים, </w:t>
      </w:r>
      <w:r>
        <w:rPr>
          <w:rFonts w:ascii="Tahoma" w:hAnsi="Tahoma" w:cs="Tahoma" w:hint="cs"/>
          <w:sz w:val="22"/>
          <w:szCs w:val="22"/>
          <w:rtl/>
        </w:rPr>
        <w:t>אלול</w:t>
      </w:r>
      <w:r>
        <w:rPr>
          <w:rFonts w:ascii="Tahoma" w:hAnsi="Tahoma" w:cs="Tahoma"/>
          <w:sz w:val="22"/>
          <w:szCs w:val="22"/>
          <w:rtl/>
        </w:rPr>
        <w:t xml:space="preserve"> התש"ף, </w:t>
      </w:r>
      <w:r>
        <w:rPr>
          <w:rFonts w:ascii="Tahoma" w:hAnsi="Tahoma" w:cs="Tahoma" w:hint="cs"/>
          <w:sz w:val="22"/>
          <w:szCs w:val="22"/>
          <w:rtl/>
        </w:rPr>
        <w:t>ספטמבר</w:t>
      </w:r>
      <w:r>
        <w:rPr>
          <w:rFonts w:ascii="Tahoma" w:hAnsi="Tahoma" w:cs="Tahoma"/>
          <w:sz w:val="22"/>
          <w:szCs w:val="22"/>
          <w:rtl/>
        </w:rPr>
        <w:t xml:space="preserve"> 2020</w:t>
      </w:r>
    </w:p>
    <w:p w:rsidR="00AB7F19" w:rsidP="00AB7F19">
      <w:pPr>
        <w:bidi w:val="0"/>
        <w:spacing w:after="200" w:line="276" w:lineRule="auto"/>
        <w:rPr>
          <w:rFonts w:ascii="Tahoma" w:hAnsi="Tahoma" w:cs="Tahoma"/>
          <w:sz w:val="22"/>
          <w:szCs w:val="22"/>
          <w:rtl/>
        </w:rPr>
        <w:sectPr w:rsidSect="00F62588">
          <w:headerReference w:type="default" r:id="rId8"/>
          <w:pgSz w:w="11906" w:h="16838" w:code="9"/>
          <w:pgMar w:top="2268" w:right="1985" w:bottom="2155" w:left="1701" w:header="1559" w:footer="709" w:gutter="0"/>
          <w:cols w:space="720"/>
          <w:titlePg/>
          <w:bidi/>
          <w:rtlGutter/>
          <w:docGrid w:linePitch="272"/>
        </w:sectPr>
      </w:pPr>
      <w:r>
        <w:rPr>
          <w:rFonts w:ascii="Tahoma" w:hAnsi="Tahoma" w:cs="Tahoma"/>
          <w:sz w:val="22"/>
          <w:szCs w:val="22"/>
          <w:rtl/>
        </w:rPr>
        <w:br w:type="page"/>
      </w:r>
    </w:p>
    <w:p w:rsidR="00F1368B" w:rsidRPr="00590929" w:rsidP="0010599F">
      <w:pPr>
        <w:spacing w:line="240" w:lineRule="exact"/>
        <w:ind w:right="2268"/>
        <w:jc w:val="both"/>
        <w:rPr>
          <w:rFonts w:ascii="Tahoma" w:hAnsi="Tahoma" w:cs="Tahoma"/>
          <w:sz w:val="17"/>
          <w:szCs w:val="18"/>
          <w:rtl/>
        </w:rPr>
      </w:pPr>
    </w:p>
    <w:bookmarkEnd w:id="0"/>
    <w:bookmarkEnd w:id="1"/>
    <w:bookmarkEnd w:id="2"/>
    <w:bookmarkEnd w:id="3"/>
    <w:bookmarkEnd w:id="4"/>
    <w:p w:rsidR="00310493" w:rsidP="00310493">
      <w:pPr>
        <w:pStyle w:val="KOT4"/>
        <w:keepLines/>
        <w:rPr>
          <w:rtl/>
        </w:rPr>
      </w:pPr>
      <w:r>
        <w:rPr>
          <w:rFonts w:hint="cs"/>
          <w:rtl/>
        </w:rPr>
        <w:t>רקע</w:t>
      </w:r>
    </w:p>
    <w:p w:rsidR="00310493" w:rsidP="008166BC">
      <w:pPr>
        <w:pStyle w:val="running-text"/>
        <w:bidi/>
        <w:rPr>
          <w:rtl/>
        </w:rPr>
      </w:pPr>
      <w:r>
        <w:rPr>
          <w:rFonts w:hint="cs"/>
          <w:rtl/>
        </w:rPr>
        <w:t xml:space="preserve">נגיף הקורונה שהתפשט בעולם בסוף 2019 גרם לתחלואה נרחבת שעליה הכריז ארגון הבריאות העולמי במרץ 2020 כפנדמיה. התפרצות המחלה יצרה משבר רחב היקף ועמוק שהחברה הגלובלית לא חוותה כמוהו בעשרות השנים האחרונות. מדובר לא רק בנזקים בריאותיים ובמוות של מאות אלפי בני אדם אלא גם בנזקים כלכליים ובהשלכות חברתיות מרחיקות לכת. התפרצות המחלה לא פסחה על ישראל, ולתוצאותיה החמורות אנו עדים יום-יום. </w:t>
      </w:r>
    </w:p>
    <w:p w:rsidR="00310493" w:rsidP="00310493">
      <w:pPr>
        <w:pStyle w:val="running-text"/>
        <w:bidi/>
      </w:pPr>
      <w:r w:rsidRPr="00E06FBE">
        <w:rPr>
          <w:rFonts w:hint="cs"/>
          <w:spacing w:val="-2"/>
          <w:rtl/>
        </w:rPr>
        <w:t>במסמך זה אנו מבקשים לעסוק בהיבט מסוים הנוגע לגל האבטלה חסר התקדים</w:t>
      </w:r>
      <w:r>
        <w:rPr>
          <w:rFonts w:hint="cs"/>
          <w:rtl/>
        </w:rPr>
        <w:t xml:space="preserve"> ולמשבר התעסוקתי החמור שפקד את המדינה: דיווחים חודשיים מהמעסיקים על שכר עובדיהם. לפי נתוני המוסד לביטוח לאומי</w:t>
      </w:r>
      <w:r>
        <w:rPr>
          <w:vertAlign w:val="superscript"/>
          <w:rtl/>
        </w:rPr>
        <w:footnoteReference w:id="2"/>
      </w:r>
      <w:r>
        <w:rPr>
          <w:rFonts w:hint="cs"/>
          <w:rtl/>
        </w:rPr>
        <w:t xml:space="preserve">, מפרוץ המשבר (מרץ 2020) ועד סוף יוני 2020 הוגשו 948,355 תביעות לדמי אבטלה. עד 15.7.20 הצטברו 966,120 </w:t>
      </w:r>
      <w:r w:rsidRPr="00FF791C">
        <w:rPr>
          <w:rFonts w:hint="cs"/>
          <w:rtl/>
        </w:rPr>
        <w:t xml:space="preserve">תביעות </w:t>
      </w:r>
      <w:r>
        <w:rPr>
          <w:rFonts w:hint="cs"/>
          <w:rtl/>
        </w:rPr>
        <w:t>ל</w:t>
      </w:r>
      <w:r w:rsidRPr="00FF791C">
        <w:rPr>
          <w:rFonts w:hint="cs"/>
          <w:rtl/>
        </w:rPr>
        <w:t xml:space="preserve">דמי אבטלה. </w:t>
      </w:r>
      <w:r>
        <w:rPr>
          <w:rFonts w:hint="cs"/>
          <w:rtl/>
        </w:rPr>
        <w:t>לתביעות אלו יש להוסיף כ-140,000 תביעות לדמי אבטלה שהוגשו בטרם החל המשבר. להלן בתרשים 1 התפלגות הגשת התביעות לדמי אבטלה בחודשים ינואר עד יוני 2020:</w:t>
      </w:r>
    </w:p>
    <w:p w:rsidR="00310493" w:rsidRPr="00310493" w:rsidP="00310493">
      <w:pPr>
        <w:pStyle w:val="tab-name"/>
        <w:rPr>
          <w:shd w:val="clear" w:color="auto" w:fill="FFFFFF"/>
        </w:rPr>
      </w:pPr>
      <w:r w:rsidRPr="00310493">
        <w:rPr>
          <w:rFonts w:hint="eastAsia"/>
          <w:shd w:val="clear" w:color="auto" w:fill="FFFFFF"/>
          <w:rtl/>
        </w:rPr>
        <w:t>תרשים</w:t>
      </w:r>
      <w:r w:rsidRPr="00310493">
        <w:rPr>
          <w:shd w:val="clear" w:color="auto" w:fill="FFFFFF"/>
          <w:rtl/>
        </w:rPr>
        <w:t xml:space="preserve"> 1: </w:t>
      </w:r>
      <w:r w:rsidRPr="00E06FBE">
        <w:rPr>
          <w:b/>
          <w:bCs/>
          <w:shd w:val="clear" w:color="auto" w:fill="FFFFFF"/>
          <w:rtl/>
        </w:rPr>
        <w:t xml:space="preserve">התפלגות הגשת </w:t>
      </w:r>
      <w:r w:rsidRPr="00E06FBE">
        <w:rPr>
          <w:rFonts w:hint="cs"/>
          <w:b/>
          <w:bCs/>
          <w:shd w:val="clear" w:color="auto" w:fill="FFFFFF"/>
          <w:rtl/>
        </w:rPr>
        <w:t>ה</w:t>
      </w:r>
      <w:r w:rsidRPr="00E06FBE">
        <w:rPr>
          <w:rFonts w:hint="eastAsia"/>
          <w:b/>
          <w:bCs/>
          <w:shd w:val="clear" w:color="auto" w:fill="FFFFFF"/>
          <w:rtl/>
        </w:rPr>
        <w:t>תביעות</w:t>
      </w:r>
      <w:r w:rsidRPr="00E06FBE">
        <w:rPr>
          <w:b/>
          <w:bCs/>
          <w:shd w:val="clear" w:color="auto" w:fill="FFFFFF"/>
          <w:rtl/>
        </w:rPr>
        <w:t xml:space="preserve"> </w:t>
      </w:r>
      <w:r w:rsidRPr="00E06FBE">
        <w:rPr>
          <w:rFonts w:hint="cs"/>
          <w:b/>
          <w:bCs/>
          <w:shd w:val="clear" w:color="auto" w:fill="FFFFFF"/>
          <w:rtl/>
        </w:rPr>
        <w:t>ל</w:t>
      </w:r>
      <w:r w:rsidRPr="00E06FBE">
        <w:rPr>
          <w:rFonts w:hint="eastAsia"/>
          <w:b/>
          <w:bCs/>
          <w:shd w:val="clear" w:color="auto" w:fill="FFFFFF"/>
          <w:rtl/>
        </w:rPr>
        <w:t>דמי</w:t>
      </w:r>
      <w:r w:rsidRPr="00E06FBE">
        <w:rPr>
          <w:b/>
          <w:bCs/>
          <w:shd w:val="clear" w:color="auto" w:fill="FFFFFF"/>
          <w:rtl/>
        </w:rPr>
        <w:t xml:space="preserve"> אבטלה </w:t>
      </w:r>
      <w:r w:rsidRPr="00E06FBE">
        <w:rPr>
          <w:rFonts w:hint="cs"/>
          <w:b/>
          <w:bCs/>
          <w:shd w:val="clear" w:color="auto" w:fill="FFFFFF"/>
          <w:rtl/>
        </w:rPr>
        <w:t>(</w:t>
      </w:r>
      <w:r w:rsidRPr="00E06FBE">
        <w:rPr>
          <w:rFonts w:hint="eastAsia"/>
          <w:b/>
          <w:bCs/>
          <w:shd w:val="clear" w:color="auto" w:fill="FFFFFF"/>
          <w:rtl/>
        </w:rPr>
        <w:t>ינואר</w:t>
      </w:r>
      <w:r w:rsidRPr="00E06FBE">
        <w:rPr>
          <w:b/>
          <w:bCs/>
          <w:shd w:val="clear" w:color="auto" w:fill="FFFFFF"/>
          <w:rtl/>
        </w:rPr>
        <w:t>-יוני 2020</w:t>
      </w:r>
      <w:r w:rsidRPr="00E06FBE">
        <w:rPr>
          <w:rFonts w:hint="cs"/>
          <w:b/>
          <w:bCs/>
          <w:shd w:val="clear" w:color="auto" w:fill="FFFFFF"/>
          <w:rtl/>
        </w:rPr>
        <w:t>)</w:t>
      </w:r>
    </w:p>
    <w:p w:rsidR="00310493" w:rsidP="00E06FBE">
      <w:pPr>
        <w:pStyle w:val="running-text"/>
        <w:bidi/>
        <w:spacing w:after="240" w:line="240" w:lineRule="atLeast"/>
        <w:jc w:val="left"/>
      </w:pPr>
      <w:r>
        <w:rPr>
          <w:noProof/>
        </w:rPr>
        <w:drawing>
          <wp:inline distT="0" distB="0" distL="0" distR="0">
            <wp:extent cx="5400000" cy="296733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195957" name="corona-1-g-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5400000" cy="2967333"/>
                    </a:xfrm>
                    <a:prstGeom prst="rect">
                      <a:avLst/>
                    </a:prstGeom>
                  </pic:spPr>
                </pic:pic>
              </a:graphicData>
            </a:graphic>
          </wp:inline>
        </w:drawing>
      </w:r>
    </w:p>
    <w:p w:rsidR="00310493" w:rsidRPr="00310493" w:rsidP="00310493">
      <w:pPr>
        <w:pStyle w:val="RESHET"/>
        <w:rPr>
          <w:sz w:val="18"/>
        </w:rPr>
      </w:pPr>
      <w:r w:rsidRPr="00310493">
        <w:rPr>
          <w:rFonts w:hint="eastAsia"/>
          <w:sz w:val="18"/>
          <w:rtl/>
        </w:rPr>
        <w:t>יוצא</w:t>
      </w:r>
      <w:r w:rsidRPr="00310493">
        <w:rPr>
          <w:sz w:val="18"/>
          <w:rtl/>
        </w:rPr>
        <w:t xml:space="preserve"> </w:t>
      </w:r>
      <w:r w:rsidRPr="00310493">
        <w:rPr>
          <w:rFonts w:hint="eastAsia"/>
          <w:sz w:val="18"/>
          <w:rtl/>
        </w:rPr>
        <w:t>אפוא</w:t>
      </w:r>
      <w:r w:rsidRPr="00310493">
        <w:rPr>
          <w:sz w:val="18"/>
          <w:rtl/>
        </w:rPr>
        <w:t xml:space="preserve"> כי </w:t>
      </w:r>
      <w:r w:rsidRPr="00310493">
        <w:rPr>
          <w:rFonts w:hint="eastAsia"/>
          <w:sz w:val="18"/>
          <w:rtl/>
        </w:rPr>
        <w:t>עד</w:t>
      </w:r>
      <w:r w:rsidRPr="00310493">
        <w:rPr>
          <w:sz w:val="18"/>
          <w:rtl/>
        </w:rPr>
        <w:t xml:space="preserve"> 15.7.20 </w:t>
      </w:r>
      <w:r w:rsidRPr="00310493">
        <w:rPr>
          <w:rFonts w:hint="eastAsia"/>
          <w:sz w:val="18"/>
          <w:rtl/>
        </w:rPr>
        <w:t>הצטבר</w:t>
      </w:r>
      <w:r w:rsidRPr="00310493">
        <w:rPr>
          <w:rFonts w:hint="cs"/>
          <w:sz w:val="18"/>
          <w:rtl/>
        </w:rPr>
        <w:t>ו</w:t>
      </w:r>
      <w:r w:rsidRPr="00310493">
        <w:rPr>
          <w:sz w:val="18"/>
          <w:rtl/>
        </w:rPr>
        <w:t xml:space="preserve"> </w:t>
      </w:r>
      <w:r w:rsidRPr="00310493">
        <w:rPr>
          <w:rFonts w:hint="eastAsia"/>
          <w:sz w:val="18"/>
          <w:rtl/>
        </w:rPr>
        <w:t>כ</w:t>
      </w:r>
      <w:r w:rsidRPr="00310493">
        <w:rPr>
          <w:sz w:val="18"/>
          <w:rtl/>
        </w:rPr>
        <w:t>-</w:t>
      </w:r>
      <w:r w:rsidRPr="00310493">
        <w:rPr>
          <w:rFonts w:hint="cs"/>
          <w:sz w:val="18"/>
          <w:rtl/>
        </w:rPr>
        <w:t xml:space="preserve">1.1 מיליון </w:t>
      </w:r>
      <w:r w:rsidRPr="00310493">
        <w:rPr>
          <w:rFonts w:hint="eastAsia"/>
          <w:sz w:val="18"/>
          <w:rtl/>
        </w:rPr>
        <w:t>תביעות</w:t>
      </w:r>
      <w:r w:rsidRPr="00310493">
        <w:rPr>
          <w:sz w:val="18"/>
          <w:rtl/>
        </w:rPr>
        <w:t xml:space="preserve"> </w:t>
      </w:r>
      <w:r w:rsidRPr="00310493">
        <w:rPr>
          <w:rFonts w:hint="cs"/>
          <w:sz w:val="18"/>
          <w:rtl/>
        </w:rPr>
        <w:t xml:space="preserve">לדמי </w:t>
      </w:r>
      <w:r w:rsidRPr="00310493">
        <w:rPr>
          <w:rFonts w:hint="eastAsia"/>
          <w:sz w:val="18"/>
          <w:rtl/>
        </w:rPr>
        <w:t>אבטלה</w:t>
      </w:r>
      <w:r w:rsidRPr="00310493">
        <w:rPr>
          <w:sz w:val="18"/>
          <w:rtl/>
        </w:rPr>
        <w:t>.</w:t>
      </w:r>
      <w:r w:rsidRPr="00310493">
        <w:rPr>
          <w:rFonts w:hint="cs"/>
          <w:sz w:val="18"/>
          <w:rtl/>
        </w:rPr>
        <w:t xml:space="preserve"> לפי נתוני המוסד לביטוח לאומי, ביוני 2020 שולמו דמי אבטלה לכ-521,000 תובעים. ממרץ עד סוף יוני 2020 שולמו במצטבר כ-10.2 מיליארד ש"ח דמי אבטלה.</w:t>
      </w:r>
    </w:p>
    <w:p w:rsidR="00310493" w:rsidP="00503A45">
      <w:pPr>
        <w:pStyle w:val="running-text"/>
        <w:bidi/>
        <w:spacing w:before="180"/>
        <w:rPr>
          <w:rtl/>
        </w:rPr>
      </w:pPr>
      <w:r w:rsidRPr="00E06FBE">
        <w:rPr>
          <w:rStyle w:val="73"/>
          <w:rFonts w:ascii="Tahoma" w:hAnsi="Tahoma" w:cs="Tahoma" w:hint="eastAsia"/>
          <w:sz w:val="17"/>
          <w:szCs w:val="18"/>
          <w:rtl/>
        </w:rPr>
        <w:t>גופים</w:t>
      </w:r>
      <w:r w:rsidRPr="00E06FBE">
        <w:rPr>
          <w:rStyle w:val="73"/>
          <w:rFonts w:ascii="Tahoma" w:hAnsi="Tahoma" w:cs="Tahoma"/>
          <w:sz w:val="17"/>
          <w:szCs w:val="18"/>
          <w:rtl/>
        </w:rPr>
        <w:t xml:space="preserve"> </w:t>
      </w:r>
      <w:r w:rsidRPr="00E06FBE">
        <w:rPr>
          <w:rStyle w:val="73"/>
          <w:rFonts w:ascii="Tahoma" w:hAnsi="Tahoma" w:cs="Tahoma" w:hint="eastAsia"/>
          <w:sz w:val="17"/>
          <w:szCs w:val="18"/>
          <w:rtl/>
        </w:rPr>
        <w:t>ממלכתיים</w:t>
      </w:r>
      <w:r w:rsidRPr="00E06FBE">
        <w:rPr>
          <w:rStyle w:val="73"/>
          <w:rFonts w:ascii="Tahoma" w:hAnsi="Tahoma" w:cs="Tahoma"/>
          <w:sz w:val="17"/>
          <w:szCs w:val="18"/>
          <w:rtl/>
        </w:rPr>
        <w:t xml:space="preserve"> </w:t>
      </w:r>
      <w:r w:rsidRPr="00E06FBE">
        <w:rPr>
          <w:rStyle w:val="73"/>
          <w:rFonts w:ascii="Tahoma" w:hAnsi="Tahoma" w:cs="Tahoma" w:hint="eastAsia"/>
          <w:sz w:val="17"/>
          <w:szCs w:val="18"/>
          <w:rtl/>
        </w:rPr>
        <w:t>המרכזים</w:t>
      </w:r>
      <w:r w:rsidRPr="00E06FBE">
        <w:rPr>
          <w:rStyle w:val="73"/>
          <w:rFonts w:ascii="Tahoma" w:hAnsi="Tahoma" w:cs="Tahoma"/>
          <w:sz w:val="17"/>
          <w:szCs w:val="18"/>
          <w:rtl/>
        </w:rPr>
        <w:t xml:space="preserve"> </w:t>
      </w:r>
      <w:r w:rsidRPr="00E06FBE">
        <w:rPr>
          <w:rStyle w:val="73"/>
          <w:rFonts w:ascii="Tahoma" w:hAnsi="Tahoma" w:cs="Tahoma" w:hint="eastAsia"/>
          <w:sz w:val="17"/>
          <w:szCs w:val="18"/>
          <w:rtl/>
        </w:rPr>
        <w:t>נתונים</w:t>
      </w:r>
      <w:r w:rsidRPr="00310493">
        <w:rPr>
          <w:rtl/>
        </w:rPr>
        <w:t xml:space="preserve"> -</w:t>
      </w:r>
      <w:r>
        <w:rPr>
          <w:rFonts w:hint="cs"/>
          <w:rtl/>
        </w:rPr>
        <w:t xml:space="preserve"> שלושה גופים מרכזיים אוספים נתונים הנוגעים למצב האבטלה בישראל: המוסד לביטוח לאומי (להלן - בט"ל), שירות התעסוקה הישראלי (להלן</w:t>
      </w:r>
      <w:r w:rsidR="00503A45">
        <w:rPr>
          <w:rFonts w:hint="cs"/>
          <w:rtl/>
        </w:rPr>
        <w:t xml:space="preserve"> </w:t>
      </w:r>
      <w:r>
        <w:rPr>
          <w:rFonts w:hint="cs"/>
          <w:rtl/>
        </w:rPr>
        <w:t xml:space="preserve">- שירות התעסוקה) והלשכה המרכזית לסטטיסטיקה (להלן - הלמ"ס): </w:t>
      </w:r>
    </w:p>
    <w:p w:rsidR="00310493" w:rsidRPr="00E06FBE" w:rsidP="00E06FBE">
      <w:pPr>
        <w:pStyle w:val="ListParagraph"/>
        <w:numPr>
          <w:ilvl w:val="0"/>
          <w:numId w:val="27"/>
        </w:numPr>
        <w:autoSpaceDE/>
        <w:autoSpaceDN/>
        <w:adjustRightInd/>
        <w:spacing w:before="180" w:line="240" w:lineRule="exact"/>
        <w:ind w:left="340" w:right="2268" w:hanging="340"/>
        <w:rPr>
          <w:sz w:val="18"/>
          <w:szCs w:val="18"/>
          <w:rtl/>
        </w:rPr>
      </w:pPr>
      <w:r w:rsidRPr="00E06FBE">
        <w:rPr>
          <w:rStyle w:val="73"/>
          <w:rFonts w:ascii="Tahoma" w:hAnsi="Tahoma" w:cs="Tahoma" w:hint="eastAsia"/>
          <w:sz w:val="17"/>
          <w:szCs w:val="18"/>
          <w:rtl/>
        </w:rPr>
        <w:t>בט</w:t>
      </w:r>
      <w:r w:rsidRPr="00E06FBE">
        <w:rPr>
          <w:rStyle w:val="73"/>
          <w:rFonts w:ascii="Tahoma" w:hAnsi="Tahoma" w:cs="Tahoma"/>
          <w:sz w:val="17"/>
          <w:szCs w:val="18"/>
          <w:rtl/>
        </w:rPr>
        <w:t>"ל</w:t>
      </w:r>
      <w:r w:rsidRPr="00E06FBE">
        <w:rPr>
          <w:rStyle w:val="73"/>
          <w:rFonts w:ascii="Tahoma" w:hAnsi="Tahoma" w:cs="Tahoma" w:hint="cs"/>
          <w:sz w:val="17"/>
          <w:szCs w:val="18"/>
          <w:rtl/>
        </w:rPr>
        <w:t>:</w:t>
      </w:r>
      <w:r w:rsidRPr="00E06FBE">
        <w:rPr>
          <w:rFonts w:hint="cs"/>
          <w:sz w:val="18"/>
          <w:szCs w:val="18"/>
          <w:rtl/>
        </w:rPr>
        <w:t xml:space="preserve"> סופר את מקבלי קצבת האבטלה לפי מספר התביעות שהוא משלם עליהן. יודגש שמקבלי קצבת האבטלה מחויבים להירשם גם בשירות התעסוקה. </w:t>
      </w:r>
    </w:p>
    <w:p w:rsidR="00310493" w:rsidRPr="00E06FBE" w:rsidP="00E06FBE">
      <w:pPr>
        <w:pStyle w:val="ListParagraph"/>
        <w:numPr>
          <w:ilvl w:val="0"/>
          <w:numId w:val="27"/>
        </w:numPr>
        <w:autoSpaceDE/>
        <w:autoSpaceDN/>
        <w:adjustRightInd/>
        <w:spacing w:before="180" w:line="240" w:lineRule="exact"/>
        <w:ind w:left="340" w:right="2268" w:hanging="340"/>
        <w:rPr>
          <w:sz w:val="18"/>
          <w:szCs w:val="18"/>
          <w:rtl/>
        </w:rPr>
      </w:pPr>
      <w:r w:rsidRPr="00E06FBE">
        <w:rPr>
          <w:rStyle w:val="73"/>
          <w:rFonts w:ascii="Tahoma" w:hAnsi="Tahoma" w:cs="Tahoma" w:hint="eastAsia"/>
          <w:sz w:val="17"/>
          <w:szCs w:val="18"/>
          <w:rtl/>
        </w:rPr>
        <w:t>שירות</w:t>
      </w:r>
      <w:r w:rsidRPr="00E06FBE">
        <w:rPr>
          <w:rStyle w:val="73"/>
          <w:rFonts w:ascii="Tahoma" w:hAnsi="Tahoma" w:cs="Tahoma"/>
          <w:sz w:val="17"/>
          <w:szCs w:val="18"/>
          <w:rtl/>
        </w:rPr>
        <w:t xml:space="preserve"> </w:t>
      </w:r>
      <w:r w:rsidRPr="00E06FBE">
        <w:rPr>
          <w:rStyle w:val="73"/>
          <w:rFonts w:ascii="Tahoma" w:hAnsi="Tahoma" w:cs="Tahoma" w:hint="eastAsia"/>
          <w:sz w:val="17"/>
          <w:szCs w:val="18"/>
          <w:rtl/>
        </w:rPr>
        <w:t>התעסוקה</w:t>
      </w:r>
      <w:r w:rsidRPr="00E06FBE">
        <w:rPr>
          <w:rStyle w:val="73"/>
          <w:rFonts w:ascii="Tahoma" w:hAnsi="Tahoma" w:cs="Tahoma"/>
          <w:sz w:val="17"/>
          <w:szCs w:val="18"/>
          <w:rtl/>
        </w:rPr>
        <w:t>:</w:t>
      </w:r>
      <w:r w:rsidRPr="00E06FBE">
        <w:rPr>
          <w:rFonts w:hint="cs"/>
          <w:sz w:val="18"/>
          <w:szCs w:val="18"/>
          <w:rtl/>
        </w:rPr>
        <w:t xml:space="preserve"> סופר את דורשי העבודה שפנו לשירות התעסוקה. יודגש כי לא כל מי שרשום בשירות התעסוקה זכאי לקבלת דמי אבטלה - למשל בשל היעדר תקופת אכשרה מתאימה</w:t>
      </w:r>
      <w:r>
        <w:rPr>
          <w:sz w:val="18"/>
          <w:szCs w:val="18"/>
          <w:vertAlign w:val="superscript"/>
          <w:rtl/>
        </w:rPr>
        <w:footnoteReference w:id="3"/>
      </w:r>
      <w:r w:rsidRPr="00E06FBE">
        <w:rPr>
          <w:rFonts w:hint="cs"/>
          <w:sz w:val="18"/>
          <w:szCs w:val="18"/>
          <w:rtl/>
        </w:rPr>
        <w:t>.</w:t>
      </w:r>
    </w:p>
    <w:p w:rsidR="00310493" w:rsidRPr="00E06FBE" w:rsidP="00E06FBE">
      <w:pPr>
        <w:pStyle w:val="ListParagraph"/>
        <w:numPr>
          <w:ilvl w:val="0"/>
          <w:numId w:val="27"/>
        </w:numPr>
        <w:autoSpaceDE/>
        <w:autoSpaceDN/>
        <w:adjustRightInd/>
        <w:spacing w:before="180" w:line="240" w:lineRule="exact"/>
        <w:ind w:left="340" w:right="2268" w:hanging="340"/>
        <w:rPr>
          <w:sz w:val="18"/>
          <w:szCs w:val="18"/>
          <w:rtl/>
        </w:rPr>
      </w:pPr>
      <w:r w:rsidRPr="00E06FBE">
        <w:rPr>
          <w:rStyle w:val="73"/>
          <w:rFonts w:ascii="Tahoma" w:hAnsi="Tahoma" w:cs="Tahoma" w:hint="eastAsia"/>
          <w:sz w:val="17"/>
          <w:szCs w:val="18"/>
          <w:rtl/>
        </w:rPr>
        <w:t>הלמ</w:t>
      </w:r>
      <w:r w:rsidRPr="00E06FBE">
        <w:rPr>
          <w:rStyle w:val="73"/>
          <w:rFonts w:ascii="Tahoma" w:hAnsi="Tahoma" w:cs="Tahoma"/>
          <w:sz w:val="17"/>
          <w:szCs w:val="18"/>
          <w:rtl/>
        </w:rPr>
        <w:t>"ס:</w:t>
      </w:r>
      <w:r w:rsidRPr="00E06FBE">
        <w:rPr>
          <w:rFonts w:hint="cs"/>
          <w:sz w:val="18"/>
          <w:szCs w:val="18"/>
          <w:rtl/>
        </w:rPr>
        <w:t xml:space="preserve"> מתבסס על סקרי כוח אדם שביצע לפי ההגדרות של בלתי מועסקים</w:t>
      </w:r>
      <w:r>
        <w:rPr>
          <w:sz w:val="18"/>
          <w:szCs w:val="18"/>
          <w:vertAlign w:val="superscript"/>
          <w:rtl/>
        </w:rPr>
        <w:footnoteReference w:id="4"/>
      </w:r>
      <w:r w:rsidRPr="00E06FBE">
        <w:rPr>
          <w:rFonts w:hint="cs"/>
          <w:sz w:val="18"/>
          <w:szCs w:val="18"/>
          <w:rtl/>
        </w:rPr>
        <w:t>.</w:t>
      </w:r>
    </w:p>
    <w:p w:rsidR="00310493" w:rsidP="00E06FBE">
      <w:pPr>
        <w:pStyle w:val="running-text"/>
        <w:bidi/>
      </w:pPr>
      <w:r>
        <w:rPr>
          <w:rFonts w:hint="cs"/>
          <w:rtl/>
        </w:rPr>
        <w:t xml:space="preserve">להלן בתרשים 2 השוואה בין הנתונים של שלושת הגופים </w:t>
      </w:r>
      <w:r w:rsidRPr="007D60D5">
        <w:rPr>
          <w:rFonts w:hint="eastAsia"/>
          <w:rtl/>
        </w:rPr>
        <w:t>ל</w:t>
      </w:r>
      <w:r>
        <w:rPr>
          <w:rFonts w:hint="cs"/>
          <w:rtl/>
        </w:rPr>
        <w:t>חודשים אפריל עד יוני 2020:</w:t>
      </w:r>
    </w:p>
    <w:p w:rsidR="00310493" w:rsidRPr="00E06FBE" w:rsidP="00E06FBE">
      <w:pPr>
        <w:pStyle w:val="tab-name"/>
        <w:rPr>
          <w:shd w:val="clear" w:color="auto" w:fill="FFFFFF"/>
        </w:rPr>
      </w:pPr>
      <w:r w:rsidRPr="00E06FBE">
        <w:rPr>
          <w:rFonts w:hint="cs"/>
          <w:shd w:val="clear" w:color="auto" w:fill="FFFFFF"/>
          <w:rtl/>
        </w:rPr>
        <w:t xml:space="preserve">תרשים 2: </w:t>
      </w:r>
      <w:r w:rsidRPr="00E06FBE">
        <w:rPr>
          <w:rFonts w:hint="cs"/>
          <w:b/>
          <w:bCs/>
          <w:shd w:val="clear" w:color="auto" w:fill="FFFFFF"/>
          <w:rtl/>
        </w:rPr>
        <w:t>השוואה בין נתוני בט"ל, שירות התעסוקה והלמ"ס (באלפים)</w:t>
      </w:r>
      <w:r>
        <w:rPr>
          <w:b/>
          <w:bCs/>
          <w:shd w:val="clear" w:color="auto" w:fill="FFFFFF"/>
          <w:vertAlign w:val="superscript"/>
        </w:rPr>
        <w:footnoteReference w:id="5"/>
      </w:r>
    </w:p>
    <w:p w:rsidR="00310493" w:rsidP="00D2140A">
      <w:pPr>
        <w:pStyle w:val="running-text"/>
        <w:bidi/>
        <w:spacing w:after="240" w:line="240" w:lineRule="atLeast"/>
        <w:jc w:val="left"/>
      </w:pPr>
      <w:r>
        <w:rPr>
          <w:noProof/>
          <w:rtl/>
        </w:rPr>
        <w:drawing>
          <wp:inline distT="0" distB="0" distL="0" distR="0">
            <wp:extent cx="5400040" cy="2889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362499" name="corona-1-g-2.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5400040" cy="2889250"/>
                    </a:xfrm>
                    <a:prstGeom prst="rect">
                      <a:avLst/>
                    </a:prstGeom>
                  </pic:spPr>
                </pic:pic>
              </a:graphicData>
            </a:graphic>
          </wp:inline>
        </w:drawing>
      </w:r>
    </w:p>
    <w:p w:rsidR="00310493" w:rsidRPr="00E06FBE" w:rsidP="00503A45">
      <w:pPr>
        <w:pStyle w:val="text-source"/>
        <w:jc w:val="both"/>
        <w:rPr>
          <w:rtl/>
        </w:rPr>
      </w:pPr>
      <w:r>
        <w:rPr>
          <w:rFonts w:hint="cs"/>
          <w:rtl/>
        </w:rPr>
        <w:t xml:space="preserve">מקור: נתונים שהתקבלו </w:t>
      </w:r>
      <w:r w:rsidRPr="00E06FBE">
        <w:rPr>
          <w:rFonts w:hint="eastAsia"/>
          <w:rtl/>
        </w:rPr>
        <w:t>מבט</w:t>
      </w:r>
      <w:r w:rsidRPr="00E06FBE">
        <w:rPr>
          <w:rtl/>
        </w:rPr>
        <w:t xml:space="preserve">"ל </w:t>
      </w:r>
      <w:r w:rsidRPr="00E06FBE">
        <w:rPr>
          <w:rFonts w:hint="eastAsia"/>
          <w:rtl/>
        </w:rPr>
        <w:t>ב</w:t>
      </w:r>
      <w:r w:rsidRPr="00E06FBE">
        <w:rPr>
          <w:rtl/>
        </w:rPr>
        <w:t>-15.7.20</w:t>
      </w:r>
      <w:r w:rsidRPr="00E06FBE">
        <w:rPr>
          <w:rFonts w:hint="cs"/>
          <w:rtl/>
        </w:rPr>
        <w:t xml:space="preserve">; נתונים מתוך </w:t>
      </w:r>
      <w:r w:rsidRPr="00E06FBE">
        <w:rPr>
          <w:rFonts w:hint="eastAsia"/>
          <w:rtl/>
        </w:rPr>
        <w:t>דוח</w:t>
      </w:r>
      <w:r w:rsidRPr="00E06FBE">
        <w:rPr>
          <w:rtl/>
        </w:rPr>
        <w:t xml:space="preserve"> </w:t>
      </w:r>
      <w:r w:rsidRPr="00E06FBE">
        <w:rPr>
          <w:rFonts w:hint="eastAsia"/>
          <w:rtl/>
        </w:rPr>
        <w:t>דופק</w:t>
      </w:r>
      <w:r w:rsidRPr="00E06FBE">
        <w:rPr>
          <w:rtl/>
        </w:rPr>
        <w:t xml:space="preserve"> </w:t>
      </w:r>
      <w:r w:rsidRPr="00E06FBE">
        <w:rPr>
          <w:rFonts w:hint="eastAsia"/>
          <w:rtl/>
        </w:rPr>
        <w:t>של</w:t>
      </w:r>
      <w:r w:rsidRPr="00E06FBE">
        <w:rPr>
          <w:rtl/>
        </w:rPr>
        <w:t xml:space="preserve"> </w:t>
      </w:r>
      <w:r w:rsidRPr="00E06FBE">
        <w:rPr>
          <w:rFonts w:hint="eastAsia"/>
          <w:rtl/>
        </w:rPr>
        <w:t>שירות</w:t>
      </w:r>
      <w:r w:rsidRPr="00E06FBE">
        <w:rPr>
          <w:rtl/>
        </w:rPr>
        <w:t xml:space="preserve"> </w:t>
      </w:r>
      <w:r w:rsidRPr="00E06FBE">
        <w:rPr>
          <w:rFonts w:hint="eastAsia"/>
          <w:rtl/>
        </w:rPr>
        <w:t>התעסוקה</w:t>
      </w:r>
      <w:r w:rsidRPr="00E06FBE">
        <w:rPr>
          <w:rtl/>
        </w:rPr>
        <w:t xml:space="preserve"> </w:t>
      </w:r>
      <w:r w:rsidRPr="00E06FBE">
        <w:rPr>
          <w:rFonts w:hint="eastAsia"/>
          <w:rtl/>
        </w:rPr>
        <w:t>למאי</w:t>
      </w:r>
      <w:r w:rsidRPr="00E06FBE">
        <w:rPr>
          <w:rtl/>
        </w:rPr>
        <w:t xml:space="preserve"> 2020</w:t>
      </w:r>
      <w:r w:rsidRPr="00E06FBE">
        <w:rPr>
          <w:rFonts w:hint="cs"/>
          <w:rtl/>
        </w:rPr>
        <w:t>; נתונים שהתקבלו משירות התעסוקה ב-29.7.20;</w:t>
      </w:r>
      <w:r w:rsidRPr="00E06FBE">
        <w:rPr>
          <w:rtl/>
        </w:rPr>
        <w:t xml:space="preserve"> </w:t>
      </w:r>
      <w:r w:rsidRPr="00E06FBE">
        <w:rPr>
          <w:rFonts w:hint="cs"/>
          <w:rtl/>
        </w:rPr>
        <w:t xml:space="preserve">ונתונים מתוך </w:t>
      </w:r>
      <w:r w:rsidRPr="00E06FBE">
        <w:rPr>
          <w:rFonts w:hint="eastAsia"/>
          <w:rtl/>
        </w:rPr>
        <w:t>סקרי</w:t>
      </w:r>
      <w:r w:rsidRPr="00E06FBE">
        <w:rPr>
          <w:rtl/>
        </w:rPr>
        <w:t xml:space="preserve"> </w:t>
      </w:r>
      <w:r w:rsidRPr="00E06FBE">
        <w:rPr>
          <w:rFonts w:hint="eastAsia"/>
          <w:rtl/>
        </w:rPr>
        <w:t>כוח</w:t>
      </w:r>
      <w:r w:rsidRPr="00E06FBE">
        <w:rPr>
          <w:rtl/>
        </w:rPr>
        <w:t xml:space="preserve"> </w:t>
      </w:r>
      <w:r w:rsidRPr="00E06FBE">
        <w:rPr>
          <w:rFonts w:hint="eastAsia"/>
          <w:rtl/>
        </w:rPr>
        <w:t>אדם</w:t>
      </w:r>
      <w:r w:rsidRPr="00E06FBE">
        <w:rPr>
          <w:rtl/>
        </w:rPr>
        <w:t xml:space="preserve"> </w:t>
      </w:r>
      <w:r w:rsidRPr="00E06FBE">
        <w:rPr>
          <w:rFonts w:hint="eastAsia"/>
          <w:rtl/>
        </w:rPr>
        <w:t>של</w:t>
      </w:r>
      <w:r w:rsidRPr="00E06FBE">
        <w:rPr>
          <w:rtl/>
        </w:rPr>
        <w:t xml:space="preserve"> </w:t>
      </w:r>
      <w:r w:rsidRPr="00E06FBE">
        <w:rPr>
          <w:rFonts w:hint="cs"/>
          <w:rtl/>
        </w:rPr>
        <w:t>ה</w:t>
      </w:r>
      <w:r w:rsidRPr="00E06FBE">
        <w:rPr>
          <w:rFonts w:hint="eastAsia"/>
          <w:rtl/>
        </w:rPr>
        <w:t>למ</w:t>
      </w:r>
      <w:r w:rsidRPr="00E06FBE">
        <w:rPr>
          <w:rtl/>
        </w:rPr>
        <w:t xml:space="preserve">"ס </w:t>
      </w:r>
      <w:r w:rsidRPr="00E06FBE">
        <w:rPr>
          <w:rFonts w:hint="eastAsia"/>
          <w:rtl/>
        </w:rPr>
        <w:t>לחודשי</w:t>
      </w:r>
      <w:r w:rsidRPr="00E06FBE">
        <w:rPr>
          <w:rFonts w:hint="cs"/>
          <w:rtl/>
        </w:rPr>
        <w:t>ם</w:t>
      </w:r>
      <w:r w:rsidRPr="00E06FBE">
        <w:rPr>
          <w:rtl/>
        </w:rPr>
        <w:t xml:space="preserve"> אפריל</w:t>
      </w:r>
      <w:r w:rsidRPr="00E06FBE">
        <w:rPr>
          <w:rFonts w:hint="cs"/>
          <w:rtl/>
        </w:rPr>
        <w:t xml:space="preserve">-יוני </w:t>
      </w:r>
      <w:r w:rsidRPr="00E06FBE">
        <w:rPr>
          <w:rtl/>
        </w:rPr>
        <w:t>2020</w:t>
      </w:r>
      <w:r w:rsidRPr="00E06FBE">
        <w:rPr>
          <w:rFonts w:hint="cs"/>
          <w:rtl/>
        </w:rPr>
        <w:t>,</w:t>
      </w:r>
      <w:r w:rsidRPr="00E06FBE">
        <w:rPr>
          <w:rtl/>
        </w:rPr>
        <w:t xml:space="preserve"> </w:t>
      </w:r>
      <w:r w:rsidRPr="00E06FBE">
        <w:rPr>
          <w:rFonts w:hint="cs"/>
          <w:rtl/>
        </w:rPr>
        <w:t>בעיבוד משרד מבקר המדינה.</w:t>
      </w:r>
    </w:p>
    <w:p w:rsidR="00310493" w:rsidRPr="00E06FBE" w:rsidP="00E06FBE">
      <w:pPr>
        <w:pStyle w:val="RESHET"/>
        <w:rPr>
          <w:sz w:val="18"/>
          <w:rtl/>
        </w:rPr>
      </w:pPr>
      <w:r w:rsidRPr="00E06FBE">
        <w:rPr>
          <w:rFonts w:hint="cs"/>
          <w:sz w:val="18"/>
          <w:rtl/>
        </w:rPr>
        <w:t>מהתרשים עולה כי קיים פער משמעותי בין הנתונים של שלושת הגופים, עד כדי כך שמספר דורשי העבודה לפי שירות התעסוקה ביוני 2020 גדול יותר מפי שניים ממספר הבלתי מועסקים לפי סקרי כוח האדם של הלמ"ס.</w:t>
      </w:r>
    </w:p>
    <w:p w:rsidR="00310493" w:rsidP="00E06FBE">
      <w:pPr>
        <w:pStyle w:val="running-text"/>
        <w:bidi/>
        <w:spacing w:before="180"/>
      </w:pPr>
      <w:r w:rsidRPr="00E06FBE">
        <w:rPr>
          <w:rStyle w:val="73"/>
          <w:rFonts w:ascii="Tahoma" w:hAnsi="Tahoma" w:cs="Tahoma" w:hint="eastAsia"/>
          <w:sz w:val="17"/>
          <w:szCs w:val="18"/>
          <w:rtl/>
        </w:rPr>
        <w:t>האתגר</w:t>
      </w:r>
      <w:r w:rsidRPr="008826B7">
        <w:rPr>
          <w:rFonts w:hint="cs"/>
          <w:rtl/>
        </w:rPr>
        <w:t xml:space="preserve"> </w:t>
      </w:r>
      <w:r w:rsidRPr="008826B7">
        <w:rPr>
          <w:b/>
          <w:bCs/>
          <w:rtl/>
        </w:rPr>
        <w:t xml:space="preserve">- </w:t>
      </w:r>
      <w:r w:rsidRPr="008826B7">
        <w:rPr>
          <w:rFonts w:hint="cs"/>
          <w:rtl/>
        </w:rPr>
        <w:t xml:space="preserve">אחד האתגרים המרכזיים שעולה מניהול המשבר הוא המחסור בנתונים זמינים ושוטפים, מדי חודש בחודשו, על עובדים שעבודתם הופסקה (בשל יציאה לחל"ת או פיטורין); על </w:t>
      </w:r>
      <w:r>
        <w:rPr>
          <w:rFonts w:hint="cs"/>
          <w:rtl/>
        </w:rPr>
        <w:t>עובדים</w:t>
      </w:r>
      <w:r w:rsidRPr="008826B7">
        <w:rPr>
          <w:rFonts w:hint="cs"/>
          <w:rtl/>
        </w:rPr>
        <w:t xml:space="preserve"> שחזרו לעבודה, שכרם ומאפייניהם; וכן נתוני שכר לגבי עובדים אשר משרתם צומצמה. </w:t>
      </w:r>
    </w:p>
    <w:p w:rsidR="00310493" w:rsidP="00E06FBE">
      <w:pPr>
        <w:pStyle w:val="running-text"/>
        <w:bidi/>
      </w:pPr>
      <w:r w:rsidRPr="00E06FBE">
        <w:rPr>
          <w:rStyle w:val="73"/>
          <w:rFonts w:ascii="Tahoma" w:hAnsi="Tahoma" w:cs="Tahoma" w:hint="cs"/>
          <w:sz w:val="17"/>
          <w:szCs w:val="18"/>
          <w:rtl/>
        </w:rPr>
        <w:t>הנזק בעקבות היעדר הנתונים</w:t>
      </w:r>
      <w:r>
        <w:rPr>
          <w:rFonts w:hint="cs"/>
          <w:b/>
          <w:bCs/>
          <w:rtl/>
        </w:rPr>
        <w:t xml:space="preserve"> </w:t>
      </w:r>
      <w:r w:rsidRPr="007D60D5">
        <w:rPr>
          <w:b/>
          <w:bCs/>
          <w:rtl/>
        </w:rPr>
        <w:t>-</w:t>
      </w:r>
      <w:r>
        <w:rPr>
          <w:rFonts w:hint="cs"/>
          <w:rtl/>
        </w:rPr>
        <w:t xml:space="preserve"> חוסר בנתונים זמינים ושוטפים עלול לגרום לניתוח לא מבוסס דיו של תמונת מצבם התעסוקתי של העובדים במשק ולהביא לקבלת החלטות שאינן מיטביות. הצורך בנתונים מדויקים בנוגע לשכר עולה, למשל, כאשר הממשלה רוצה לבחון תוכניות לחלוקה דיפרנציאלית של מענקים כגון תמריץ חזרה לעבודה או תוכניות להגדלת קצבאות מותנות הכנסה. בעיית החוסר בנתוני שכר עלתה בדוח המסכם של הוועדה לקידום תחום התעסוקה לקראת 2030 (דוח אקשטיין) וגם בתוכנית הכלכלית שפורסמה ביולי 2020.</w:t>
      </w:r>
    </w:p>
    <w:p w:rsidR="00310493" w:rsidP="00E06FBE">
      <w:pPr>
        <w:pStyle w:val="running-text"/>
        <w:bidi/>
      </w:pPr>
      <w:r>
        <w:rPr>
          <w:rFonts w:hint="cs"/>
          <w:rtl/>
        </w:rPr>
        <w:t xml:space="preserve">מבירורים שערך משרד מבקר המדינה עם גורמים בבט"ל, במשרד האוצר, </w:t>
      </w:r>
      <w:r w:rsidRPr="00503A45">
        <w:rPr>
          <w:rFonts w:hint="cs"/>
          <w:spacing w:val="-4"/>
          <w:rtl/>
        </w:rPr>
        <w:t>בלמ"ס, במשרד העבודה, הרווחה והשירותים החברתיים ועם כלכלנים מהאקדמיה</w:t>
      </w:r>
      <w:r>
        <w:rPr>
          <w:rFonts w:hint="cs"/>
          <w:rtl/>
        </w:rPr>
        <w:t xml:space="preserve"> עולה כי</w:t>
      </w:r>
      <w:r w:rsidRPr="00214B83">
        <w:rPr>
          <w:rFonts w:hint="cs"/>
          <w:rtl/>
        </w:rPr>
        <w:t xml:space="preserve"> </w:t>
      </w:r>
      <w:r>
        <w:rPr>
          <w:rFonts w:hint="cs"/>
          <w:rtl/>
        </w:rPr>
        <w:t xml:space="preserve">אפשר להבטיח שלא יחסרו נתונים זמינים ושוטפים, וזאת בהתבסס על העובדה </w:t>
      </w:r>
      <w:r w:rsidRPr="00214B83">
        <w:rPr>
          <w:rFonts w:hint="cs"/>
          <w:rtl/>
        </w:rPr>
        <w:t xml:space="preserve">שלבט"ל </w:t>
      </w:r>
      <w:r w:rsidRPr="007D60D5">
        <w:rPr>
          <w:rFonts w:hint="eastAsia"/>
          <w:rtl/>
        </w:rPr>
        <w:t>היכולת</w:t>
      </w:r>
      <w:r w:rsidRPr="00A26843">
        <w:rPr>
          <w:rFonts w:hint="cs"/>
          <w:rtl/>
        </w:rPr>
        <w:t xml:space="preserve"> לקבל</w:t>
      </w:r>
      <w:r>
        <w:rPr>
          <w:rFonts w:hint="cs"/>
          <w:rtl/>
        </w:rPr>
        <w:t xml:space="preserve"> מהמעסיקים</w:t>
      </w:r>
      <w:r w:rsidRPr="00A26843">
        <w:rPr>
          <w:rFonts w:hint="cs"/>
          <w:rtl/>
        </w:rPr>
        <w:t>, ב"זמן אמת",</w:t>
      </w:r>
      <w:r w:rsidRPr="005C62C8">
        <w:rPr>
          <w:rFonts w:hint="cs"/>
          <w:rtl/>
        </w:rPr>
        <w:t xml:space="preserve"> נתונים אישיים ורלוונטיים על כל מועסק בישראל</w:t>
      </w:r>
      <w:r>
        <w:rPr>
          <w:rFonts w:hint="cs"/>
          <w:rtl/>
        </w:rPr>
        <w:t xml:space="preserve">. קבלת דיווח שוטף יכולה להוות תשתית </w:t>
      </w:r>
      <w:r w:rsidRPr="00A26843">
        <w:rPr>
          <w:rFonts w:hint="cs"/>
          <w:rtl/>
        </w:rPr>
        <w:t>ליצירת תמונת המצב הנדרשת</w:t>
      </w:r>
      <w:r>
        <w:rPr>
          <w:rFonts w:hint="cs"/>
          <w:rtl/>
        </w:rPr>
        <w:t xml:space="preserve"> לשם קבלת החלטות על תמיכה באוכלוסיות נזקקות ועל תמריץ חזרה לעבודה, כמפורט להלן.</w:t>
      </w:r>
    </w:p>
    <w:p w:rsidR="00310493" w:rsidP="00E06FBE">
      <w:pPr>
        <w:pStyle w:val="running-text"/>
        <w:bidi/>
        <w:rPr>
          <w:rtl/>
        </w:rPr>
      </w:pPr>
    </w:p>
    <w:p w:rsidR="00310493" w:rsidP="00310493">
      <w:pPr>
        <w:pStyle w:val="KOT4"/>
        <w:keepLines/>
        <w:rPr>
          <w:rtl/>
        </w:rPr>
      </w:pPr>
      <w:r>
        <w:rPr>
          <w:rFonts w:hint="cs"/>
          <w:rtl/>
        </w:rPr>
        <w:t>דיווח מעסיקים חודשי</w:t>
      </w:r>
    </w:p>
    <w:p w:rsidR="00310493" w:rsidP="00E06FBE">
      <w:pPr>
        <w:pStyle w:val="running-text"/>
        <w:bidi/>
      </w:pPr>
      <w:r w:rsidRPr="00AD7825">
        <w:rPr>
          <w:rFonts w:hint="cs"/>
          <w:rtl/>
        </w:rPr>
        <w:t xml:space="preserve">הסמכות לדרוש מהמעסיקים דיווח פרטני על שכר עובדיהם </w:t>
      </w:r>
      <w:r>
        <w:rPr>
          <w:rFonts w:hint="cs"/>
          <w:rtl/>
        </w:rPr>
        <w:t>מדי</w:t>
      </w:r>
      <w:r w:rsidRPr="00AD7825">
        <w:rPr>
          <w:rFonts w:hint="cs"/>
          <w:rtl/>
        </w:rPr>
        <w:t xml:space="preserve"> חודש</w:t>
      </w:r>
      <w:r>
        <w:rPr>
          <w:rFonts w:hint="cs"/>
          <w:rtl/>
        </w:rPr>
        <w:t xml:space="preserve"> בחודשו</w:t>
      </w:r>
      <w:r w:rsidRPr="00AD7825">
        <w:rPr>
          <w:rFonts w:hint="cs"/>
          <w:rtl/>
        </w:rPr>
        <w:t xml:space="preserve"> </w:t>
      </w:r>
      <w:r>
        <w:rPr>
          <w:rFonts w:hint="cs"/>
          <w:rtl/>
        </w:rPr>
        <w:t>נקבעה</w:t>
      </w:r>
      <w:r w:rsidRPr="00AD7825">
        <w:rPr>
          <w:rFonts w:hint="cs"/>
          <w:rtl/>
        </w:rPr>
        <w:t xml:space="preserve"> ב</w:t>
      </w:r>
      <w:r w:rsidRPr="00AD7825">
        <w:rPr>
          <w:rtl/>
        </w:rPr>
        <w:t>סעיף 8(א) לתקנות הביטוח הלאומי (גביית דמי ביטוח), התשי"ד-1954</w:t>
      </w:r>
      <w:r w:rsidRPr="00AD7825">
        <w:rPr>
          <w:rFonts w:hint="cs"/>
          <w:rtl/>
        </w:rPr>
        <w:t xml:space="preserve"> (להלן</w:t>
      </w:r>
      <w:r>
        <w:rPr>
          <w:rFonts w:hint="cs"/>
          <w:rtl/>
        </w:rPr>
        <w:t xml:space="preserve"> </w:t>
      </w:r>
      <w:r w:rsidRPr="00AD7825">
        <w:rPr>
          <w:rFonts w:hint="cs"/>
          <w:rtl/>
        </w:rPr>
        <w:t xml:space="preserve">- תקנות </w:t>
      </w:r>
      <w:r>
        <w:rPr>
          <w:rFonts w:hint="cs"/>
          <w:rtl/>
        </w:rPr>
        <w:t>ה</w:t>
      </w:r>
      <w:r w:rsidRPr="00AD7825">
        <w:rPr>
          <w:rFonts w:hint="cs"/>
          <w:rtl/>
        </w:rPr>
        <w:t>גבייה)</w:t>
      </w:r>
      <w:r>
        <w:rPr>
          <w:rFonts w:hint="cs"/>
          <w:rtl/>
        </w:rPr>
        <w:t>. לפי תקנות</w:t>
      </w:r>
      <w:r w:rsidRPr="00AD7825">
        <w:rPr>
          <w:rtl/>
        </w:rPr>
        <w:t xml:space="preserve"> </w:t>
      </w:r>
      <w:r>
        <w:rPr>
          <w:rFonts w:hint="cs"/>
          <w:rtl/>
        </w:rPr>
        <w:t xml:space="preserve">הגבייה </w:t>
      </w:r>
      <w:r w:rsidRPr="00AD7825">
        <w:rPr>
          <w:rtl/>
        </w:rPr>
        <w:t xml:space="preserve">במועד תשלום דמי הביטוח </w:t>
      </w:r>
      <w:r w:rsidRPr="00AD7825">
        <w:rPr>
          <w:rFonts w:hint="cs"/>
          <w:rtl/>
        </w:rPr>
        <w:t xml:space="preserve">(שמשולמים פעם בחודש) </w:t>
      </w:r>
      <w:r w:rsidRPr="00AD7825">
        <w:rPr>
          <w:rtl/>
        </w:rPr>
        <w:t xml:space="preserve">על כל מעסיק להגיש לבט"ל דוח על השכר ששילם לכל אחד </w:t>
      </w:r>
      <w:r>
        <w:rPr>
          <w:rFonts w:hint="cs"/>
          <w:rtl/>
        </w:rPr>
        <w:t xml:space="preserve">מעובדיו </w:t>
      </w:r>
      <w:r w:rsidRPr="00AD7825">
        <w:rPr>
          <w:rtl/>
        </w:rPr>
        <w:t>בפרק הזמן שלגביו מוגש הדוח.</w:t>
      </w:r>
      <w:r w:rsidRPr="00AD7825">
        <w:rPr>
          <w:rFonts w:hint="cs"/>
          <w:rtl/>
        </w:rPr>
        <w:t xml:space="preserve"> </w:t>
      </w:r>
    </w:p>
    <w:p w:rsidR="00310493" w:rsidP="00E06FBE">
      <w:pPr>
        <w:pStyle w:val="running-text"/>
        <w:bidi/>
      </w:pPr>
      <w:r>
        <w:rPr>
          <w:rFonts w:hint="cs"/>
          <w:rtl/>
        </w:rPr>
        <w:t>משרד מבקר המדינה עסק בסוגיה זו במפורט בדוח על אי-מיצוי זכויות חברתיות שהתפרסם במאי 2015</w:t>
      </w:r>
      <w:r>
        <w:rPr>
          <w:rStyle w:val="FootnoteReference1"/>
          <w:rtl/>
        </w:rPr>
        <w:footnoteReference w:id="6"/>
      </w:r>
      <w:r>
        <w:rPr>
          <w:rFonts w:hint="cs"/>
          <w:rtl/>
        </w:rPr>
        <w:t xml:space="preserve"> (להלן - הדוח על אי-מיצוי זכויות). שם צוין כי </w:t>
      </w:r>
      <w:r w:rsidRPr="001F6AC5">
        <w:rPr>
          <w:rtl/>
        </w:rPr>
        <w:t xml:space="preserve">אף שלפי התקנות האמורות על </w:t>
      </w:r>
      <w:r>
        <w:rPr>
          <w:rFonts w:hint="cs"/>
          <w:rtl/>
        </w:rPr>
        <w:t>ה</w:t>
      </w:r>
      <w:r w:rsidRPr="001F6AC5">
        <w:rPr>
          <w:rtl/>
        </w:rPr>
        <w:t>מע</w:t>
      </w:r>
      <w:r w:rsidRPr="001F6AC5">
        <w:rPr>
          <w:rFonts w:hint="cs"/>
          <w:rtl/>
        </w:rPr>
        <w:t>סיק</w:t>
      </w:r>
      <w:r w:rsidRPr="001F6AC5">
        <w:rPr>
          <w:rtl/>
        </w:rPr>
        <w:t xml:space="preserve"> לדווח ל</w:t>
      </w:r>
      <w:r w:rsidRPr="001F6AC5">
        <w:rPr>
          <w:rFonts w:hint="cs"/>
          <w:rtl/>
        </w:rPr>
        <w:t>בט"ל</w:t>
      </w:r>
      <w:r w:rsidRPr="001F6AC5">
        <w:rPr>
          <w:rtl/>
        </w:rPr>
        <w:t xml:space="preserve"> מדי חודש בחודש</w:t>
      </w:r>
      <w:r w:rsidRPr="001F6AC5">
        <w:rPr>
          <w:rFonts w:hint="cs"/>
          <w:rtl/>
        </w:rPr>
        <w:t>ו</w:t>
      </w:r>
      <w:r w:rsidRPr="001F6AC5">
        <w:rPr>
          <w:rtl/>
        </w:rPr>
        <w:t xml:space="preserve"> על השכר ששילם לכל אחד מעובדיו, </w:t>
      </w:r>
      <w:r w:rsidRPr="001F6AC5">
        <w:rPr>
          <w:rFonts w:hint="cs"/>
          <w:rtl/>
        </w:rPr>
        <w:t xml:space="preserve">בט"ל קבע כי </w:t>
      </w:r>
      <w:r w:rsidRPr="001F6AC5">
        <w:rPr>
          <w:rtl/>
        </w:rPr>
        <w:t>בד</w:t>
      </w:r>
      <w:r w:rsidRPr="001F6AC5">
        <w:rPr>
          <w:rFonts w:hint="cs"/>
          <w:rtl/>
        </w:rPr>
        <w:t>וח</w:t>
      </w:r>
      <w:r w:rsidRPr="001F6AC5">
        <w:rPr>
          <w:rtl/>
        </w:rPr>
        <w:t xml:space="preserve"> שיגיש </w:t>
      </w:r>
      <w:r w:rsidRPr="001F6AC5">
        <w:rPr>
          <w:rFonts w:hint="cs"/>
          <w:rtl/>
        </w:rPr>
        <w:t xml:space="preserve">לו </w:t>
      </w:r>
      <w:r>
        <w:rPr>
          <w:rFonts w:hint="cs"/>
          <w:rtl/>
        </w:rPr>
        <w:t>ה</w:t>
      </w:r>
      <w:r w:rsidRPr="001F6AC5">
        <w:rPr>
          <w:rtl/>
        </w:rPr>
        <w:t>מע</w:t>
      </w:r>
      <w:r w:rsidRPr="001F6AC5">
        <w:rPr>
          <w:rFonts w:hint="cs"/>
          <w:rtl/>
        </w:rPr>
        <w:t>סיק</w:t>
      </w:r>
      <w:r w:rsidRPr="001F6AC5">
        <w:rPr>
          <w:rtl/>
        </w:rPr>
        <w:t xml:space="preserve"> בכל חודש (טופס 102) </w:t>
      </w:r>
      <w:r>
        <w:rPr>
          <w:rFonts w:hint="cs"/>
          <w:rtl/>
        </w:rPr>
        <w:t xml:space="preserve">לא יפורט השכר ששולם לכל עובד בנפרד אלא </w:t>
      </w:r>
      <w:r w:rsidRPr="001F6AC5">
        <w:rPr>
          <w:rtl/>
        </w:rPr>
        <w:t xml:space="preserve">יצוין המספר הכולל של העובדים </w:t>
      </w:r>
      <w:r>
        <w:rPr>
          <w:rFonts w:hint="cs"/>
          <w:rtl/>
        </w:rPr>
        <w:t xml:space="preserve">המועסקים </w:t>
      </w:r>
      <w:r w:rsidRPr="001F6AC5">
        <w:rPr>
          <w:rtl/>
        </w:rPr>
        <w:t>והשכר הכולל ששולם להם</w:t>
      </w:r>
      <w:r>
        <w:rPr>
          <w:rStyle w:val="FootnoteReference1"/>
          <w:rtl/>
        </w:rPr>
        <w:footnoteReference w:id="7"/>
      </w:r>
      <w:r>
        <w:rPr>
          <w:rFonts w:hint="cs"/>
          <w:rtl/>
        </w:rPr>
        <w:t>.</w:t>
      </w:r>
      <w:r w:rsidRPr="001F6AC5">
        <w:rPr>
          <w:rtl/>
        </w:rPr>
        <w:t xml:space="preserve"> </w:t>
      </w:r>
      <w:r w:rsidRPr="001F6AC5">
        <w:rPr>
          <w:rFonts w:hint="cs"/>
          <w:rtl/>
        </w:rPr>
        <w:t>ב</w:t>
      </w:r>
      <w:r>
        <w:rPr>
          <w:rFonts w:hint="cs"/>
          <w:rtl/>
        </w:rPr>
        <w:t>תגובה שהעביר בט"ל בדצמבר 2014 למשרד מבקר המדינה על ממצאי הביקורת הוא</w:t>
      </w:r>
      <w:r w:rsidRPr="001F6AC5">
        <w:rPr>
          <w:rtl/>
        </w:rPr>
        <w:t xml:space="preserve"> </w:t>
      </w:r>
      <w:r w:rsidRPr="001F6AC5">
        <w:rPr>
          <w:rFonts w:hint="cs"/>
          <w:rtl/>
        </w:rPr>
        <w:t>ציין</w:t>
      </w:r>
      <w:r w:rsidRPr="001F6AC5">
        <w:rPr>
          <w:rtl/>
        </w:rPr>
        <w:t xml:space="preserve"> </w:t>
      </w:r>
      <w:r w:rsidRPr="001F6AC5">
        <w:rPr>
          <w:rFonts w:hint="cs"/>
          <w:rtl/>
        </w:rPr>
        <w:t xml:space="preserve">כי בחוק ובתקנות אין חובת דיווח באופן ממוכן, והוא "אינו ערוך לקליטת כמות הנתונים העצומה, באופן ידני". בט"ל הוסיף כי הדיווח החודשי </w:t>
      </w:r>
      <w:r>
        <w:rPr>
          <w:rFonts w:hint="cs"/>
          <w:rtl/>
        </w:rPr>
        <w:t xml:space="preserve">(השוטף) </w:t>
      </w:r>
      <w:r w:rsidRPr="001F6AC5">
        <w:rPr>
          <w:rFonts w:hint="cs"/>
          <w:rtl/>
        </w:rPr>
        <w:t>על הכנסות עובדים שכירים אינו דיווח מאומת וסופי</w:t>
      </w:r>
      <w:r>
        <w:rPr>
          <w:rFonts w:hint="cs"/>
          <w:rtl/>
        </w:rPr>
        <w:t>,</w:t>
      </w:r>
      <w:r w:rsidRPr="001F6AC5">
        <w:rPr>
          <w:rFonts w:hint="cs"/>
          <w:rtl/>
        </w:rPr>
        <w:t xml:space="preserve"> והשימוש בו בעייתי משום שבכל חודש נעשית התחשבנות על רכיבי שכר </w:t>
      </w:r>
      <w:r>
        <w:rPr>
          <w:rFonts w:hint="cs"/>
          <w:rtl/>
        </w:rPr>
        <w:t>הרלוונטיים ל</w:t>
      </w:r>
      <w:r w:rsidRPr="001F6AC5">
        <w:rPr>
          <w:rFonts w:hint="cs"/>
          <w:rtl/>
        </w:rPr>
        <w:t xml:space="preserve">חודשים קודמים, כגון הפרשים, פרמיות ותיקוני שכר. לדבריו, ניסיונו בקליטת דיווח חודשי </w:t>
      </w:r>
      <w:r>
        <w:rPr>
          <w:rFonts w:hint="cs"/>
          <w:rtl/>
        </w:rPr>
        <w:t>שוטף הנוגע ל</w:t>
      </w:r>
      <w:r w:rsidRPr="001F6AC5">
        <w:rPr>
          <w:rFonts w:hint="cs"/>
          <w:rtl/>
        </w:rPr>
        <w:t>מעסיקים ש</w:t>
      </w:r>
      <w:r>
        <w:rPr>
          <w:rFonts w:hint="cs"/>
          <w:rtl/>
        </w:rPr>
        <w:t>להם</w:t>
      </w:r>
      <w:r w:rsidRPr="001F6AC5">
        <w:rPr>
          <w:rFonts w:hint="cs"/>
          <w:rtl/>
        </w:rPr>
        <w:t xml:space="preserve"> עד תשעה עובדים מלמד</w:t>
      </w:r>
      <w:r>
        <w:rPr>
          <w:rFonts w:hint="cs"/>
          <w:rtl/>
        </w:rPr>
        <w:t xml:space="preserve"> </w:t>
      </w:r>
      <w:r w:rsidRPr="001F6AC5">
        <w:rPr>
          <w:rFonts w:hint="cs"/>
          <w:rtl/>
        </w:rPr>
        <w:t xml:space="preserve">שקליטת הדיווח החודשי מצריכה טיפול פרטני בדיווחים שאינם ממוכנים, בדיווחים שגויים, בדיווחים שכוללים אי-התאמות בנתונים ועוד. </w:t>
      </w:r>
    </w:p>
    <w:p w:rsidR="00310493" w:rsidP="00E06FBE">
      <w:pPr>
        <w:pStyle w:val="running-text"/>
        <w:bidi/>
        <w:rPr>
          <w:sz w:val="22"/>
        </w:rPr>
      </w:pPr>
      <w:r w:rsidRPr="00427669">
        <w:rPr>
          <w:rFonts w:hint="cs"/>
          <w:sz w:val="22"/>
          <w:rtl/>
        </w:rPr>
        <w:t xml:space="preserve">ראוי לציין שכבר באפריל 2007 הגישה המועצה הלאומית לכלכלה לממשלה מסמך שכותרתו </w:t>
      </w:r>
      <w:r w:rsidRPr="00427669">
        <w:rPr>
          <w:sz w:val="22"/>
          <w:rtl/>
        </w:rPr>
        <w:t>"אג'נדה כלכלית חברתית לישראל 20</w:t>
      </w:r>
      <w:r>
        <w:rPr>
          <w:rFonts w:hint="cs"/>
          <w:sz w:val="22"/>
          <w:rtl/>
        </w:rPr>
        <w:t xml:space="preserve">08 </w:t>
      </w:r>
      <w:r w:rsidRPr="00427669">
        <w:rPr>
          <w:sz w:val="22"/>
          <w:rtl/>
        </w:rPr>
        <w:t>-</w:t>
      </w:r>
      <w:r>
        <w:rPr>
          <w:rFonts w:hint="cs"/>
          <w:sz w:val="22"/>
          <w:rtl/>
        </w:rPr>
        <w:t xml:space="preserve"> </w:t>
      </w:r>
      <w:r w:rsidRPr="00427669">
        <w:rPr>
          <w:sz w:val="22"/>
          <w:rtl/>
        </w:rPr>
        <w:t>20</w:t>
      </w:r>
      <w:r>
        <w:rPr>
          <w:rFonts w:hint="cs"/>
          <w:sz w:val="22"/>
          <w:rtl/>
        </w:rPr>
        <w:t>10</w:t>
      </w:r>
      <w:r w:rsidRPr="00427669">
        <w:rPr>
          <w:sz w:val="22"/>
          <w:rtl/>
        </w:rPr>
        <w:t>"</w:t>
      </w:r>
      <w:r>
        <w:rPr>
          <w:rStyle w:val="FootnoteReference1"/>
          <w:sz w:val="22"/>
          <w:rtl/>
        </w:rPr>
        <w:footnoteReference w:id="8"/>
      </w:r>
      <w:r w:rsidRPr="00427669">
        <w:rPr>
          <w:rFonts w:hint="cs"/>
          <w:sz w:val="22"/>
          <w:rtl/>
        </w:rPr>
        <w:t>. במסמך המליצה המועצה,</w:t>
      </w:r>
      <w:r w:rsidRPr="00427669">
        <w:rPr>
          <w:sz w:val="22"/>
          <w:rtl/>
        </w:rPr>
        <w:t xml:space="preserve"> </w:t>
      </w:r>
      <w:r w:rsidRPr="00427669">
        <w:rPr>
          <w:rFonts w:hint="cs"/>
          <w:sz w:val="22"/>
          <w:rtl/>
        </w:rPr>
        <w:t>בין היתר, להקים תשתית מידע ראויה וזמינה על הכנסות משקי הבית מכלל המקורות וציינה כי קיומה של תשתית כז</w:t>
      </w:r>
      <w:r>
        <w:rPr>
          <w:rFonts w:hint="cs"/>
          <w:sz w:val="22"/>
          <w:rtl/>
        </w:rPr>
        <w:t>ו</w:t>
      </w:r>
      <w:r w:rsidRPr="00427669">
        <w:rPr>
          <w:rFonts w:hint="cs"/>
          <w:sz w:val="22"/>
          <w:rtl/>
        </w:rPr>
        <w:t xml:space="preserve"> הוא תנאי הכרחי ובסיסי לטיפול יעיל בבעיית העוני ולתקינות שלטונית. עוד ציינה המועצה כי חסרונו העיקרי של טופס 102 הוא שהדיווח "אינו ברמת העובד הבודד", וכי רבים מהדיווחים של המעסיקים מעוב</w:t>
      </w:r>
      <w:r>
        <w:rPr>
          <w:rFonts w:hint="cs"/>
          <w:sz w:val="22"/>
          <w:rtl/>
        </w:rPr>
        <w:t>ָּ</w:t>
      </w:r>
      <w:r w:rsidRPr="00427669">
        <w:rPr>
          <w:rFonts w:hint="cs"/>
          <w:sz w:val="22"/>
          <w:rtl/>
        </w:rPr>
        <w:t>דים בפיגור של שנה ו</w:t>
      </w:r>
      <w:r>
        <w:rPr>
          <w:rFonts w:hint="cs"/>
          <w:sz w:val="22"/>
          <w:rtl/>
        </w:rPr>
        <w:t>מעלה</w:t>
      </w:r>
      <w:r w:rsidRPr="00427669">
        <w:rPr>
          <w:rFonts w:hint="cs"/>
          <w:sz w:val="22"/>
          <w:rtl/>
        </w:rPr>
        <w:t>.</w:t>
      </w:r>
    </w:p>
    <w:p w:rsidR="00310493" w:rsidRPr="00BB0207" w:rsidP="00E06FBE">
      <w:pPr>
        <w:pStyle w:val="running-text"/>
        <w:bidi/>
        <w:rPr>
          <w:b/>
          <w:bCs/>
        </w:rPr>
      </w:pPr>
      <w:r>
        <w:rPr>
          <w:rFonts w:hint="cs"/>
          <w:rtl/>
        </w:rPr>
        <w:t>בינואר 2016, כחצי שנה לאחר שהתפרסם הדוח על אי-מיצוי זכויות חברתיות</w:t>
      </w:r>
      <w:r w:rsidRPr="00ED1BA0">
        <w:rPr>
          <w:rFonts w:hint="cs"/>
          <w:rtl/>
        </w:rPr>
        <w:t xml:space="preserve"> ובעקבות תיקון חקיקה </w:t>
      </w:r>
      <w:r>
        <w:rPr>
          <w:rFonts w:hint="cs"/>
          <w:rtl/>
        </w:rPr>
        <w:t xml:space="preserve">של סעיף 355 בחוק </w:t>
      </w:r>
      <w:r w:rsidRPr="007955F5">
        <w:rPr>
          <w:rtl/>
        </w:rPr>
        <w:t>הביטוח הלאומי [נוסח משולב], התשנ"ה-1995</w:t>
      </w:r>
      <w:r>
        <w:rPr>
          <w:rFonts w:hint="cs"/>
          <w:rtl/>
        </w:rPr>
        <w:t xml:space="preserve"> (להלן</w:t>
      </w:r>
      <w:r w:rsidR="00503A45">
        <w:rPr>
          <w:rFonts w:hint="cs"/>
          <w:rtl/>
        </w:rPr>
        <w:t xml:space="preserve"> </w:t>
      </w:r>
      <w:r>
        <w:rPr>
          <w:rFonts w:hint="cs"/>
          <w:rtl/>
        </w:rPr>
        <w:t>- חוק הביטוח הלאומי),</w:t>
      </w:r>
      <w:r w:rsidRPr="00ED1BA0">
        <w:rPr>
          <w:rFonts w:hint="cs"/>
          <w:rtl/>
        </w:rPr>
        <w:t xml:space="preserve"> החל ב</w:t>
      </w:r>
      <w:r>
        <w:rPr>
          <w:rFonts w:hint="cs"/>
          <w:rtl/>
        </w:rPr>
        <w:t>ט"ל לדרוש מהמעסיקים לדווח לו, נוסף על הדיווח החודשי הכולל על כל המועסקים ושכרם, גם דיווח מפורט על כל עובד ושכרו המצטבר אחת לשישה חודשים (בטופס 126 חציוני). הדיווח נעשה בשלושה מועדים: עד 18 ביולי לגבי ינואר עד יוני של אותה שנה; עד 18 בינואר לגבי ינואר עד דצמבר של השנה שקדמה; וכן המעסיק מחויב לדווח עד 30 באפריל בכל שנה לגבי שנת המס שקדמה לה (דיווח זה תואם לדיווח לרשות המיסים).</w:t>
      </w:r>
      <w:r w:rsidRPr="000A45BA">
        <w:rPr>
          <w:rFonts w:hint="cs"/>
          <w:rtl/>
        </w:rPr>
        <w:t xml:space="preserve"> </w:t>
      </w:r>
    </w:p>
    <w:p w:rsidR="00310493" w:rsidP="00E06FBE">
      <w:pPr>
        <w:pStyle w:val="running-text"/>
        <w:bidi/>
        <w:rPr>
          <w:b/>
          <w:bCs/>
        </w:rPr>
      </w:pPr>
      <w:r>
        <w:rPr>
          <w:rFonts w:hint="cs"/>
          <w:rtl/>
        </w:rPr>
        <w:t>תיקון זה תרם לשיפור רמת הדיווח</w:t>
      </w:r>
      <w:r w:rsidRPr="003F3DEC">
        <w:rPr>
          <w:rFonts w:hint="cs"/>
          <w:rtl/>
        </w:rPr>
        <w:t xml:space="preserve"> </w:t>
      </w:r>
      <w:r>
        <w:rPr>
          <w:rFonts w:hint="cs"/>
          <w:rtl/>
        </w:rPr>
        <w:t xml:space="preserve">על מצבם התעסוקתי של העובדים במשק, כך שתמונת המצב המדווחת נכונה </w:t>
      </w:r>
      <w:r w:rsidRPr="00A26843">
        <w:rPr>
          <w:rFonts w:hint="cs"/>
          <w:rtl/>
        </w:rPr>
        <w:t>ל</w:t>
      </w:r>
      <w:r>
        <w:rPr>
          <w:rFonts w:hint="cs"/>
          <w:rtl/>
        </w:rPr>
        <w:t>ששת החודשים הקודמים לחודש הדיווח ולא לשנה הקודמת לו</w:t>
      </w:r>
      <w:r w:rsidRPr="00A26843">
        <w:rPr>
          <w:rFonts w:hint="cs"/>
          <w:rtl/>
        </w:rPr>
        <w:t>,</w:t>
      </w:r>
      <w:r>
        <w:rPr>
          <w:rFonts w:hint="cs"/>
          <w:rtl/>
        </w:rPr>
        <w:t xml:space="preserve"> ואולם מדובר בדיווח שבדיעבד ולא בדיווח חודשי עדכני ושוטף</w:t>
      </w:r>
      <w:r>
        <w:rPr>
          <w:rStyle w:val="FootnoteReference1"/>
          <w:rtl/>
        </w:rPr>
        <w:footnoteReference w:id="9"/>
      </w:r>
      <w:r>
        <w:rPr>
          <w:rFonts w:hint="cs"/>
          <w:rtl/>
        </w:rPr>
        <w:t>. כך למשל אם בחודש ינואר בשנה מסוימת עובד הפסיק לעבוד או החליף עבודה, אזי בט"ל יתוודע לכך רק לאחר כחצי שנה - ביולי של אותה שנה. המשמעות, ברמה המקרו-כלכלית, היא חוסר בנתונים זמינים ואמינים שעל בסיסם ניתן לקבל החלטות מדיניות מיידיות. צורך זה חיוני במיוחד בעת משבר כלכלי.</w:t>
      </w:r>
    </w:p>
    <w:p w:rsidR="00310493" w:rsidP="00E06FBE">
      <w:pPr>
        <w:pStyle w:val="running-text"/>
        <w:bidi/>
        <w:spacing w:after="240"/>
        <w:rPr>
          <w:b/>
          <w:bCs/>
        </w:rPr>
      </w:pPr>
      <w:r w:rsidRPr="000A45BA">
        <w:rPr>
          <w:rFonts w:hint="cs"/>
          <w:rtl/>
        </w:rPr>
        <w:t xml:space="preserve">יצוין לחיוב כי </w:t>
      </w:r>
      <w:r>
        <w:rPr>
          <w:rFonts w:hint="cs"/>
          <w:rtl/>
        </w:rPr>
        <w:t xml:space="preserve">בעת משבר הקורונה השתמש </w:t>
      </w:r>
      <w:r w:rsidRPr="000A45BA">
        <w:rPr>
          <w:rFonts w:hint="cs"/>
          <w:rtl/>
        </w:rPr>
        <w:t xml:space="preserve">בט"ל </w:t>
      </w:r>
      <w:r>
        <w:rPr>
          <w:rFonts w:hint="cs"/>
          <w:rtl/>
        </w:rPr>
        <w:t xml:space="preserve">בממשק מקוון שאיפשר לקבל </w:t>
      </w:r>
      <w:r w:rsidRPr="000A45BA">
        <w:rPr>
          <w:rFonts w:hint="cs"/>
          <w:rtl/>
        </w:rPr>
        <w:t>דיווחים מקוונים ישירות מ</w:t>
      </w:r>
      <w:r>
        <w:rPr>
          <w:rFonts w:hint="cs"/>
          <w:rtl/>
        </w:rPr>
        <w:t>ה</w:t>
      </w:r>
      <w:r w:rsidRPr="000A45BA">
        <w:rPr>
          <w:rFonts w:hint="cs"/>
          <w:rtl/>
        </w:rPr>
        <w:t>מעסיקים על העובדים ש</w:t>
      </w:r>
      <w:r>
        <w:rPr>
          <w:rFonts w:hint="cs"/>
          <w:rtl/>
        </w:rPr>
        <w:t xml:space="preserve">הם הוציאו </w:t>
      </w:r>
      <w:r w:rsidRPr="000A45BA">
        <w:rPr>
          <w:rFonts w:hint="cs"/>
          <w:rtl/>
        </w:rPr>
        <w:t>לחל"ת</w:t>
      </w:r>
      <w:r>
        <w:rPr>
          <w:rFonts w:hint="cs"/>
          <w:rtl/>
        </w:rPr>
        <w:t xml:space="preserve"> (טופס 100). בשיטה זו העבירו המעסיקים מאות אלפי דיווחים מקוונים לבט"ל על העובדים שיצאו לחל"ת או פוטרו; הדיווח כלל את פרטי העובד ונתוני שכר חודשיים </w:t>
      </w:r>
      <w:r w:rsidRPr="000A45BA">
        <w:rPr>
          <w:rFonts w:hint="cs"/>
          <w:rtl/>
        </w:rPr>
        <w:t xml:space="preserve">של </w:t>
      </w:r>
      <w:r w:rsidRPr="00761874">
        <w:rPr>
          <w:rFonts w:hint="cs"/>
          <w:rtl/>
        </w:rPr>
        <w:t>העובדים</w:t>
      </w:r>
      <w:r>
        <w:rPr>
          <w:rFonts w:hint="cs"/>
          <w:rtl/>
        </w:rPr>
        <w:t xml:space="preserve"> ב</w:t>
      </w:r>
      <w:r w:rsidRPr="00761874">
        <w:rPr>
          <w:rFonts w:hint="cs"/>
          <w:rtl/>
        </w:rPr>
        <w:t>טרם המשבר</w:t>
      </w:r>
      <w:r>
        <w:rPr>
          <w:rFonts w:hint="cs"/>
          <w:rtl/>
        </w:rPr>
        <w:t>,</w:t>
      </w:r>
      <w:r w:rsidRPr="00761874">
        <w:rPr>
          <w:rFonts w:hint="cs"/>
          <w:rtl/>
        </w:rPr>
        <w:t xml:space="preserve"> וזאת </w:t>
      </w:r>
      <w:r>
        <w:rPr>
          <w:rFonts w:hint="cs"/>
          <w:rtl/>
        </w:rPr>
        <w:t>כדי</w:t>
      </w:r>
      <w:r w:rsidRPr="00761874">
        <w:rPr>
          <w:rFonts w:hint="cs"/>
          <w:rtl/>
        </w:rPr>
        <w:t xml:space="preserve"> </w:t>
      </w:r>
      <w:r>
        <w:rPr>
          <w:rFonts w:hint="cs"/>
          <w:rtl/>
        </w:rPr>
        <w:t xml:space="preserve">לא </w:t>
      </w:r>
      <w:r w:rsidRPr="00761874">
        <w:rPr>
          <w:rFonts w:hint="cs"/>
          <w:rtl/>
        </w:rPr>
        <w:t xml:space="preserve">להטריח את התובעים </w:t>
      </w:r>
      <w:r>
        <w:rPr>
          <w:rFonts w:hint="cs"/>
          <w:rtl/>
        </w:rPr>
        <w:t xml:space="preserve">דמי אבטלה </w:t>
      </w:r>
      <w:r w:rsidRPr="00761874">
        <w:rPr>
          <w:rFonts w:hint="cs"/>
          <w:rtl/>
        </w:rPr>
        <w:t>לצרף תלושי שכר</w:t>
      </w:r>
      <w:r>
        <w:rPr>
          <w:rStyle w:val="FootnoteReference1"/>
          <w:rtl/>
        </w:rPr>
        <w:footnoteReference w:id="10"/>
      </w:r>
      <w:r w:rsidRPr="00A26843">
        <w:rPr>
          <w:rFonts w:hint="cs"/>
          <w:rtl/>
        </w:rPr>
        <w:t xml:space="preserve">. </w:t>
      </w:r>
      <w:r w:rsidRPr="00ED1B6A">
        <w:rPr>
          <w:rFonts w:hint="cs"/>
          <w:rtl/>
        </w:rPr>
        <w:t>יודגש שמ</w:t>
      </w:r>
      <w:r>
        <w:rPr>
          <w:rFonts w:hint="cs"/>
          <w:rtl/>
        </w:rPr>
        <w:t>ה</w:t>
      </w:r>
      <w:r w:rsidRPr="00ED1B6A">
        <w:rPr>
          <w:rFonts w:hint="cs"/>
          <w:rtl/>
        </w:rPr>
        <w:t xml:space="preserve">בחינה </w:t>
      </w:r>
      <w:r>
        <w:rPr>
          <w:rFonts w:hint="cs"/>
          <w:rtl/>
        </w:rPr>
        <w:t>ה</w:t>
      </w:r>
      <w:r w:rsidRPr="00ED1B6A">
        <w:rPr>
          <w:rFonts w:hint="cs"/>
          <w:rtl/>
        </w:rPr>
        <w:t xml:space="preserve">טכנולוגית אין חסם המונע </w:t>
      </w:r>
      <w:r>
        <w:rPr>
          <w:rFonts w:hint="cs"/>
          <w:rtl/>
        </w:rPr>
        <w:t xml:space="preserve">מהמעסיקים </w:t>
      </w:r>
      <w:r w:rsidRPr="001D02C8">
        <w:rPr>
          <w:rFonts w:hint="eastAsia"/>
          <w:rtl/>
        </w:rPr>
        <w:t>ל</w:t>
      </w:r>
      <w:r>
        <w:rPr>
          <w:rFonts w:hint="cs"/>
          <w:rtl/>
        </w:rPr>
        <w:t>מסור</w:t>
      </w:r>
      <w:r w:rsidRPr="005C62C8">
        <w:rPr>
          <w:rFonts w:hint="cs"/>
          <w:rtl/>
        </w:rPr>
        <w:t xml:space="preserve"> לבט"ל </w:t>
      </w:r>
      <w:r w:rsidRPr="001D02C8">
        <w:rPr>
          <w:rFonts w:hint="eastAsia"/>
          <w:rtl/>
        </w:rPr>
        <w:t>את</w:t>
      </w:r>
      <w:r w:rsidRPr="00A26843">
        <w:rPr>
          <w:rFonts w:hint="cs"/>
          <w:rtl/>
        </w:rPr>
        <w:t xml:space="preserve"> מלוא </w:t>
      </w:r>
      <w:r w:rsidRPr="00ED1B6A">
        <w:rPr>
          <w:rFonts w:hint="cs"/>
          <w:rtl/>
        </w:rPr>
        <w:t xml:space="preserve">נתוני השכר </w:t>
      </w:r>
      <w:r w:rsidRPr="005C62C8">
        <w:rPr>
          <w:rFonts w:hint="cs"/>
          <w:rtl/>
        </w:rPr>
        <w:t xml:space="preserve">החודשיים לגבי כל עובד בין </w:t>
      </w:r>
      <w:r w:rsidRPr="001D02C8">
        <w:rPr>
          <w:rFonts w:hint="eastAsia"/>
          <w:rtl/>
        </w:rPr>
        <w:t>ש</w:t>
      </w:r>
      <w:r w:rsidRPr="00A26843">
        <w:rPr>
          <w:rFonts w:hint="cs"/>
          <w:rtl/>
        </w:rPr>
        <w:t>הו</w:t>
      </w:r>
      <w:r w:rsidRPr="00ED1B6A">
        <w:rPr>
          <w:rFonts w:hint="cs"/>
          <w:rtl/>
        </w:rPr>
        <w:t xml:space="preserve">א בחל"ת ובין </w:t>
      </w:r>
      <w:r w:rsidRPr="001D02C8">
        <w:rPr>
          <w:rFonts w:hint="eastAsia"/>
          <w:rtl/>
        </w:rPr>
        <w:t>שהוא</w:t>
      </w:r>
      <w:r w:rsidRPr="00A26843">
        <w:rPr>
          <w:rFonts w:hint="cs"/>
          <w:rtl/>
        </w:rPr>
        <w:t xml:space="preserve"> עדיין מועסק</w:t>
      </w:r>
      <w:r>
        <w:rPr>
          <w:rStyle w:val="FootnoteReference1"/>
          <w:rtl/>
        </w:rPr>
        <w:footnoteReference w:id="11"/>
      </w:r>
      <w:r w:rsidRPr="00A26843">
        <w:rPr>
          <w:rFonts w:hint="cs"/>
          <w:rtl/>
        </w:rPr>
        <w:t>.</w:t>
      </w:r>
      <w:r w:rsidRPr="00CA5C3B">
        <w:rPr>
          <w:rFonts w:hint="cs"/>
          <w:b/>
          <w:bCs/>
          <w:rtl/>
        </w:rPr>
        <w:t xml:space="preserve"> </w:t>
      </w:r>
    </w:p>
    <w:p w:rsidR="00310493" w:rsidRPr="00E06FBE" w:rsidP="00E06FBE">
      <w:pPr>
        <w:pStyle w:val="RESHET"/>
        <w:rPr>
          <w:sz w:val="18"/>
        </w:rPr>
      </w:pPr>
      <w:r w:rsidRPr="00E06FBE">
        <w:rPr>
          <w:rFonts w:hint="cs"/>
          <w:sz w:val="18"/>
          <w:rtl/>
        </w:rPr>
        <w:t>המסקנה העולה מהשימוש בטופס 100 בתקופת המשבר היא ש</w:t>
      </w:r>
      <w:r w:rsidRPr="00E06FBE">
        <w:rPr>
          <w:rFonts w:hint="eastAsia"/>
          <w:sz w:val="18"/>
          <w:rtl/>
        </w:rPr>
        <w:t>למעסיקים</w:t>
      </w:r>
      <w:r w:rsidRPr="00E06FBE">
        <w:rPr>
          <w:sz w:val="18"/>
          <w:rtl/>
        </w:rPr>
        <w:t xml:space="preserve"> </w:t>
      </w:r>
      <w:r w:rsidRPr="00E06FBE">
        <w:rPr>
          <w:rFonts w:hint="eastAsia"/>
          <w:sz w:val="18"/>
          <w:rtl/>
        </w:rPr>
        <w:t>יכולת</w:t>
      </w:r>
      <w:r w:rsidRPr="00E06FBE">
        <w:rPr>
          <w:sz w:val="18"/>
          <w:rtl/>
        </w:rPr>
        <w:t xml:space="preserve"> </w:t>
      </w:r>
      <w:r w:rsidRPr="00E06FBE">
        <w:rPr>
          <w:rFonts w:hint="eastAsia"/>
          <w:sz w:val="18"/>
          <w:rtl/>
        </w:rPr>
        <w:t>טכנולוגית</w:t>
      </w:r>
      <w:r w:rsidRPr="00E06FBE">
        <w:rPr>
          <w:sz w:val="18"/>
          <w:rtl/>
        </w:rPr>
        <w:t xml:space="preserve"> </w:t>
      </w:r>
      <w:r w:rsidRPr="00E06FBE">
        <w:rPr>
          <w:rFonts w:hint="eastAsia"/>
          <w:sz w:val="18"/>
          <w:rtl/>
        </w:rPr>
        <w:t>ל</w:t>
      </w:r>
      <w:r w:rsidRPr="00E06FBE">
        <w:rPr>
          <w:rFonts w:hint="cs"/>
          <w:sz w:val="18"/>
          <w:rtl/>
        </w:rPr>
        <w:t>מסור</w:t>
      </w:r>
      <w:r w:rsidRPr="00E06FBE">
        <w:rPr>
          <w:sz w:val="18"/>
          <w:rtl/>
        </w:rPr>
        <w:t xml:space="preserve"> </w:t>
      </w:r>
      <w:r w:rsidRPr="00E06FBE">
        <w:rPr>
          <w:rFonts w:hint="eastAsia"/>
          <w:sz w:val="18"/>
          <w:rtl/>
        </w:rPr>
        <w:t>לבט</w:t>
      </w:r>
      <w:r w:rsidRPr="00E06FBE">
        <w:rPr>
          <w:sz w:val="18"/>
          <w:rtl/>
        </w:rPr>
        <w:t xml:space="preserve">"ל </w:t>
      </w:r>
      <w:r w:rsidRPr="00E06FBE">
        <w:rPr>
          <w:rFonts w:hint="eastAsia"/>
          <w:sz w:val="18"/>
          <w:rtl/>
        </w:rPr>
        <w:t>נתוני</w:t>
      </w:r>
      <w:r w:rsidRPr="00E06FBE">
        <w:rPr>
          <w:sz w:val="18"/>
          <w:rtl/>
        </w:rPr>
        <w:t xml:space="preserve"> </w:t>
      </w:r>
      <w:r w:rsidRPr="00E06FBE">
        <w:rPr>
          <w:rFonts w:hint="eastAsia"/>
          <w:sz w:val="18"/>
          <w:rtl/>
        </w:rPr>
        <w:t>שכר</w:t>
      </w:r>
      <w:r w:rsidRPr="00E06FBE">
        <w:rPr>
          <w:sz w:val="18"/>
          <w:rtl/>
        </w:rPr>
        <w:t xml:space="preserve"> </w:t>
      </w:r>
      <w:r w:rsidRPr="00E06FBE">
        <w:rPr>
          <w:rFonts w:hint="cs"/>
          <w:sz w:val="18"/>
          <w:rtl/>
        </w:rPr>
        <w:t xml:space="preserve">חודשיים </w:t>
      </w:r>
      <w:r w:rsidRPr="00E06FBE">
        <w:rPr>
          <w:rFonts w:hint="eastAsia"/>
          <w:sz w:val="18"/>
          <w:rtl/>
        </w:rPr>
        <w:t>על</w:t>
      </w:r>
      <w:r w:rsidRPr="00E06FBE">
        <w:rPr>
          <w:sz w:val="18"/>
          <w:rtl/>
        </w:rPr>
        <w:t xml:space="preserve"> </w:t>
      </w:r>
      <w:r w:rsidRPr="00E06FBE">
        <w:rPr>
          <w:rFonts w:hint="eastAsia"/>
          <w:sz w:val="18"/>
          <w:rtl/>
        </w:rPr>
        <w:t>העובדים</w:t>
      </w:r>
      <w:r w:rsidRPr="00E06FBE">
        <w:rPr>
          <w:sz w:val="18"/>
          <w:rtl/>
        </w:rPr>
        <w:t xml:space="preserve"> </w:t>
      </w:r>
      <w:r w:rsidRPr="00E06FBE">
        <w:rPr>
          <w:rFonts w:hint="eastAsia"/>
          <w:sz w:val="18"/>
          <w:rtl/>
        </w:rPr>
        <w:t>ש</w:t>
      </w:r>
      <w:r w:rsidRPr="00E06FBE">
        <w:rPr>
          <w:rFonts w:hint="cs"/>
          <w:sz w:val="18"/>
          <w:rtl/>
        </w:rPr>
        <w:t xml:space="preserve">הם </w:t>
      </w:r>
      <w:r w:rsidRPr="00E06FBE">
        <w:rPr>
          <w:rFonts w:hint="eastAsia"/>
          <w:sz w:val="18"/>
          <w:rtl/>
        </w:rPr>
        <w:t>מעס</w:t>
      </w:r>
      <w:r w:rsidRPr="00E06FBE">
        <w:rPr>
          <w:rFonts w:hint="cs"/>
          <w:sz w:val="18"/>
          <w:rtl/>
        </w:rPr>
        <w:t>י</w:t>
      </w:r>
      <w:r w:rsidRPr="00E06FBE">
        <w:rPr>
          <w:rFonts w:hint="eastAsia"/>
          <w:sz w:val="18"/>
          <w:rtl/>
        </w:rPr>
        <w:t>קים</w:t>
      </w:r>
      <w:r w:rsidRPr="00E06FBE">
        <w:rPr>
          <w:rFonts w:hint="cs"/>
          <w:sz w:val="18"/>
          <w:rtl/>
        </w:rPr>
        <w:t>,</w:t>
      </w:r>
      <w:r w:rsidRPr="00E06FBE">
        <w:rPr>
          <w:sz w:val="18"/>
          <w:rtl/>
        </w:rPr>
        <w:t xml:space="preserve"> </w:t>
      </w:r>
      <w:r w:rsidRPr="00E06FBE">
        <w:rPr>
          <w:rFonts w:hint="cs"/>
          <w:sz w:val="18"/>
          <w:rtl/>
        </w:rPr>
        <w:t xml:space="preserve">ובהתאם לבט"ל יש יכולת טכנולוגית לקלוט דיווחי שכר </w:t>
      </w:r>
      <w:r w:rsidRPr="00E06FBE">
        <w:rPr>
          <w:rFonts w:hint="eastAsia"/>
          <w:sz w:val="18"/>
          <w:rtl/>
        </w:rPr>
        <w:t>חודשיים</w:t>
      </w:r>
      <w:r w:rsidRPr="00E06FBE">
        <w:rPr>
          <w:sz w:val="18"/>
          <w:rtl/>
        </w:rPr>
        <w:t>.</w:t>
      </w:r>
    </w:p>
    <w:p w:rsidR="00310493" w:rsidP="00E06FBE">
      <w:pPr>
        <w:pStyle w:val="running-text"/>
        <w:bidi/>
        <w:spacing w:before="180"/>
      </w:pPr>
      <w:r>
        <w:rPr>
          <w:rFonts w:hint="cs"/>
          <w:rtl/>
        </w:rPr>
        <w:t>חיוב המעסיקים בדיווח חודשי מקוון יכול גם לתרום לפישוט הליכים בירוקרטיים, להגברת השימוש בתמריצים לחזרה לשוק העבודה ולצמצום דמי האבטלה ולהגדלת הכנסתם של מקבלי קצבת אבטלה. כך למשל סעיף 176א לחוק הביטוח הלאומי קובע כי מקבל קצבת אבטלה זכאי לקבל "</w:t>
      </w:r>
      <w:r w:rsidRPr="004A0AB1">
        <w:rPr>
          <w:b/>
          <w:bCs/>
          <w:rtl/>
        </w:rPr>
        <w:t>מענק למובטל שעובד בשכר נמוך</w:t>
      </w:r>
      <w:r>
        <w:rPr>
          <w:rFonts w:hint="cs"/>
          <w:rtl/>
        </w:rPr>
        <w:t>" בתנאים המפורטים בו</w:t>
      </w:r>
      <w:r>
        <w:rPr>
          <w:rStyle w:val="FootnoteReference1"/>
          <w:rtl/>
        </w:rPr>
        <w:footnoteReference w:id="12"/>
      </w:r>
      <w:r>
        <w:rPr>
          <w:rFonts w:hint="cs"/>
          <w:rtl/>
        </w:rPr>
        <w:t xml:space="preserve">. יתרונו של סעיף זה בכך שהוא מתמרץ את מקבלי קצבת האבטלה לעבוד; מקבל קצבת אבטלה זכאי לקבל מענק מהמדינה אם הוא מוכן לעבוד בשכר נמוך כך שבפועל סך הכנסתו מעבודה גבוה יותר מקצבת האבטלה שלו. גם למדינה יתרון משמעותי בהסדר זה: בפועל היא מקטינה את הוצאותיה על קצבת אבטלה ומעודדת את הפעילות הכלכלית. </w:t>
      </w:r>
      <w:r w:rsidRPr="009D73BC">
        <w:rPr>
          <w:rFonts w:hint="eastAsia"/>
          <w:b/>
          <w:bCs/>
          <w:rtl/>
        </w:rPr>
        <w:t>אולם</w:t>
      </w:r>
      <w:r w:rsidRPr="009D73BC">
        <w:rPr>
          <w:b/>
          <w:bCs/>
          <w:rtl/>
        </w:rPr>
        <w:t xml:space="preserve"> </w:t>
      </w:r>
      <w:r w:rsidRPr="009D73BC">
        <w:rPr>
          <w:rFonts w:hint="eastAsia"/>
          <w:b/>
          <w:bCs/>
          <w:rtl/>
        </w:rPr>
        <w:t>למרות</w:t>
      </w:r>
      <w:r w:rsidRPr="009D73BC">
        <w:rPr>
          <w:b/>
          <w:bCs/>
          <w:rtl/>
        </w:rPr>
        <w:t xml:space="preserve"> </w:t>
      </w:r>
      <w:r w:rsidRPr="009D73BC">
        <w:rPr>
          <w:rFonts w:hint="eastAsia"/>
          <w:b/>
          <w:bCs/>
          <w:rtl/>
        </w:rPr>
        <w:t>האמור</w:t>
      </w:r>
      <w:r w:rsidRPr="009D73BC">
        <w:rPr>
          <w:b/>
          <w:bCs/>
          <w:rtl/>
        </w:rPr>
        <w:t xml:space="preserve">, </w:t>
      </w:r>
      <w:r w:rsidRPr="009D73BC">
        <w:rPr>
          <w:rFonts w:hint="eastAsia"/>
          <w:b/>
          <w:bCs/>
          <w:rtl/>
        </w:rPr>
        <w:t>שיעור</w:t>
      </w:r>
      <w:r w:rsidRPr="009D73BC">
        <w:rPr>
          <w:b/>
          <w:bCs/>
          <w:rtl/>
        </w:rPr>
        <w:t xml:space="preserve"> </w:t>
      </w:r>
      <w:r w:rsidRPr="009D73BC">
        <w:rPr>
          <w:rFonts w:hint="eastAsia"/>
          <w:b/>
          <w:bCs/>
          <w:rtl/>
        </w:rPr>
        <w:t>הניצול</w:t>
      </w:r>
      <w:r w:rsidRPr="009D73BC">
        <w:rPr>
          <w:b/>
          <w:bCs/>
          <w:rtl/>
        </w:rPr>
        <w:t xml:space="preserve"> של ההסדר בסעיף זה </w:t>
      </w:r>
      <w:r>
        <w:rPr>
          <w:rFonts w:hint="cs"/>
          <w:b/>
          <w:bCs/>
          <w:rtl/>
        </w:rPr>
        <w:t xml:space="preserve">של "מענק למובטל שעובד בשכר נמוך" הינו </w:t>
      </w:r>
      <w:r w:rsidRPr="009D73BC">
        <w:rPr>
          <w:b/>
          <w:bCs/>
          <w:rtl/>
        </w:rPr>
        <w:t>אפסי</w:t>
      </w:r>
      <w:r>
        <w:rPr>
          <w:rFonts w:hint="cs"/>
          <w:b/>
          <w:bCs/>
          <w:rtl/>
        </w:rPr>
        <w:t xml:space="preserve"> </w:t>
      </w:r>
      <w:r>
        <w:rPr>
          <w:rFonts w:hint="cs"/>
          <w:rtl/>
        </w:rPr>
        <w:t>- הסיבה לכך נעוצה במורכבות הסעיף. יתרה מזאת, תהליך המימוש גם רווי תהליכים בירוקרטיים</w:t>
      </w:r>
      <w:r>
        <w:rPr>
          <w:rFonts w:hint="cs"/>
        </w:rPr>
        <w:t xml:space="preserve"> </w:t>
      </w:r>
      <w:r>
        <w:rPr>
          <w:rFonts w:hint="cs"/>
          <w:rtl/>
        </w:rPr>
        <w:t>- לשם קבלת המענק</w:t>
      </w:r>
      <w:r w:rsidRPr="004A0AB1">
        <w:rPr>
          <w:b/>
          <w:bCs/>
          <w:rtl/>
        </w:rPr>
        <w:t xml:space="preserve"> </w:t>
      </w:r>
      <w:r w:rsidRPr="006A7394">
        <w:rPr>
          <w:rtl/>
        </w:rPr>
        <w:t>על העובד למלא טופס</w:t>
      </w:r>
      <w:r w:rsidRPr="00374FD5">
        <w:rPr>
          <w:rFonts w:hint="cs"/>
          <w:rtl/>
        </w:rPr>
        <w:t xml:space="preserve"> בל/1517 </w:t>
      </w:r>
      <w:r w:rsidRPr="00374FD5">
        <w:rPr>
          <w:rFonts w:hint="eastAsia"/>
          <w:rtl/>
        </w:rPr>
        <w:t>ולצרף</w:t>
      </w:r>
      <w:r w:rsidRPr="00374FD5">
        <w:rPr>
          <w:rtl/>
        </w:rPr>
        <w:t xml:space="preserve"> </w:t>
      </w:r>
      <w:r w:rsidRPr="00374FD5">
        <w:rPr>
          <w:rFonts w:hint="eastAsia"/>
          <w:rtl/>
        </w:rPr>
        <w:t>תלושי</w:t>
      </w:r>
      <w:r w:rsidRPr="00374FD5">
        <w:rPr>
          <w:rtl/>
        </w:rPr>
        <w:t xml:space="preserve"> </w:t>
      </w:r>
      <w:r w:rsidRPr="00374FD5">
        <w:rPr>
          <w:rFonts w:hint="eastAsia"/>
          <w:rtl/>
        </w:rPr>
        <w:t>שכר</w:t>
      </w:r>
      <w:r w:rsidRPr="00374FD5">
        <w:rPr>
          <w:rtl/>
        </w:rPr>
        <w:t xml:space="preserve"> </w:t>
      </w:r>
      <w:r w:rsidRPr="00374FD5">
        <w:rPr>
          <w:rFonts w:hint="eastAsia"/>
          <w:rtl/>
        </w:rPr>
        <w:t>ואישור</w:t>
      </w:r>
      <w:r w:rsidRPr="00374FD5">
        <w:rPr>
          <w:rtl/>
        </w:rPr>
        <w:t xml:space="preserve"> </w:t>
      </w:r>
      <w:r w:rsidRPr="00374FD5">
        <w:rPr>
          <w:rFonts w:hint="eastAsia"/>
          <w:rtl/>
        </w:rPr>
        <w:t>מעסיק</w:t>
      </w:r>
      <w:r w:rsidRPr="00374FD5">
        <w:rPr>
          <w:rtl/>
        </w:rPr>
        <w:t xml:space="preserve">. </w:t>
      </w:r>
      <w:r w:rsidRPr="00374FD5">
        <w:rPr>
          <w:rFonts w:hint="eastAsia"/>
          <w:rtl/>
        </w:rPr>
        <w:t>קבלת</w:t>
      </w:r>
      <w:r w:rsidRPr="00374FD5">
        <w:rPr>
          <w:rtl/>
        </w:rPr>
        <w:t xml:space="preserve"> נתונים באופן </w:t>
      </w:r>
      <w:r w:rsidRPr="00374FD5">
        <w:rPr>
          <w:rFonts w:hint="eastAsia"/>
          <w:rtl/>
        </w:rPr>
        <w:t>שוטף</w:t>
      </w:r>
      <w:r w:rsidRPr="00374FD5">
        <w:rPr>
          <w:rtl/>
        </w:rPr>
        <w:t xml:space="preserve"> </w:t>
      </w:r>
      <w:r w:rsidRPr="00374FD5">
        <w:rPr>
          <w:rFonts w:hint="eastAsia"/>
          <w:rtl/>
        </w:rPr>
        <w:t>על</w:t>
      </w:r>
      <w:r w:rsidRPr="00374FD5">
        <w:rPr>
          <w:rtl/>
        </w:rPr>
        <w:t xml:space="preserve"> שכר העובדים </w:t>
      </w:r>
      <w:r w:rsidRPr="00374FD5">
        <w:rPr>
          <w:rFonts w:hint="eastAsia"/>
          <w:rtl/>
        </w:rPr>
        <w:t>מהמעסיקים</w:t>
      </w:r>
      <w:r w:rsidRPr="00374FD5">
        <w:rPr>
          <w:rtl/>
        </w:rPr>
        <w:t xml:space="preserve"> </w:t>
      </w:r>
      <w:r w:rsidRPr="00374FD5">
        <w:rPr>
          <w:rFonts w:hint="eastAsia"/>
          <w:rtl/>
        </w:rPr>
        <w:t>יכולה</w:t>
      </w:r>
      <w:r w:rsidRPr="00374FD5">
        <w:rPr>
          <w:rtl/>
        </w:rPr>
        <w:t xml:space="preserve"> </w:t>
      </w:r>
      <w:r w:rsidRPr="00374FD5">
        <w:rPr>
          <w:rFonts w:hint="eastAsia"/>
          <w:rtl/>
        </w:rPr>
        <w:t>לצמצם</w:t>
      </w:r>
      <w:r w:rsidRPr="00374FD5">
        <w:rPr>
          <w:rtl/>
        </w:rPr>
        <w:t xml:space="preserve"> </w:t>
      </w:r>
      <w:r w:rsidRPr="00374FD5">
        <w:rPr>
          <w:rFonts w:hint="eastAsia"/>
          <w:rtl/>
        </w:rPr>
        <w:t>את</w:t>
      </w:r>
      <w:r w:rsidRPr="00374FD5">
        <w:rPr>
          <w:rtl/>
        </w:rPr>
        <w:t xml:space="preserve"> </w:t>
      </w:r>
      <w:r w:rsidRPr="00374FD5">
        <w:rPr>
          <w:rFonts w:hint="eastAsia"/>
          <w:rtl/>
        </w:rPr>
        <w:t>הבירוקרטיה</w:t>
      </w:r>
      <w:r w:rsidRPr="00374FD5">
        <w:rPr>
          <w:rtl/>
        </w:rPr>
        <w:t xml:space="preserve"> </w:t>
      </w:r>
      <w:r w:rsidRPr="00374FD5">
        <w:rPr>
          <w:rFonts w:hint="eastAsia"/>
          <w:rtl/>
        </w:rPr>
        <w:t>וכך</w:t>
      </w:r>
      <w:r w:rsidRPr="00374FD5">
        <w:rPr>
          <w:rtl/>
        </w:rPr>
        <w:t xml:space="preserve"> </w:t>
      </w:r>
      <w:r w:rsidRPr="00374FD5">
        <w:rPr>
          <w:rFonts w:hint="eastAsia"/>
          <w:rtl/>
        </w:rPr>
        <w:t>להגדיל</w:t>
      </w:r>
      <w:r w:rsidRPr="00374FD5">
        <w:rPr>
          <w:rtl/>
        </w:rPr>
        <w:t xml:space="preserve"> </w:t>
      </w:r>
      <w:r w:rsidRPr="00374FD5">
        <w:rPr>
          <w:rFonts w:hint="eastAsia"/>
          <w:rtl/>
        </w:rPr>
        <w:t>את</w:t>
      </w:r>
      <w:r w:rsidRPr="00374FD5">
        <w:rPr>
          <w:rtl/>
        </w:rPr>
        <w:t xml:space="preserve"> </w:t>
      </w:r>
      <w:r w:rsidRPr="00374FD5">
        <w:rPr>
          <w:rFonts w:hint="eastAsia"/>
          <w:rtl/>
        </w:rPr>
        <w:t>שיעורי</w:t>
      </w:r>
      <w:r w:rsidRPr="00374FD5">
        <w:rPr>
          <w:rtl/>
        </w:rPr>
        <w:t xml:space="preserve"> </w:t>
      </w:r>
      <w:r w:rsidRPr="00374FD5">
        <w:rPr>
          <w:rFonts w:hint="eastAsia"/>
          <w:rtl/>
        </w:rPr>
        <w:t>המיצוי</w:t>
      </w:r>
      <w:r w:rsidRPr="00374FD5">
        <w:rPr>
          <w:rtl/>
        </w:rPr>
        <w:t xml:space="preserve"> </w:t>
      </w:r>
      <w:r w:rsidRPr="00374FD5">
        <w:rPr>
          <w:rFonts w:hint="eastAsia"/>
          <w:rtl/>
        </w:rPr>
        <w:t>של</w:t>
      </w:r>
      <w:r w:rsidRPr="00374FD5">
        <w:rPr>
          <w:rtl/>
        </w:rPr>
        <w:t xml:space="preserve"> </w:t>
      </w:r>
      <w:r w:rsidRPr="00374FD5">
        <w:rPr>
          <w:rFonts w:hint="eastAsia"/>
          <w:rtl/>
        </w:rPr>
        <w:t>המענק</w:t>
      </w:r>
      <w:r w:rsidRPr="00374FD5">
        <w:rPr>
          <w:rtl/>
        </w:rPr>
        <w:t>.</w:t>
      </w:r>
      <w:r>
        <w:rPr>
          <w:rFonts w:hint="cs"/>
          <w:rtl/>
        </w:rPr>
        <w:t xml:space="preserve"> </w:t>
      </w:r>
    </w:p>
    <w:p w:rsidR="00310493" w:rsidRPr="00ED4724" w:rsidP="00E06FBE">
      <w:pPr>
        <w:pStyle w:val="running-text"/>
        <w:bidi/>
        <w:spacing w:after="240"/>
      </w:pPr>
      <w:r>
        <w:rPr>
          <w:rFonts w:hint="cs"/>
          <w:rtl/>
        </w:rPr>
        <w:t xml:space="preserve">לחיוב המעסיקים בדיווח חודשי לבט"ל יתרונות נוספים, ובהם בראש ובראשונה האפשרות לשפר את מיצוי זכויות המבוטחים. כך, </w:t>
      </w:r>
      <w:r w:rsidRPr="00ED4724">
        <w:rPr>
          <w:rtl/>
        </w:rPr>
        <w:t>על פי הסברי בט"ל למשרד מבקר המדינה</w:t>
      </w:r>
      <w:r>
        <w:rPr>
          <w:rFonts w:hint="cs"/>
          <w:rtl/>
        </w:rPr>
        <w:t xml:space="preserve"> בדוח על אי-מיצוי זכויות</w:t>
      </w:r>
      <w:r w:rsidRPr="00ED4724">
        <w:rPr>
          <w:rtl/>
        </w:rPr>
        <w:t xml:space="preserve">, היעדר דיווח חודשי הוא </w:t>
      </w:r>
      <w:r>
        <w:rPr>
          <w:rFonts w:hint="cs"/>
          <w:rtl/>
        </w:rPr>
        <w:t>ה</w:t>
      </w:r>
      <w:r w:rsidRPr="00ED4724">
        <w:rPr>
          <w:rtl/>
        </w:rPr>
        <w:t xml:space="preserve">חסם </w:t>
      </w:r>
      <w:r>
        <w:rPr>
          <w:rFonts w:hint="cs"/>
          <w:rtl/>
        </w:rPr>
        <w:t>ה</w:t>
      </w:r>
      <w:r w:rsidRPr="00ED4724">
        <w:rPr>
          <w:rtl/>
        </w:rPr>
        <w:t>מרכזי למיצוי זכויות המבוטחים לקבלת קצבאות המותנות בעמידה במבחן הכנסה, כלומר קצבאות שהתנאי לקבלתן הוא שהכנסות המבוטח התובע את הקצבה אינן גבוהות מן ההכנסה שנקבעה כמזכה בקצבה</w:t>
      </w:r>
      <w:r>
        <w:rPr>
          <w:vertAlign w:val="superscript"/>
          <w:rtl/>
        </w:rPr>
        <w:footnoteReference w:id="13"/>
      </w:r>
      <w:r>
        <w:rPr>
          <w:rFonts w:hint="cs"/>
          <w:rtl/>
        </w:rPr>
        <w:t>.</w:t>
      </w:r>
      <w:r w:rsidRPr="00ED4724">
        <w:rPr>
          <w:rtl/>
        </w:rPr>
        <w:t xml:space="preserve"> בט"ל ציין </w:t>
      </w:r>
      <w:r>
        <w:rPr>
          <w:rFonts w:hint="cs"/>
          <w:rtl/>
        </w:rPr>
        <w:t xml:space="preserve">בתשובתו לדוח על אי-מיצוי זכויות חברתיות </w:t>
      </w:r>
      <w:r w:rsidRPr="00ED4724">
        <w:rPr>
          <w:rtl/>
        </w:rPr>
        <w:t>כי לו קיבל דיווח חודשי על שכרו של כל עובד בנפרד, היה באפשרותו לפנות באופן יזום אל מי שנמצאו זכאים לקצבאות המותנות בעמידה במבחן הכנסה ואינם ממצים לכאורה את זכותם וליידעם על כך. יתרה מכך, קבלת דיווח חודשי הייתה מאפשרת לו ליזום תביעות לקצבה בעבור מבוטחים מסוימים ולשלם להם את הקצבה אוטומטית וכך להגדיל את שיעורי מיצוי הזכויות.</w:t>
      </w:r>
    </w:p>
    <w:p w:rsidR="00310493" w:rsidRPr="00E06FBE" w:rsidP="00E06FBE">
      <w:pPr>
        <w:pStyle w:val="RESHET"/>
        <w:rPr>
          <w:sz w:val="18"/>
        </w:rPr>
      </w:pPr>
      <w:r w:rsidRPr="00E06FBE">
        <w:rPr>
          <w:rFonts w:hint="eastAsia"/>
          <w:sz w:val="18"/>
          <w:rtl/>
        </w:rPr>
        <w:t>נוכח</w:t>
      </w:r>
      <w:r w:rsidRPr="00E06FBE">
        <w:rPr>
          <w:sz w:val="18"/>
          <w:rtl/>
        </w:rPr>
        <w:t xml:space="preserve"> המשבר התעסוקתי החמור והצורך </w:t>
      </w:r>
      <w:r w:rsidRPr="00E06FBE">
        <w:rPr>
          <w:rFonts w:hint="eastAsia"/>
          <w:sz w:val="18"/>
          <w:rtl/>
        </w:rPr>
        <w:t>הברור</w:t>
      </w:r>
      <w:r w:rsidRPr="00E06FBE">
        <w:rPr>
          <w:sz w:val="18"/>
          <w:rtl/>
        </w:rPr>
        <w:t xml:space="preserve"> </w:t>
      </w:r>
      <w:r w:rsidRPr="00E06FBE">
        <w:rPr>
          <w:rFonts w:hint="eastAsia"/>
          <w:sz w:val="18"/>
          <w:rtl/>
        </w:rPr>
        <w:t>והמיידי</w:t>
      </w:r>
      <w:r w:rsidRPr="00E06FBE">
        <w:rPr>
          <w:sz w:val="18"/>
          <w:rtl/>
        </w:rPr>
        <w:t xml:space="preserve"> בקבלת נתונים באופן מהיר ומהימן ונוכח העובדה כי המידע </w:t>
      </w:r>
      <w:r w:rsidRPr="00E06FBE">
        <w:rPr>
          <w:rFonts w:hint="eastAsia"/>
          <w:sz w:val="18"/>
          <w:rtl/>
        </w:rPr>
        <w:t>נמצא</w:t>
      </w:r>
      <w:r w:rsidRPr="00E06FBE">
        <w:rPr>
          <w:sz w:val="18"/>
          <w:rtl/>
        </w:rPr>
        <w:t xml:space="preserve"> בידי המעסיקים וב</w:t>
      </w:r>
      <w:r w:rsidRPr="00E06FBE">
        <w:rPr>
          <w:rFonts w:hint="eastAsia"/>
          <w:sz w:val="18"/>
          <w:rtl/>
        </w:rPr>
        <w:t>ט</w:t>
      </w:r>
      <w:r w:rsidRPr="00E06FBE">
        <w:rPr>
          <w:sz w:val="18"/>
          <w:rtl/>
        </w:rPr>
        <w:t>"ל כבר פיתח ממשק</w:t>
      </w:r>
      <w:r w:rsidRPr="00E06FBE">
        <w:rPr>
          <w:rFonts w:hint="eastAsia"/>
          <w:sz w:val="18"/>
          <w:rtl/>
        </w:rPr>
        <w:t>ים</w:t>
      </w:r>
      <w:r w:rsidRPr="00E06FBE">
        <w:rPr>
          <w:sz w:val="18"/>
          <w:rtl/>
        </w:rPr>
        <w:t xml:space="preserve"> </w:t>
      </w:r>
      <w:r w:rsidRPr="00E06FBE">
        <w:rPr>
          <w:rFonts w:hint="eastAsia"/>
          <w:sz w:val="18"/>
          <w:rtl/>
        </w:rPr>
        <w:t>מקוונים</w:t>
      </w:r>
      <w:r w:rsidRPr="00E06FBE">
        <w:rPr>
          <w:sz w:val="18"/>
          <w:rtl/>
        </w:rPr>
        <w:t xml:space="preserve"> לקבלת </w:t>
      </w:r>
      <w:r w:rsidRPr="00E06FBE">
        <w:rPr>
          <w:rFonts w:hint="eastAsia"/>
          <w:sz w:val="18"/>
          <w:rtl/>
        </w:rPr>
        <w:t>נתונים</w:t>
      </w:r>
      <w:r w:rsidRPr="00E06FBE">
        <w:rPr>
          <w:sz w:val="18"/>
          <w:rtl/>
        </w:rPr>
        <w:t xml:space="preserve"> </w:t>
      </w:r>
      <w:r w:rsidRPr="00E06FBE">
        <w:rPr>
          <w:rFonts w:hint="eastAsia"/>
          <w:sz w:val="18"/>
          <w:rtl/>
        </w:rPr>
        <w:t>מהמעסיקים</w:t>
      </w:r>
      <w:r w:rsidRPr="00E06FBE">
        <w:rPr>
          <w:sz w:val="18"/>
          <w:rtl/>
        </w:rPr>
        <w:t xml:space="preserve"> ו</w:t>
      </w:r>
      <w:r w:rsidRPr="00E06FBE">
        <w:rPr>
          <w:rFonts w:hint="eastAsia"/>
          <w:sz w:val="18"/>
          <w:rtl/>
        </w:rPr>
        <w:t>אף</w:t>
      </w:r>
      <w:r w:rsidRPr="00E06FBE">
        <w:rPr>
          <w:sz w:val="18"/>
          <w:rtl/>
        </w:rPr>
        <w:t xml:space="preserve"> </w:t>
      </w:r>
      <w:r w:rsidRPr="00E06FBE">
        <w:rPr>
          <w:rFonts w:hint="eastAsia"/>
          <w:sz w:val="18"/>
          <w:rtl/>
        </w:rPr>
        <w:t>החל</w:t>
      </w:r>
      <w:r w:rsidRPr="00E06FBE">
        <w:rPr>
          <w:sz w:val="18"/>
          <w:rtl/>
        </w:rPr>
        <w:t xml:space="preserve"> </w:t>
      </w:r>
      <w:r w:rsidRPr="00E06FBE">
        <w:rPr>
          <w:rFonts w:hint="eastAsia"/>
          <w:sz w:val="18"/>
          <w:rtl/>
        </w:rPr>
        <w:t>לקבלם</w:t>
      </w:r>
      <w:r w:rsidRPr="00E06FBE">
        <w:rPr>
          <w:sz w:val="18"/>
          <w:rtl/>
        </w:rPr>
        <w:t xml:space="preserve"> </w:t>
      </w:r>
      <w:r w:rsidRPr="00E06FBE">
        <w:rPr>
          <w:rFonts w:hint="eastAsia"/>
          <w:sz w:val="18"/>
          <w:rtl/>
        </w:rPr>
        <w:t>מהמעסיקים</w:t>
      </w:r>
      <w:r w:rsidRPr="00E06FBE">
        <w:rPr>
          <w:sz w:val="18"/>
          <w:rtl/>
        </w:rPr>
        <w:t xml:space="preserve">, </w:t>
      </w:r>
      <w:r w:rsidRPr="00E06FBE">
        <w:rPr>
          <w:rFonts w:hint="eastAsia"/>
          <w:sz w:val="18"/>
          <w:rtl/>
        </w:rPr>
        <w:t>משרד</w:t>
      </w:r>
      <w:r w:rsidRPr="00E06FBE">
        <w:rPr>
          <w:sz w:val="18"/>
          <w:rtl/>
        </w:rPr>
        <w:t xml:space="preserve"> </w:t>
      </w:r>
      <w:r w:rsidRPr="00E06FBE">
        <w:rPr>
          <w:rFonts w:hint="eastAsia"/>
          <w:sz w:val="18"/>
          <w:rtl/>
        </w:rPr>
        <w:t>מבקר</w:t>
      </w:r>
      <w:r w:rsidRPr="00E06FBE">
        <w:rPr>
          <w:sz w:val="18"/>
          <w:rtl/>
        </w:rPr>
        <w:t xml:space="preserve"> </w:t>
      </w:r>
      <w:r w:rsidRPr="00E06FBE">
        <w:rPr>
          <w:rFonts w:hint="eastAsia"/>
          <w:sz w:val="18"/>
          <w:rtl/>
        </w:rPr>
        <w:t>המדינה</w:t>
      </w:r>
      <w:r w:rsidRPr="00E06FBE">
        <w:rPr>
          <w:sz w:val="18"/>
          <w:rtl/>
        </w:rPr>
        <w:t xml:space="preserve"> </w:t>
      </w:r>
      <w:r w:rsidRPr="00E06FBE">
        <w:rPr>
          <w:rFonts w:hint="eastAsia"/>
          <w:sz w:val="18"/>
          <w:rtl/>
        </w:rPr>
        <w:t>מוצא</w:t>
      </w:r>
      <w:r w:rsidRPr="00E06FBE">
        <w:rPr>
          <w:sz w:val="18"/>
          <w:rtl/>
        </w:rPr>
        <w:t xml:space="preserve"> </w:t>
      </w:r>
      <w:r w:rsidRPr="00E06FBE">
        <w:rPr>
          <w:rFonts w:hint="eastAsia"/>
          <w:sz w:val="18"/>
          <w:rtl/>
        </w:rPr>
        <w:t>לנכון</w:t>
      </w:r>
      <w:r w:rsidRPr="00E06FBE">
        <w:rPr>
          <w:sz w:val="18"/>
          <w:rtl/>
        </w:rPr>
        <w:t xml:space="preserve"> </w:t>
      </w:r>
      <w:r w:rsidRPr="00E06FBE">
        <w:rPr>
          <w:rFonts w:hint="eastAsia"/>
          <w:sz w:val="18"/>
          <w:rtl/>
        </w:rPr>
        <w:t>להמליץ</w:t>
      </w:r>
      <w:r w:rsidRPr="00E06FBE">
        <w:rPr>
          <w:sz w:val="18"/>
          <w:rtl/>
        </w:rPr>
        <w:t xml:space="preserve"> </w:t>
      </w:r>
      <w:r w:rsidRPr="00E06FBE">
        <w:rPr>
          <w:rFonts w:hint="eastAsia"/>
          <w:sz w:val="18"/>
          <w:rtl/>
        </w:rPr>
        <w:t>שבט</w:t>
      </w:r>
      <w:r w:rsidRPr="00E06FBE">
        <w:rPr>
          <w:sz w:val="18"/>
          <w:rtl/>
        </w:rPr>
        <w:t xml:space="preserve">"ל </w:t>
      </w:r>
      <w:r w:rsidRPr="00E06FBE">
        <w:rPr>
          <w:rFonts w:hint="eastAsia"/>
          <w:sz w:val="18"/>
          <w:rtl/>
        </w:rPr>
        <w:t>יחייב</w:t>
      </w:r>
      <w:r w:rsidRPr="00E06FBE">
        <w:rPr>
          <w:sz w:val="18"/>
          <w:rtl/>
        </w:rPr>
        <w:t xml:space="preserve"> </w:t>
      </w:r>
      <w:r w:rsidRPr="00E06FBE">
        <w:rPr>
          <w:rFonts w:hint="eastAsia"/>
          <w:sz w:val="18"/>
          <w:rtl/>
        </w:rPr>
        <w:t>את</w:t>
      </w:r>
      <w:r w:rsidRPr="00E06FBE">
        <w:rPr>
          <w:sz w:val="18"/>
          <w:rtl/>
        </w:rPr>
        <w:t xml:space="preserve"> </w:t>
      </w:r>
      <w:r w:rsidRPr="00E06FBE">
        <w:rPr>
          <w:rFonts w:hint="eastAsia"/>
          <w:sz w:val="18"/>
          <w:rtl/>
        </w:rPr>
        <w:t>כל</w:t>
      </w:r>
      <w:r w:rsidRPr="00E06FBE">
        <w:rPr>
          <w:sz w:val="18"/>
          <w:rtl/>
        </w:rPr>
        <w:t xml:space="preserve"> </w:t>
      </w:r>
      <w:r w:rsidRPr="00E06FBE">
        <w:rPr>
          <w:rFonts w:hint="eastAsia"/>
          <w:sz w:val="18"/>
          <w:rtl/>
        </w:rPr>
        <w:t>המעסיקים</w:t>
      </w:r>
      <w:r w:rsidRPr="00E06FBE">
        <w:rPr>
          <w:sz w:val="18"/>
          <w:rtl/>
        </w:rPr>
        <w:t>, לפחות בעת המ</w:t>
      </w:r>
      <w:r w:rsidRPr="00E06FBE">
        <w:rPr>
          <w:rFonts w:hint="eastAsia"/>
          <w:sz w:val="18"/>
          <w:rtl/>
        </w:rPr>
        <w:t>שבר</w:t>
      </w:r>
      <w:r w:rsidRPr="00E06FBE">
        <w:rPr>
          <w:sz w:val="18"/>
          <w:rtl/>
        </w:rPr>
        <w:t xml:space="preserve"> </w:t>
      </w:r>
      <w:r w:rsidRPr="00E06FBE">
        <w:rPr>
          <w:rFonts w:hint="eastAsia"/>
          <w:sz w:val="18"/>
          <w:rtl/>
        </w:rPr>
        <w:t>התעסוקתי</w:t>
      </w:r>
      <w:r w:rsidRPr="00E06FBE">
        <w:rPr>
          <w:sz w:val="18"/>
          <w:rtl/>
        </w:rPr>
        <w:t xml:space="preserve"> </w:t>
      </w:r>
      <w:r w:rsidRPr="00E06FBE">
        <w:rPr>
          <w:rFonts w:hint="eastAsia"/>
          <w:sz w:val="18"/>
          <w:rtl/>
        </w:rPr>
        <w:t>הנוכחי</w:t>
      </w:r>
      <w:r w:rsidRPr="00E06FBE">
        <w:rPr>
          <w:sz w:val="18"/>
          <w:rtl/>
        </w:rPr>
        <w:t>, ל</w:t>
      </w:r>
      <w:r w:rsidRPr="00E06FBE">
        <w:rPr>
          <w:rFonts w:hint="eastAsia"/>
          <w:sz w:val="18"/>
          <w:rtl/>
        </w:rPr>
        <w:t>מסור</w:t>
      </w:r>
      <w:r w:rsidRPr="00E06FBE">
        <w:rPr>
          <w:sz w:val="18"/>
          <w:rtl/>
        </w:rPr>
        <w:t xml:space="preserve"> לו </w:t>
      </w:r>
      <w:r w:rsidRPr="00E06FBE">
        <w:rPr>
          <w:rFonts w:hint="eastAsia"/>
          <w:sz w:val="18"/>
          <w:rtl/>
        </w:rPr>
        <w:t>נתוני</w:t>
      </w:r>
      <w:r w:rsidRPr="00E06FBE">
        <w:rPr>
          <w:sz w:val="18"/>
          <w:rtl/>
        </w:rPr>
        <w:t xml:space="preserve"> </w:t>
      </w:r>
      <w:r w:rsidRPr="00E06FBE">
        <w:rPr>
          <w:rFonts w:hint="eastAsia"/>
          <w:sz w:val="18"/>
          <w:rtl/>
        </w:rPr>
        <w:t>שכר</w:t>
      </w:r>
      <w:r w:rsidRPr="00E06FBE">
        <w:rPr>
          <w:sz w:val="18"/>
          <w:rtl/>
        </w:rPr>
        <w:t xml:space="preserve"> </w:t>
      </w:r>
      <w:r w:rsidRPr="00E06FBE">
        <w:rPr>
          <w:rFonts w:hint="eastAsia"/>
          <w:sz w:val="18"/>
          <w:rtl/>
        </w:rPr>
        <w:t>חודשיים</w:t>
      </w:r>
      <w:r w:rsidRPr="00E06FBE">
        <w:rPr>
          <w:sz w:val="18"/>
          <w:rtl/>
        </w:rPr>
        <w:t xml:space="preserve"> </w:t>
      </w:r>
      <w:r w:rsidRPr="00E06FBE">
        <w:rPr>
          <w:rFonts w:hint="eastAsia"/>
          <w:sz w:val="18"/>
          <w:rtl/>
        </w:rPr>
        <w:t>באופן</w:t>
      </w:r>
      <w:r w:rsidRPr="00E06FBE">
        <w:rPr>
          <w:sz w:val="18"/>
          <w:rtl/>
        </w:rPr>
        <w:t xml:space="preserve"> </w:t>
      </w:r>
      <w:r w:rsidRPr="00E06FBE">
        <w:rPr>
          <w:rFonts w:hint="eastAsia"/>
          <w:sz w:val="18"/>
          <w:rtl/>
        </w:rPr>
        <w:t>מקוון</w:t>
      </w:r>
      <w:r w:rsidRPr="00E06FBE">
        <w:rPr>
          <w:sz w:val="18"/>
          <w:rtl/>
        </w:rPr>
        <w:t xml:space="preserve"> </w:t>
      </w:r>
      <w:r w:rsidRPr="00E06FBE">
        <w:rPr>
          <w:rFonts w:hint="eastAsia"/>
          <w:sz w:val="18"/>
          <w:rtl/>
        </w:rPr>
        <w:t>לגבי</w:t>
      </w:r>
      <w:r w:rsidRPr="00E06FBE">
        <w:rPr>
          <w:sz w:val="18"/>
          <w:rtl/>
        </w:rPr>
        <w:t xml:space="preserve"> </w:t>
      </w:r>
      <w:r w:rsidRPr="00E06FBE">
        <w:rPr>
          <w:rFonts w:hint="eastAsia"/>
          <w:sz w:val="18"/>
          <w:rtl/>
        </w:rPr>
        <w:t>כלל</w:t>
      </w:r>
      <w:r w:rsidRPr="00E06FBE">
        <w:rPr>
          <w:sz w:val="18"/>
          <w:rtl/>
        </w:rPr>
        <w:t xml:space="preserve"> </w:t>
      </w:r>
      <w:r w:rsidRPr="00E06FBE">
        <w:rPr>
          <w:rFonts w:hint="eastAsia"/>
          <w:sz w:val="18"/>
          <w:rtl/>
        </w:rPr>
        <w:t>עובדי</w:t>
      </w:r>
      <w:r w:rsidRPr="00E06FBE">
        <w:rPr>
          <w:rFonts w:hint="cs"/>
          <w:sz w:val="18"/>
          <w:rtl/>
        </w:rPr>
        <w:t>הם</w:t>
      </w:r>
      <w:r w:rsidRPr="00E06FBE">
        <w:rPr>
          <w:sz w:val="18"/>
          <w:rtl/>
        </w:rPr>
        <w:t xml:space="preserve">, </w:t>
      </w:r>
      <w:r w:rsidRPr="00E06FBE">
        <w:rPr>
          <w:rFonts w:hint="eastAsia"/>
          <w:sz w:val="18"/>
          <w:rtl/>
        </w:rPr>
        <w:t>תוך</w:t>
      </w:r>
      <w:r w:rsidRPr="00E06FBE">
        <w:rPr>
          <w:sz w:val="18"/>
          <w:rtl/>
        </w:rPr>
        <w:t xml:space="preserve"> </w:t>
      </w:r>
      <w:r w:rsidRPr="00E06FBE">
        <w:rPr>
          <w:rFonts w:hint="eastAsia"/>
          <w:sz w:val="18"/>
          <w:rtl/>
        </w:rPr>
        <w:t>מתן</w:t>
      </w:r>
      <w:r w:rsidRPr="00E06FBE">
        <w:rPr>
          <w:sz w:val="18"/>
          <w:rtl/>
        </w:rPr>
        <w:t xml:space="preserve"> </w:t>
      </w:r>
      <w:r w:rsidRPr="00E06FBE">
        <w:rPr>
          <w:rFonts w:hint="eastAsia"/>
          <w:sz w:val="18"/>
          <w:rtl/>
        </w:rPr>
        <w:t>מידע</w:t>
      </w:r>
      <w:r w:rsidRPr="00E06FBE">
        <w:rPr>
          <w:sz w:val="18"/>
          <w:rtl/>
        </w:rPr>
        <w:t xml:space="preserve"> </w:t>
      </w:r>
      <w:r w:rsidRPr="00E06FBE">
        <w:rPr>
          <w:rFonts w:hint="eastAsia"/>
          <w:sz w:val="18"/>
          <w:rtl/>
        </w:rPr>
        <w:t>לגבי</w:t>
      </w:r>
      <w:r w:rsidRPr="00E06FBE">
        <w:rPr>
          <w:sz w:val="18"/>
          <w:rtl/>
        </w:rPr>
        <w:t xml:space="preserve"> </w:t>
      </w:r>
      <w:r w:rsidRPr="00E06FBE">
        <w:rPr>
          <w:rFonts w:hint="eastAsia"/>
          <w:sz w:val="18"/>
          <w:rtl/>
        </w:rPr>
        <w:t>כל</w:t>
      </w:r>
      <w:r w:rsidRPr="00E06FBE">
        <w:rPr>
          <w:sz w:val="18"/>
          <w:rtl/>
        </w:rPr>
        <w:t xml:space="preserve"> עובד בנפרד לפי סעיף 8(</w:t>
      </w:r>
      <w:r w:rsidRPr="00E06FBE">
        <w:rPr>
          <w:rFonts w:hint="eastAsia"/>
          <w:sz w:val="18"/>
          <w:rtl/>
        </w:rPr>
        <w:t>א</w:t>
      </w:r>
      <w:r w:rsidRPr="00E06FBE">
        <w:rPr>
          <w:sz w:val="18"/>
          <w:rtl/>
        </w:rPr>
        <w:t xml:space="preserve">) בתקנות </w:t>
      </w:r>
      <w:r w:rsidRPr="00E06FBE">
        <w:rPr>
          <w:rFonts w:hint="eastAsia"/>
          <w:sz w:val="18"/>
          <w:rtl/>
        </w:rPr>
        <w:t>הגבייה</w:t>
      </w:r>
      <w:r w:rsidRPr="00E06FBE">
        <w:rPr>
          <w:rFonts w:hint="cs"/>
          <w:sz w:val="18"/>
          <w:rtl/>
        </w:rPr>
        <w:t xml:space="preserve"> - במתכונת הדוח החצי שנתי המוגש כבר עתה, באופן מקוון או בכל דרך אחרת.</w:t>
      </w:r>
    </w:p>
    <w:p w:rsidR="00310493" w:rsidRPr="00E06FBE" w:rsidP="00E06FBE">
      <w:pPr>
        <w:pStyle w:val="RESHET"/>
        <w:rPr>
          <w:sz w:val="18"/>
          <w:rtl/>
        </w:rPr>
      </w:pPr>
      <w:r w:rsidRPr="00E06FBE">
        <w:rPr>
          <w:rFonts w:hint="cs"/>
          <w:sz w:val="18"/>
          <w:rtl/>
        </w:rPr>
        <w:t>לא מן הנמנע כי הדבר יגרור נטל מסוים על המעסיקים או על המייצגים אותם מול בט"ל, אולם במכלול השיקולים יכולה לצמוח מכך תועלת רבה לממשקי העבודה של בט"ל מול המעסיקים, לכל אזרח ואזרח וליכולת הלאומית להציג תמונת מצב כוללת על שוק העבודה, ולגיבוש תוכניות כלכליות עתידיות לטובת מובטלים, עובדים שהוצאו לחל"ת ומועסקים שהיקף משרתם צומצם בעת הזו.</w:t>
      </w:r>
    </w:p>
    <w:p w:rsidR="00310493" w:rsidRPr="00E06FBE" w:rsidP="00E06FBE">
      <w:pPr>
        <w:pStyle w:val="RESHET"/>
        <w:rPr>
          <w:sz w:val="18"/>
        </w:rPr>
      </w:pPr>
      <w:r w:rsidRPr="00E06FBE">
        <w:rPr>
          <w:rFonts w:hint="cs"/>
          <w:sz w:val="18"/>
          <w:rtl/>
        </w:rPr>
        <w:t xml:space="preserve">עוד מומלץ לבחון את החסמים הבירוקרטיים ואת הדרכים למימוש מיטבי של </w:t>
      </w:r>
      <w:r w:rsidRPr="00E06FBE">
        <w:rPr>
          <w:rFonts w:hint="eastAsia"/>
          <w:sz w:val="18"/>
          <w:rtl/>
        </w:rPr>
        <w:t>סעיף</w:t>
      </w:r>
      <w:r w:rsidRPr="00E06FBE">
        <w:rPr>
          <w:sz w:val="18"/>
          <w:rtl/>
        </w:rPr>
        <w:t xml:space="preserve"> 176א </w:t>
      </w:r>
      <w:r w:rsidRPr="00E06FBE">
        <w:rPr>
          <w:rFonts w:hint="eastAsia"/>
          <w:sz w:val="18"/>
          <w:rtl/>
        </w:rPr>
        <w:t>לחוק</w:t>
      </w:r>
      <w:r w:rsidRPr="00E06FBE">
        <w:rPr>
          <w:sz w:val="18"/>
          <w:rtl/>
        </w:rPr>
        <w:t xml:space="preserve"> </w:t>
      </w:r>
      <w:r w:rsidRPr="00E06FBE">
        <w:rPr>
          <w:rFonts w:hint="cs"/>
          <w:sz w:val="18"/>
          <w:rtl/>
        </w:rPr>
        <w:t>ה</w:t>
      </w:r>
      <w:r w:rsidRPr="00E06FBE">
        <w:rPr>
          <w:rFonts w:hint="eastAsia"/>
          <w:sz w:val="18"/>
          <w:rtl/>
        </w:rPr>
        <w:t>ביטוח</w:t>
      </w:r>
      <w:r w:rsidRPr="00E06FBE">
        <w:rPr>
          <w:sz w:val="18"/>
          <w:rtl/>
        </w:rPr>
        <w:t xml:space="preserve"> </w:t>
      </w:r>
      <w:r w:rsidRPr="00E06FBE">
        <w:rPr>
          <w:rFonts w:hint="cs"/>
          <w:sz w:val="18"/>
          <w:rtl/>
        </w:rPr>
        <w:t>ה</w:t>
      </w:r>
      <w:r w:rsidRPr="00E06FBE">
        <w:rPr>
          <w:rFonts w:hint="eastAsia"/>
          <w:sz w:val="18"/>
          <w:rtl/>
        </w:rPr>
        <w:t>לאומי</w:t>
      </w:r>
      <w:r w:rsidRPr="00E06FBE">
        <w:rPr>
          <w:sz w:val="18"/>
          <w:rtl/>
        </w:rPr>
        <w:t xml:space="preserve"> ה</w:t>
      </w:r>
      <w:r w:rsidRPr="00E06FBE">
        <w:rPr>
          <w:rFonts w:hint="eastAsia"/>
          <w:sz w:val="18"/>
          <w:rtl/>
        </w:rPr>
        <w:t>קובע</w:t>
      </w:r>
      <w:r w:rsidRPr="00E06FBE">
        <w:rPr>
          <w:sz w:val="18"/>
          <w:rtl/>
        </w:rPr>
        <w:t xml:space="preserve"> </w:t>
      </w:r>
      <w:r w:rsidRPr="00E06FBE">
        <w:rPr>
          <w:rFonts w:hint="cs"/>
          <w:sz w:val="18"/>
          <w:rtl/>
        </w:rPr>
        <w:t xml:space="preserve">עבור </w:t>
      </w:r>
      <w:r w:rsidRPr="00E06FBE">
        <w:rPr>
          <w:rFonts w:hint="eastAsia"/>
          <w:sz w:val="18"/>
          <w:rtl/>
        </w:rPr>
        <w:t>מקבל</w:t>
      </w:r>
      <w:r w:rsidRPr="00E06FBE">
        <w:rPr>
          <w:rFonts w:hint="cs"/>
          <w:sz w:val="18"/>
          <w:rtl/>
        </w:rPr>
        <w:t>י</w:t>
      </w:r>
      <w:r w:rsidRPr="00E06FBE">
        <w:rPr>
          <w:sz w:val="18"/>
          <w:rtl/>
        </w:rPr>
        <w:t xml:space="preserve"> קצבת אבטלה </w:t>
      </w:r>
      <w:r w:rsidRPr="00E06FBE">
        <w:rPr>
          <w:rFonts w:hint="cs"/>
          <w:sz w:val="18"/>
          <w:rtl/>
        </w:rPr>
        <w:t xml:space="preserve">זכאות </w:t>
      </w:r>
      <w:r w:rsidRPr="00E06FBE">
        <w:rPr>
          <w:rFonts w:hint="eastAsia"/>
          <w:sz w:val="18"/>
          <w:rtl/>
        </w:rPr>
        <w:t>לקבל</w:t>
      </w:r>
      <w:r w:rsidRPr="00E06FBE">
        <w:rPr>
          <w:rFonts w:hint="cs"/>
          <w:sz w:val="18"/>
          <w:rtl/>
        </w:rPr>
        <w:t>ת</w:t>
      </w:r>
      <w:r w:rsidRPr="00E06FBE">
        <w:rPr>
          <w:sz w:val="18"/>
          <w:rtl/>
        </w:rPr>
        <w:t xml:space="preserve"> "מענק למובטל שעובד בשכר נמוך"</w:t>
      </w:r>
      <w:r w:rsidRPr="00E06FBE">
        <w:rPr>
          <w:rFonts w:hint="cs"/>
          <w:sz w:val="18"/>
          <w:rtl/>
        </w:rPr>
        <w:t xml:space="preserve">. על מנת שהתהליך יהיה יעיל ראוי שהוא ייושם באופן מקוון, דבר שגם יתאים לנסיבות בעת הזו. </w:t>
      </w:r>
    </w:p>
    <w:p w:rsidR="00310493" w:rsidRPr="00157D30" w:rsidP="00E06FBE">
      <w:pPr>
        <w:pStyle w:val="running-text"/>
        <w:bidi/>
        <w:spacing w:before="180"/>
        <w:rPr>
          <w:rtl/>
        </w:rPr>
      </w:pPr>
      <w:r w:rsidRPr="00157D30">
        <w:rPr>
          <w:rFonts w:hint="cs"/>
          <w:rtl/>
        </w:rPr>
        <w:t xml:space="preserve">מנכ"ל </w:t>
      </w:r>
      <w:r>
        <w:rPr>
          <w:rFonts w:hint="cs"/>
          <w:rtl/>
        </w:rPr>
        <w:t xml:space="preserve">בט"ל </w:t>
      </w:r>
      <w:r w:rsidRPr="00157D30">
        <w:rPr>
          <w:rFonts w:hint="cs"/>
          <w:rtl/>
        </w:rPr>
        <w:t>מסר בתשובתו מ-1.9.20 למשרד מבקר המדינה</w:t>
      </w:r>
      <w:r>
        <w:rPr>
          <w:rFonts w:hint="cs"/>
          <w:rtl/>
        </w:rPr>
        <w:t xml:space="preserve"> כי </w:t>
      </w:r>
      <w:r>
        <w:rPr>
          <w:rtl/>
        </w:rPr>
        <w:t>החוק מחייב דיווח חודשי בטופס</w:t>
      </w:r>
      <w:r>
        <w:rPr>
          <w:rFonts w:hint="cs"/>
          <w:rtl/>
        </w:rPr>
        <w:t>;</w:t>
      </w:r>
      <w:r>
        <w:rPr>
          <w:rtl/>
        </w:rPr>
        <w:t xml:space="preserve"> דיווח חודשי מקוון מחייב טכנולוגיה שלא </w:t>
      </w:r>
      <w:r>
        <w:rPr>
          <w:rFonts w:hint="cs"/>
          <w:rtl/>
        </w:rPr>
        <w:t xml:space="preserve">לכל המעסיקים </w:t>
      </w:r>
      <w:r>
        <w:rPr>
          <w:rtl/>
        </w:rPr>
        <w:t>יש</w:t>
      </w:r>
      <w:r>
        <w:rPr>
          <w:rFonts w:hint="cs"/>
          <w:rtl/>
        </w:rPr>
        <w:t>.</w:t>
      </w:r>
      <w:r>
        <w:rPr>
          <w:rtl/>
        </w:rPr>
        <w:t xml:space="preserve"> ו</w:t>
      </w:r>
      <w:r>
        <w:rPr>
          <w:rFonts w:hint="cs"/>
          <w:rtl/>
        </w:rPr>
        <w:t>מאחר ש</w:t>
      </w:r>
      <w:r>
        <w:rPr>
          <w:rtl/>
        </w:rPr>
        <w:t>תוצאת אי</w:t>
      </w:r>
      <w:r>
        <w:rPr>
          <w:rFonts w:hint="cs"/>
          <w:rtl/>
        </w:rPr>
        <w:t>-</w:t>
      </w:r>
      <w:r>
        <w:rPr>
          <w:rtl/>
        </w:rPr>
        <w:t>הדיווח</w:t>
      </w:r>
      <w:r>
        <w:rPr>
          <w:rFonts w:hint="cs"/>
          <w:rtl/>
        </w:rPr>
        <w:t xml:space="preserve"> היא </w:t>
      </w:r>
      <w:r>
        <w:rPr>
          <w:rtl/>
        </w:rPr>
        <w:t xml:space="preserve">פלילית, חיוב </w:t>
      </w:r>
      <w:r>
        <w:rPr>
          <w:rFonts w:hint="cs"/>
          <w:rtl/>
        </w:rPr>
        <w:t xml:space="preserve">המעסיקים </w:t>
      </w:r>
      <w:r>
        <w:rPr>
          <w:rtl/>
        </w:rPr>
        <w:t xml:space="preserve">בדיווח חודשי מקוון מחייב חקיקה. </w:t>
      </w:r>
      <w:r>
        <w:rPr>
          <w:rFonts w:hint="cs"/>
          <w:rtl/>
        </w:rPr>
        <w:t>בד בבד עם</w:t>
      </w:r>
      <w:r>
        <w:rPr>
          <w:rtl/>
        </w:rPr>
        <w:t xml:space="preserve"> </w:t>
      </w:r>
      <w:r>
        <w:rPr>
          <w:rFonts w:hint="cs"/>
          <w:rtl/>
        </w:rPr>
        <w:t>ה</w:t>
      </w:r>
      <w:r>
        <w:rPr>
          <w:rtl/>
        </w:rPr>
        <w:t>טיפול בתיקון החוק,</w:t>
      </w:r>
      <w:r>
        <w:rPr>
          <w:rFonts w:hint="cs"/>
          <w:rtl/>
        </w:rPr>
        <w:t xml:space="preserve"> הקים בט"ל </w:t>
      </w:r>
      <w:r>
        <w:rPr>
          <w:rtl/>
        </w:rPr>
        <w:t>צוותי חשיבה בעניין המשאבים הנדרשים ליישום דיווח השכר החודשי</w:t>
      </w:r>
      <w:r>
        <w:rPr>
          <w:rFonts w:hint="cs"/>
          <w:rtl/>
        </w:rPr>
        <w:t xml:space="preserve">, והם </w:t>
      </w:r>
      <w:r>
        <w:rPr>
          <w:rtl/>
        </w:rPr>
        <w:t xml:space="preserve">יגישו </w:t>
      </w:r>
      <w:r>
        <w:rPr>
          <w:rFonts w:hint="cs"/>
          <w:rtl/>
        </w:rPr>
        <w:t xml:space="preserve">את </w:t>
      </w:r>
      <w:r>
        <w:rPr>
          <w:rtl/>
        </w:rPr>
        <w:t>מסקנותיהם בשבועות הקרובים</w:t>
      </w:r>
      <w:r>
        <w:rPr>
          <w:rFonts w:hint="cs"/>
          <w:rtl/>
        </w:rPr>
        <w:t>.</w:t>
      </w:r>
    </w:p>
    <w:p w:rsidR="006848C1" w:rsidRPr="006848C1" w:rsidP="00E06FBE">
      <w:pPr>
        <w:pStyle w:val="running-text"/>
        <w:bidi/>
        <w:spacing w:after="240"/>
        <w:rPr>
          <w:rtl/>
        </w:rPr>
      </w:pPr>
    </w:p>
    <w:sectPr w:rsidSect="00890ED9">
      <w:headerReference w:type="even" r:id="rId11"/>
      <w:headerReference w:type="default" r:id="rId12"/>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Gisha">
    <w:charset w:val="00"/>
    <w:family w:val="swiss"/>
    <w:pitch w:val="variable"/>
    <w:sig w:usb0="80000807" w:usb1="40000042" w:usb2="00000000" w:usb3="00000000" w:csb0="00000021" w:csb1="00000000"/>
  </w:font>
  <w:font w:name="David">
    <w:altName w:val="Malgun Gothic Semiligh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ckwell">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3B67" w:rsidRPr="008A007A" w:rsidP="008A007A">
      <w:pPr>
        <w:pStyle w:val="Footer"/>
      </w:pPr>
    </w:p>
  </w:footnote>
  <w:footnote w:type="continuationSeparator" w:id="1">
    <w:p w:rsidR="00E23B67" w:rsidP="00CB3322">
      <w:pPr>
        <w:spacing w:after="0" w:line="240" w:lineRule="auto"/>
      </w:pPr>
      <w:r>
        <w:continuationSeparator/>
      </w:r>
    </w:p>
    <w:p w:rsidR="00E23B67"/>
  </w:footnote>
  <w:footnote w:id="2">
    <w:p w:rsidR="00E06FBE" w:rsidRPr="00BC7AA5" w:rsidP="00310493">
      <w:pPr>
        <w:pStyle w:val="FootnoteText"/>
        <w:rPr>
          <w:rStyle w:val="FootnoteReference1"/>
          <w:vertAlign w:val="baseline"/>
        </w:rPr>
      </w:pPr>
      <w:r w:rsidRPr="00BC7AA5">
        <w:rPr>
          <w:rStyle w:val="FootnoteReference1"/>
          <w:vertAlign w:val="baseline"/>
        </w:rPr>
        <w:footnoteRef/>
      </w:r>
      <w:r w:rsidRPr="00BC7AA5">
        <w:rPr>
          <w:rStyle w:val="FootnoteReference1"/>
          <w:vertAlign w:val="baseline"/>
          <w:rtl/>
        </w:rPr>
        <w:t xml:space="preserve"> </w:t>
      </w:r>
      <w:r w:rsidRPr="00BC7AA5">
        <w:rPr>
          <w:rStyle w:val="FootnoteReference1"/>
          <w:vertAlign w:val="baseline"/>
          <w:rtl/>
        </w:rPr>
        <w:tab/>
      </w:r>
      <w:r w:rsidRPr="00BC7AA5">
        <w:rPr>
          <w:rStyle w:val="FootnoteReference1"/>
          <w:rFonts w:hint="cs"/>
          <w:vertAlign w:val="baseline"/>
          <w:rtl/>
        </w:rPr>
        <w:t>שהועברו למשרד מבקר המדינה ב-15.7.20.</w:t>
      </w:r>
    </w:p>
  </w:footnote>
  <w:footnote w:id="3">
    <w:p w:rsidR="00E06FBE" w:rsidRPr="00BC7AA5" w:rsidP="00310493">
      <w:pPr>
        <w:pStyle w:val="FootnoteText"/>
        <w:rPr>
          <w:rStyle w:val="FootnoteReference1"/>
          <w:vertAlign w:val="baseline"/>
        </w:rPr>
      </w:pPr>
      <w:r w:rsidRPr="00BC7AA5">
        <w:rPr>
          <w:rStyle w:val="FootnoteReference1"/>
          <w:vertAlign w:val="baseline"/>
        </w:rPr>
        <w:footnoteRef/>
      </w:r>
      <w:r w:rsidRPr="00BC7AA5">
        <w:rPr>
          <w:rStyle w:val="FootnoteReference1"/>
          <w:vertAlign w:val="baseline"/>
          <w:rtl/>
        </w:rPr>
        <w:t xml:space="preserve"> </w:t>
      </w:r>
      <w:r w:rsidRPr="00BC7AA5">
        <w:rPr>
          <w:rStyle w:val="FootnoteReference1"/>
          <w:vertAlign w:val="baseline"/>
          <w:rtl/>
        </w:rPr>
        <w:tab/>
      </w:r>
      <w:r w:rsidRPr="00BC7AA5">
        <w:rPr>
          <w:rStyle w:val="FootnoteReference1"/>
          <w:rFonts w:hint="cs"/>
          <w:vertAlign w:val="baseline"/>
          <w:rtl/>
        </w:rPr>
        <w:t>יש מקרים של חוסר זכאות לקבלת דמי אבטלה - במקרים אלו דורשי העבודה יפנו לשירות התעסוקה לשם עזרה במציאת עבודה שמתאימה להם.</w:t>
      </w:r>
    </w:p>
  </w:footnote>
  <w:footnote w:id="4">
    <w:p w:rsidR="00E06FBE" w:rsidRPr="00BC7AA5" w:rsidP="00310493">
      <w:pPr>
        <w:pStyle w:val="FootnoteText"/>
        <w:rPr>
          <w:rStyle w:val="FootnoteReference1"/>
          <w:vertAlign w:val="baseline"/>
          <w:rtl/>
        </w:rPr>
      </w:pPr>
      <w:r w:rsidRPr="00BC7AA5">
        <w:rPr>
          <w:rStyle w:val="FootnoteReference1"/>
          <w:vertAlign w:val="baseline"/>
        </w:rPr>
        <w:footnoteRef/>
      </w:r>
      <w:r w:rsidRPr="00BC7AA5">
        <w:rPr>
          <w:rStyle w:val="FootnoteReference1"/>
          <w:vertAlign w:val="baseline"/>
          <w:rtl/>
        </w:rPr>
        <w:t xml:space="preserve"> </w:t>
      </w:r>
      <w:r w:rsidRPr="00BC7AA5">
        <w:rPr>
          <w:rStyle w:val="FootnoteReference1"/>
          <w:vertAlign w:val="baseline"/>
          <w:rtl/>
        </w:rPr>
        <w:tab/>
      </w:r>
      <w:r w:rsidRPr="00BC7AA5">
        <w:rPr>
          <w:rStyle w:val="FootnoteReference1"/>
          <w:rFonts w:hint="cs"/>
          <w:vertAlign w:val="baseline"/>
          <w:rtl/>
        </w:rPr>
        <w:t xml:space="preserve">לפי אתר האינטרנט של הלמ"ס, בלתי מועסק הוא </w:t>
      </w:r>
      <w:r w:rsidRPr="00BC7AA5">
        <w:rPr>
          <w:rStyle w:val="FootnoteReference1"/>
          <w:vertAlign w:val="baseline"/>
          <w:rtl/>
        </w:rPr>
        <w:t xml:space="preserve">אדם בן 15 ומעלה שלא עבד כלל (אפילו לא שעה אחת) בשבוע הקובע ושחיפש עבודה באופן פעיל בארבעת השבועות שקדמו לפקידתו בסקר, כגון על ידי רישום בלשכת </w:t>
      </w:r>
      <w:r w:rsidRPr="00BC7AA5">
        <w:rPr>
          <w:rStyle w:val="FootnoteReference1"/>
          <w:rFonts w:hint="cs"/>
          <w:vertAlign w:val="baseline"/>
          <w:rtl/>
        </w:rPr>
        <w:t>ה</w:t>
      </w:r>
      <w:r w:rsidRPr="00BC7AA5">
        <w:rPr>
          <w:rStyle w:val="FootnoteReference1"/>
          <w:vertAlign w:val="baseline"/>
          <w:rtl/>
        </w:rPr>
        <w:t xml:space="preserve">עבודה של שירות התעסוקה או </w:t>
      </w:r>
      <w:r w:rsidRPr="00BC7AA5">
        <w:rPr>
          <w:rStyle w:val="FootnoteReference1"/>
          <w:rFonts w:hint="cs"/>
          <w:vertAlign w:val="baseline"/>
          <w:rtl/>
        </w:rPr>
        <w:t xml:space="preserve">על ידי </w:t>
      </w:r>
      <w:r w:rsidRPr="00BC7AA5">
        <w:rPr>
          <w:rStyle w:val="FootnoteReference1"/>
          <w:vertAlign w:val="baseline"/>
          <w:rtl/>
        </w:rPr>
        <w:t>פנייה אישית או בכתב למעסיק, והיה יכול להתחיל לעבוד בשבוע הקובע לו</w:t>
      </w:r>
      <w:r w:rsidRPr="00BC7AA5">
        <w:rPr>
          <w:rStyle w:val="FootnoteReference1"/>
          <w:rFonts w:hint="cs"/>
          <w:vertAlign w:val="baseline"/>
          <w:rtl/>
        </w:rPr>
        <w:t>ּ</w:t>
      </w:r>
      <w:r w:rsidRPr="00BC7AA5">
        <w:rPr>
          <w:rStyle w:val="FootnoteReference1"/>
          <w:vertAlign w:val="baseline"/>
          <w:rtl/>
        </w:rPr>
        <w:t xml:space="preserve"> הוצעה לו עבודה מתאימה ("זמין לעבודה")</w:t>
      </w:r>
      <w:r w:rsidRPr="00BC7AA5">
        <w:rPr>
          <w:rStyle w:val="FootnoteReference1"/>
          <w:rFonts w:hint="cs"/>
          <w:vertAlign w:val="baseline"/>
          <w:rtl/>
        </w:rPr>
        <w:t>,</w:t>
      </w:r>
      <w:r w:rsidRPr="00BC7AA5">
        <w:rPr>
          <w:rStyle w:val="FootnoteReference1"/>
          <w:vertAlign w:val="baseline"/>
          <w:rtl/>
        </w:rPr>
        <w:t xml:space="preserve"> </w:t>
      </w:r>
      <w:r w:rsidRPr="00BC7AA5">
        <w:rPr>
          <w:rStyle w:val="FootnoteReference1"/>
          <w:rFonts w:hint="cs"/>
          <w:vertAlign w:val="baseline"/>
          <w:rtl/>
        </w:rPr>
        <w:t>וב</w:t>
      </w:r>
      <w:r w:rsidRPr="00BC7AA5">
        <w:rPr>
          <w:rStyle w:val="FootnoteReference1"/>
          <w:vertAlign w:val="baseline"/>
          <w:rtl/>
        </w:rPr>
        <w:t>כלל</w:t>
      </w:r>
      <w:r w:rsidRPr="00BC7AA5">
        <w:rPr>
          <w:rStyle w:val="FootnoteReference1"/>
          <w:rFonts w:hint="cs"/>
          <w:vertAlign w:val="baseline"/>
          <w:rtl/>
        </w:rPr>
        <w:t xml:space="preserve"> זה</w:t>
      </w:r>
      <w:r w:rsidRPr="00BC7AA5">
        <w:rPr>
          <w:rStyle w:val="FootnoteReference1"/>
          <w:vertAlign w:val="baseline"/>
          <w:rtl/>
        </w:rPr>
        <w:t xml:space="preserve"> אדם שהובטחה לו עבודה </w:t>
      </w:r>
      <w:r w:rsidRPr="00BC7AA5">
        <w:rPr>
          <w:rStyle w:val="FootnoteReference1"/>
          <w:rFonts w:hint="cs"/>
          <w:vertAlign w:val="baseline"/>
          <w:rtl/>
        </w:rPr>
        <w:t>ב</w:t>
      </w:r>
      <w:r w:rsidRPr="00BC7AA5">
        <w:rPr>
          <w:rStyle w:val="FootnoteReference1"/>
          <w:vertAlign w:val="baseline"/>
          <w:rtl/>
        </w:rPr>
        <w:t>תוך 30 יום.</w:t>
      </w:r>
    </w:p>
  </w:footnote>
  <w:footnote w:id="5">
    <w:p w:rsidR="00E06FBE" w:rsidRPr="00BC7AA5" w:rsidP="00310493">
      <w:pPr>
        <w:pStyle w:val="FootnoteText"/>
        <w:rPr>
          <w:rStyle w:val="FootnoteReference1"/>
          <w:vertAlign w:val="baseline"/>
          <w:rtl/>
        </w:rPr>
      </w:pPr>
      <w:r w:rsidRPr="00BC7AA5">
        <w:rPr>
          <w:rStyle w:val="FootnoteReference1"/>
          <w:vertAlign w:val="baseline"/>
        </w:rPr>
        <w:footnoteRef/>
      </w:r>
      <w:r w:rsidRPr="00BC7AA5">
        <w:rPr>
          <w:rStyle w:val="FootnoteReference1"/>
          <w:vertAlign w:val="baseline"/>
          <w:rtl/>
        </w:rPr>
        <w:t xml:space="preserve"> </w:t>
      </w:r>
      <w:r w:rsidRPr="00BC7AA5">
        <w:rPr>
          <w:rStyle w:val="FootnoteReference1"/>
          <w:vertAlign w:val="baseline"/>
          <w:rtl/>
        </w:rPr>
        <w:tab/>
      </w:r>
      <w:r w:rsidRPr="00BC7AA5">
        <w:rPr>
          <w:rStyle w:val="FootnoteReference1"/>
          <w:rFonts w:hint="cs"/>
          <w:vertAlign w:val="baseline"/>
          <w:rtl/>
        </w:rPr>
        <w:t xml:space="preserve">הנתונים של הלמ"ס כוללים את מספר הבלתי מועסקים (137,000, 170,000 ו-192,000 בחודשים אפריל, מאי ויוני 2020, בהתאמה) ואת מספר הנעדרים כל </w:t>
      </w:r>
      <w:r w:rsidRPr="00BC7AA5">
        <w:rPr>
          <w:rStyle w:val="FootnoteReference1"/>
          <w:rFonts w:hint="eastAsia"/>
          <w:vertAlign w:val="baseline"/>
          <w:rtl/>
        </w:rPr>
        <w:t>השבוע</w:t>
      </w:r>
      <w:r w:rsidRPr="00BC7AA5">
        <w:rPr>
          <w:rStyle w:val="FootnoteReference1"/>
          <w:rFonts w:hint="cs"/>
          <w:vertAlign w:val="baseline"/>
          <w:rtl/>
        </w:rPr>
        <w:t xml:space="preserve"> מעבודתם בגלל סיבות הקשורות לקורונה (1.276 מיליון, 684,000 ו-209,000 בחודשים אפריל, מאי ויוני 2020, בהתאמה).</w:t>
      </w:r>
    </w:p>
  </w:footnote>
  <w:footnote w:id="6">
    <w:p w:rsidR="00E06FBE" w:rsidRPr="00D2140A" w:rsidP="00310493">
      <w:pPr>
        <w:pStyle w:val="FootnoteText"/>
        <w:rPr>
          <w:rStyle w:val="FootnoteReference1"/>
          <w:vertAlign w:val="baseline"/>
          <w:rtl/>
        </w:rPr>
      </w:pPr>
      <w:r w:rsidRPr="00D2140A">
        <w:rPr>
          <w:rStyle w:val="FootnoteReference1"/>
          <w:vertAlign w:val="baseline"/>
        </w:rPr>
        <w:footnoteRef/>
      </w:r>
      <w:r w:rsidRPr="00D2140A">
        <w:rPr>
          <w:rStyle w:val="FootnoteReference1"/>
          <w:vertAlign w:val="baseline"/>
          <w:rtl/>
        </w:rPr>
        <w:t xml:space="preserve"> </w:t>
      </w:r>
      <w:r w:rsidRPr="00D2140A">
        <w:rPr>
          <w:rStyle w:val="FootnoteReference1"/>
          <w:vertAlign w:val="baseline"/>
          <w:rtl/>
        </w:rPr>
        <w:tab/>
      </w:r>
      <w:r w:rsidRPr="00D2140A">
        <w:rPr>
          <w:rStyle w:val="FootnoteReference1"/>
          <w:rFonts w:hint="cs"/>
          <w:vertAlign w:val="baseline"/>
          <w:rtl/>
        </w:rPr>
        <w:t xml:space="preserve">ראו מבקר המדינה, </w:t>
      </w:r>
      <w:r w:rsidRPr="001E326D">
        <w:rPr>
          <w:rStyle w:val="FootnoteReference1"/>
          <w:rFonts w:hint="eastAsia"/>
          <w:b/>
          <w:bCs/>
          <w:vertAlign w:val="baseline"/>
          <w:rtl/>
        </w:rPr>
        <w:t>דו</w:t>
      </w:r>
      <w:r w:rsidRPr="001E326D">
        <w:rPr>
          <w:rStyle w:val="FootnoteReference1"/>
          <w:b/>
          <w:bCs/>
          <w:vertAlign w:val="baseline"/>
          <w:rtl/>
        </w:rPr>
        <w:t xml:space="preserve">ח </w:t>
      </w:r>
      <w:r w:rsidRPr="001E326D">
        <w:rPr>
          <w:rStyle w:val="FootnoteReference1"/>
          <w:rFonts w:hint="eastAsia"/>
          <w:b/>
          <w:bCs/>
          <w:vertAlign w:val="baseline"/>
          <w:rtl/>
        </w:rPr>
        <w:t>שנתי</w:t>
      </w:r>
      <w:r w:rsidRPr="001E326D">
        <w:rPr>
          <w:rStyle w:val="FootnoteReference1"/>
          <w:b/>
          <w:bCs/>
          <w:vertAlign w:val="baseline"/>
          <w:rtl/>
        </w:rPr>
        <w:t xml:space="preserve"> 65ג</w:t>
      </w:r>
      <w:r w:rsidRPr="00D2140A">
        <w:rPr>
          <w:rStyle w:val="FootnoteReference1"/>
          <w:rFonts w:hint="cs"/>
          <w:vertAlign w:val="baseline"/>
          <w:rtl/>
        </w:rPr>
        <w:t xml:space="preserve"> (2015), "אי-מיצוי של זכויות חברתיות", עמ' 19.</w:t>
      </w:r>
    </w:p>
  </w:footnote>
  <w:footnote w:id="7">
    <w:p w:rsidR="00E06FBE" w:rsidRPr="00D2140A" w:rsidP="00310493">
      <w:pPr>
        <w:pStyle w:val="FootnoteText"/>
        <w:rPr>
          <w:rStyle w:val="FootnoteReference1"/>
          <w:vertAlign w:val="baseline"/>
        </w:rPr>
      </w:pPr>
      <w:r w:rsidRPr="00D2140A">
        <w:rPr>
          <w:rStyle w:val="FootnoteReference1"/>
          <w:vertAlign w:val="baseline"/>
        </w:rPr>
        <w:footnoteRef/>
      </w:r>
      <w:r w:rsidRPr="00D2140A">
        <w:rPr>
          <w:rStyle w:val="FootnoteReference1"/>
          <w:vertAlign w:val="baseline"/>
          <w:rtl/>
        </w:rPr>
        <w:t xml:space="preserve"> </w:t>
      </w:r>
      <w:r w:rsidRPr="00D2140A">
        <w:rPr>
          <w:rStyle w:val="FootnoteReference1"/>
          <w:vertAlign w:val="baseline"/>
          <w:rtl/>
        </w:rPr>
        <w:tab/>
      </w:r>
      <w:r w:rsidRPr="00D2140A">
        <w:rPr>
          <w:rStyle w:val="FootnoteReference1"/>
          <w:rFonts w:hint="cs"/>
          <w:vertAlign w:val="baseline"/>
          <w:rtl/>
        </w:rPr>
        <w:t xml:space="preserve">בתקופה שבה נעשתה הביקורת האמורה לעיל (דוח 65ג) היה בט"ל מקבל את המידע על השכירים מרשות המיסים. המעסיקים דיווחו פעם בשנה לרשות </w:t>
      </w:r>
      <w:r w:rsidRPr="00D2140A">
        <w:rPr>
          <w:rStyle w:val="FootnoteReference1"/>
          <w:rFonts w:hint="eastAsia"/>
          <w:vertAlign w:val="baseline"/>
          <w:rtl/>
        </w:rPr>
        <w:t>המיסים</w:t>
      </w:r>
      <w:r w:rsidRPr="00D2140A">
        <w:rPr>
          <w:rStyle w:val="FootnoteReference1"/>
          <w:rFonts w:hint="cs"/>
          <w:vertAlign w:val="baseline"/>
          <w:rtl/>
        </w:rPr>
        <w:t xml:space="preserve"> באמצעות טופס 126 על השנה שחלפה ובו פירטו את שכרם ואת פרטי העובדים שלהם.</w:t>
      </w:r>
    </w:p>
  </w:footnote>
  <w:footnote w:id="8">
    <w:p w:rsidR="00E06FBE" w:rsidRPr="00D2140A" w:rsidP="00310493">
      <w:pPr>
        <w:pStyle w:val="FootnoteText"/>
        <w:rPr>
          <w:rStyle w:val="FootnoteReference1"/>
          <w:vertAlign w:val="baseline"/>
          <w:rtl/>
        </w:rPr>
      </w:pPr>
      <w:r w:rsidRPr="00D2140A">
        <w:rPr>
          <w:rStyle w:val="FootnoteReference1"/>
          <w:vertAlign w:val="baseline"/>
        </w:rPr>
        <w:footnoteRef/>
      </w:r>
      <w:r w:rsidRPr="00D2140A">
        <w:rPr>
          <w:rStyle w:val="FootnoteReference1"/>
          <w:vertAlign w:val="baseline"/>
          <w:rtl/>
        </w:rPr>
        <w:t xml:space="preserve"> </w:t>
      </w:r>
      <w:r w:rsidRPr="00D2140A">
        <w:rPr>
          <w:rStyle w:val="FootnoteReference1"/>
          <w:vertAlign w:val="baseline"/>
          <w:rtl/>
        </w:rPr>
        <w:tab/>
        <w:t xml:space="preserve">המסמך אומץ בהחלטת </w:t>
      </w:r>
      <w:r w:rsidRPr="00D2140A">
        <w:rPr>
          <w:rStyle w:val="FootnoteReference1"/>
          <w:rFonts w:hint="cs"/>
          <w:vertAlign w:val="baseline"/>
          <w:rtl/>
        </w:rPr>
        <w:t>ה</w:t>
      </w:r>
      <w:r w:rsidRPr="00D2140A">
        <w:rPr>
          <w:rStyle w:val="FootnoteReference1"/>
          <w:vertAlign w:val="baseline"/>
          <w:rtl/>
        </w:rPr>
        <w:t>ממשלה 1586 מ-22.4.07</w:t>
      </w:r>
      <w:r w:rsidRPr="00D2140A">
        <w:rPr>
          <w:rStyle w:val="FootnoteReference1"/>
          <w:rFonts w:hint="cs"/>
          <w:vertAlign w:val="baseline"/>
          <w:rtl/>
        </w:rPr>
        <w:t>.</w:t>
      </w:r>
    </w:p>
  </w:footnote>
  <w:footnote w:id="9">
    <w:p w:rsidR="00E06FBE" w:rsidRPr="00D2140A" w:rsidP="00310493">
      <w:pPr>
        <w:pStyle w:val="FootnoteText"/>
        <w:rPr>
          <w:rStyle w:val="FootnoteReference1"/>
          <w:vertAlign w:val="baseline"/>
        </w:rPr>
      </w:pPr>
      <w:r w:rsidRPr="00D2140A">
        <w:rPr>
          <w:rStyle w:val="FootnoteReference1"/>
          <w:vertAlign w:val="baseline"/>
        </w:rPr>
        <w:footnoteRef/>
      </w:r>
      <w:r w:rsidRPr="00D2140A">
        <w:rPr>
          <w:rStyle w:val="FootnoteReference1"/>
          <w:vertAlign w:val="baseline"/>
          <w:rtl/>
        </w:rPr>
        <w:t xml:space="preserve"> </w:t>
      </w:r>
      <w:r w:rsidRPr="00D2140A">
        <w:rPr>
          <w:rStyle w:val="FootnoteReference1"/>
          <w:vertAlign w:val="baseline"/>
          <w:rtl/>
        </w:rPr>
        <w:tab/>
      </w:r>
      <w:r w:rsidRPr="00D2140A">
        <w:rPr>
          <w:rStyle w:val="FootnoteReference1"/>
          <w:rFonts w:hint="cs"/>
          <w:vertAlign w:val="baseline"/>
          <w:rtl/>
        </w:rPr>
        <w:t>הדיווח הוא על הכנסות מצטברות לתקופה ולא לפי חלוקה לחודשים.</w:t>
      </w:r>
    </w:p>
  </w:footnote>
  <w:footnote w:id="10">
    <w:p w:rsidR="00E06FBE" w:rsidRPr="00D2140A" w:rsidP="00310493">
      <w:pPr>
        <w:pStyle w:val="FootnoteText"/>
        <w:rPr>
          <w:rStyle w:val="FootnoteReference1"/>
          <w:vertAlign w:val="baseline"/>
          <w:rtl/>
        </w:rPr>
      </w:pPr>
      <w:r w:rsidRPr="00D2140A">
        <w:rPr>
          <w:rStyle w:val="FootnoteReference1"/>
          <w:vertAlign w:val="baseline"/>
        </w:rPr>
        <w:footnoteRef/>
      </w:r>
      <w:r w:rsidRPr="00D2140A">
        <w:rPr>
          <w:rStyle w:val="FootnoteReference1"/>
          <w:vertAlign w:val="baseline"/>
          <w:rtl/>
        </w:rPr>
        <w:t xml:space="preserve"> </w:t>
      </w:r>
      <w:r w:rsidRPr="00D2140A">
        <w:rPr>
          <w:rStyle w:val="FootnoteReference1"/>
          <w:vertAlign w:val="baseline"/>
          <w:rtl/>
        </w:rPr>
        <w:tab/>
      </w:r>
      <w:r w:rsidRPr="00D2140A">
        <w:rPr>
          <w:rStyle w:val="FootnoteReference1"/>
          <w:rFonts w:hint="cs"/>
          <w:vertAlign w:val="baseline"/>
          <w:rtl/>
        </w:rPr>
        <w:t>טופס 100 פותח על ידי בט"ל בשיתוף חברות תוכנות השכר שמותקנות אצל המעסיקים. יצוין כי בט"ל פיתח גם ממשק מול המעסיקים לקבל באופן מקוון את חשבונות הבנקים של העובדים שיצאו לחל"ת.</w:t>
      </w:r>
    </w:p>
  </w:footnote>
  <w:footnote w:id="11">
    <w:p w:rsidR="00E06FBE" w:rsidRPr="00D2140A" w:rsidP="00310493">
      <w:pPr>
        <w:pStyle w:val="FootnoteText"/>
        <w:rPr>
          <w:rStyle w:val="FootnoteReference1"/>
          <w:vertAlign w:val="baseline"/>
          <w:rtl/>
        </w:rPr>
      </w:pPr>
      <w:r w:rsidRPr="00D2140A">
        <w:rPr>
          <w:rStyle w:val="FootnoteReference1"/>
          <w:vertAlign w:val="baseline"/>
        </w:rPr>
        <w:footnoteRef/>
      </w:r>
      <w:r w:rsidRPr="00D2140A">
        <w:rPr>
          <w:rStyle w:val="FootnoteReference1"/>
          <w:vertAlign w:val="baseline"/>
          <w:rtl/>
        </w:rPr>
        <w:t xml:space="preserve"> </w:t>
      </w:r>
      <w:r w:rsidRPr="00D2140A">
        <w:rPr>
          <w:rStyle w:val="FootnoteReference1"/>
          <w:vertAlign w:val="baseline"/>
          <w:rtl/>
        </w:rPr>
        <w:tab/>
        <w:t>בדיקה שעשה משרד מבקר המדינה עם שלוש חברות שמפתחות תוכנות שכר שבאמצעותן מדווחים המעסיקים את דיווחיהם לבט"ל העלתה כי יש בידיה</w:t>
      </w:r>
      <w:r w:rsidRPr="00D2140A">
        <w:rPr>
          <w:rStyle w:val="FootnoteReference1"/>
          <w:rFonts w:hint="cs"/>
          <w:vertAlign w:val="baseline"/>
          <w:rtl/>
        </w:rPr>
        <w:t>ן</w:t>
      </w:r>
      <w:r w:rsidRPr="00D2140A">
        <w:rPr>
          <w:rStyle w:val="FootnoteReference1"/>
          <w:vertAlign w:val="baseline"/>
          <w:rtl/>
        </w:rPr>
        <w:t xml:space="preserve"> </w:t>
      </w:r>
      <w:r w:rsidRPr="00D2140A">
        <w:rPr>
          <w:rStyle w:val="FootnoteReference1"/>
          <w:rFonts w:hint="cs"/>
          <w:vertAlign w:val="baseline"/>
          <w:rtl/>
        </w:rPr>
        <w:t>ה</w:t>
      </w:r>
      <w:r w:rsidRPr="00D2140A">
        <w:rPr>
          <w:rStyle w:val="FootnoteReference1"/>
          <w:vertAlign w:val="baseline"/>
          <w:rtl/>
        </w:rPr>
        <w:t xml:space="preserve">יכולת הטכנולוגית </w:t>
      </w:r>
      <w:r w:rsidRPr="00D2140A">
        <w:rPr>
          <w:rStyle w:val="FootnoteReference1"/>
          <w:rFonts w:hint="cs"/>
          <w:vertAlign w:val="baseline"/>
          <w:rtl/>
        </w:rPr>
        <w:t>ש</w:t>
      </w:r>
      <w:r w:rsidRPr="00D2140A">
        <w:rPr>
          <w:rStyle w:val="FootnoteReference1"/>
          <w:vertAlign w:val="baseline"/>
          <w:rtl/>
        </w:rPr>
        <w:t>מאפשרת למעסיקים</w:t>
      </w:r>
      <w:r w:rsidRPr="00D2140A">
        <w:rPr>
          <w:rStyle w:val="FootnoteReference1"/>
          <w:rFonts w:hint="cs"/>
          <w:vertAlign w:val="baseline"/>
          <w:rtl/>
        </w:rPr>
        <w:t xml:space="preserve"> למסור נתוני שכר מדי חודש בחודשו.</w:t>
      </w:r>
    </w:p>
  </w:footnote>
  <w:footnote w:id="12">
    <w:p w:rsidR="00E06FBE" w:rsidRPr="00D2140A" w:rsidP="00310493">
      <w:pPr>
        <w:pStyle w:val="FootnoteText"/>
        <w:rPr>
          <w:rStyle w:val="FootnoteReference1"/>
          <w:vertAlign w:val="baseline"/>
          <w:rtl/>
        </w:rPr>
      </w:pPr>
      <w:r w:rsidRPr="00D2140A">
        <w:rPr>
          <w:rStyle w:val="FootnoteReference1"/>
          <w:vertAlign w:val="baseline"/>
        </w:rPr>
        <w:footnoteRef/>
      </w:r>
      <w:r w:rsidRPr="00D2140A">
        <w:rPr>
          <w:rStyle w:val="FootnoteReference1"/>
          <w:vertAlign w:val="baseline"/>
          <w:rtl/>
        </w:rPr>
        <w:t xml:space="preserve"> </w:t>
      </w:r>
      <w:r w:rsidRPr="00D2140A">
        <w:rPr>
          <w:rStyle w:val="FootnoteReference1"/>
          <w:vertAlign w:val="baseline"/>
          <w:rtl/>
        </w:rPr>
        <w:tab/>
        <w:t xml:space="preserve">מובטל שעבד בעבודה שהשכר היומי הממוצע בה נמוך מדמי האבטלה המגיעים לו ליום </w:t>
      </w:r>
      <w:r w:rsidRPr="00D2140A">
        <w:rPr>
          <w:rStyle w:val="FootnoteReference1"/>
          <w:rFonts w:hint="cs"/>
          <w:vertAlign w:val="baseline"/>
          <w:rtl/>
        </w:rPr>
        <w:t xml:space="preserve">יכול להיות </w:t>
      </w:r>
      <w:r w:rsidRPr="00D2140A">
        <w:rPr>
          <w:rStyle w:val="FootnoteReference1"/>
          <w:vertAlign w:val="baseline"/>
          <w:rtl/>
        </w:rPr>
        <w:t>זכאי למענק אם עבד בעבודה זו 25 ימים לפחות ב-50% משרה לפחות. מספר הימים שבעדם ישולם המענק לא יעלה על 100. סכום המענק יהיה ההפרש שבין דמי האבטלה שהיו מגיעים לו ליום, אם לא היה עובד בשכר נמוך, ובין מחצית שכרו היומי הממוצע מהעבודה בשכר הנמוך.</w:t>
      </w:r>
    </w:p>
  </w:footnote>
  <w:footnote w:id="13">
    <w:p w:rsidR="00E06FBE" w:rsidRPr="00D2140A" w:rsidP="00310493">
      <w:pPr>
        <w:pStyle w:val="FootnoteText"/>
        <w:rPr>
          <w:rStyle w:val="FootnoteReference1"/>
          <w:vertAlign w:val="baseline"/>
        </w:rPr>
      </w:pPr>
      <w:r w:rsidRPr="00D2140A">
        <w:rPr>
          <w:rStyle w:val="FootnoteReference1"/>
          <w:vertAlign w:val="baseline"/>
        </w:rPr>
        <w:footnoteRef/>
      </w:r>
      <w:r w:rsidRPr="00D2140A">
        <w:rPr>
          <w:rStyle w:val="FootnoteReference1"/>
          <w:vertAlign w:val="baseline"/>
          <w:rtl/>
        </w:rPr>
        <w:t xml:space="preserve"> </w:t>
      </w:r>
      <w:r w:rsidRPr="00D2140A">
        <w:rPr>
          <w:rStyle w:val="FootnoteReference1"/>
          <w:vertAlign w:val="baseline"/>
          <w:rtl/>
        </w:rPr>
        <w:tab/>
      </w:r>
      <w:r w:rsidRPr="00D2140A">
        <w:rPr>
          <w:rStyle w:val="FootnoteReference1"/>
          <w:rFonts w:hint="cs"/>
          <w:vertAlign w:val="baseline"/>
          <w:rtl/>
        </w:rPr>
        <w:t>ו</w:t>
      </w:r>
      <w:r w:rsidRPr="00D2140A">
        <w:rPr>
          <w:rStyle w:val="FootnoteReference1"/>
          <w:vertAlign w:val="baseline"/>
          <w:rtl/>
        </w:rPr>
        <w:t>בהן הבטחת הכנסה, השלמת הכנסה, סיעוד וקצבת זקנה בגיל המותנה</w:t>
      </w:r>
      <w:r w:rsidRPr="00D2140A">
        <w:rPr>
          <w:rStyle w:val="FootnoteReference1"/>
          <w:rFonts w:hint="cs"/>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7F19" w:rsidP="00F17632">
    <w:pPr>
      <w:pStyle w:val="Header"/>
      <w:tabs>
        <w:tab w:val="left" w:pos="493"/>
        <w:tab w:val="center" w:pos="4111"/>
        <w:tab w:val="right" w:pos="7478"/>
        <w:tab w:val="right" w:pos="8222"/>
      </w:tabs>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-81915</wp:posOffset>
          </wp:positionV>
          <wp:extent cx="5219700" cy="3092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764876" name="temp-layout.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19700" cy="309245"/>
                  </a:xfrm>
                  <a:prstGeom prst="rect">
                    <a:avLst/>
                  </a:prstGeom>
                </pic:spPr>
              </pic:pic>
            </a:graphicData>
          </a:graphic>
          <wp14:sizeRelH relativeFrom="margin">
            <wp14:pctWidth>0</wp14:pctWidth>
          </wp14:sizeRelH>
          <wp14:sizeRelV relativeFrom="margin">
            <wp14:pctHeight>0</wp14:pctHeight>
          </wp14:sizeRelV>
        </wp:anchor>
      </w:drawing>
    </w:r>
    <w:r>
      <w:tab/>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noProof/>
        <w:rtl/>
      </w:rPr>
      <w:t>10</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B4501E" w:rsidP="001E326D">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6740C9">
      <w:rPr>
        <w:rFonts w:ascii="Tahoma" w:hAnsi="Tahoma" w:eastAsiaTheme="majorEastAsia" w:cs="Tahoma"/>
        <w:b/>
        <w:bCs/>
        <w:noProof/>
        <w:color w:val="0B5294" w:themeColor="accent1" w:themeShade="BF"/>
        <w:sz w:val="16"/>
        <w:szCs w:val="16"/>
        <w:rtl/>
      </w:rPr>
      <w:t>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E06FBE" w:rsidR="00E06FBE">
      <w:rPr>
        <w:rFonts w:ascii="Tahoma" w:hAnsi="Tahoma" w:eastAsiaTheme="majorEastAsia" w:cs="Tahoma" w:hint="eastAsia"/>
        <w:color w:val="0B5294" w:themeColor="accent1" w:themeShade="BF"/>
        <w:sz w:val="16"/>
        <w:szCs w:val="16"/>
        <w:rtl/>
      </w:rPr>
      <w:t>טיפול</w:t>
    </w:r>
    <w:r w:rsidRPr="00E06FBE" w:rsidR="00E06FBE">
      <w:rPr>
        <w:rFonts w:ascii="Tahoma" w:hAnsi="Tahoma" w:eastAsiaTheme="majorEastAsia" w:cs="Tahoma"/>
        <w:color w:val="0B5294" w:themeColor="accent1" w:themeShade="BF"/>
        <w:sz w:val="16"/>
        <w:szCs w:val="16"/>
        <w:rtl/>
      </w:rPr>
      <w:t xml:space="preserve"> </w:t>
    </w:r>
    <w:r w:rsidRPr="00E06FBE" w:rsidR="00E06FBE">
      <w:rPr>
        <w:rFonts w:ascii="Tahoma" w:hAnsi="Tahoma" w:eastAsiaTheme="majorEastAsia" w:cs="Tahoma" w:hint="eastAsia"/>
        <w:color w:val="0B5294" w:themeColor="accent1" w:themeShade="BF"/>
        <w:sz w:val="16"/>
        <w:szCs w:val="16"/>
        <w:rtl/>
      </w:rPr>
      <w:t>הממשלה</w:t>
    </w:r>
    <w:r w:rsidRPr="00E06FBE" w:rsidR="00E06FBE">
      <w:rPr>
        <w:rFonts w:ascii="Tahoma" w:hAnsi="Tahoma" w:eastAsiaTheme="majorEastAsia" w:cs="Tahoma"/>
        <w:color w:val="0B5294" w:themeColor="accent1" w:themeShade="BF"/>
        <w:sz w:val="16"/>
        <w:szCs w:val="16"/>
        <w:rtl/>
      </w:rPr>
      <w:t xml:space="preserve"> </w:t>
    </w:r>
    <w:r w:rsidRPr="00E06FBE" w:rsidR="00E06FBE">
      <w:rPr>
        <w:rFonts w:ascii="Tahoma" w:hAnsi="Tahoma" w:eastAsiaTheme="majorEastAsia" w:cs="Tahoma" w:hint="eastAsia"/>
        <w:color w:val="0B5294" w:themeColor="accent1" w:themeShade="BF"/>
        <w:sz w:val="16"/>
        <w:szCs w:val="16"/>
        <w:rtl/>
      </w:rPr>
      <w:t>במובטלים</w:t>
    </w:r>
    <w:r w:rsidRPr="00E06FBE" w:rsidR="00E06FBE">
      <w:rPr>
        <w:rFonts w:ascii="Tahoma" w:hAnsi="Tahoma" w:eastAsiaTheme="majorEastAsia" w:cs="Tahoma"/>
        <w:color w:val="0B5294" w:themeColor="accent1" w:themeShade="BF"/>
        <w:sz w:val="16"/>
        <w:szCs w:val="16"/>
        <w:rtl/>
      </w:rPr>
      <w:t xml:space="preserve"> </w:t>
    </w:r>
    <w:r w:rsidRPr="00E06FBE" w:rsidR="00E06FBE">
      <w:rPr>
        <w:rFonts w:ascii="Tahoma" w:hAnsi="Tahoma" w:eastAsiaTheme="majorEastAsia" w:cs="Tahoma" w:hint="eastAsia"/>
        <w:color w:val="0B5294" w:themeColor="accent1" w:themeShade="BF"/>
        <w:sz w:val="16"/>
        <w:szCs w:val="16"/>
        <w:rtl/>
      </w:rPr>
      <w:t>ובדורשי</w:t>
    </w:r>
    <w:r w:rsidRPr="00E06FBE" w:rsidR="00E06FBE">
      <w:rPr>
        <w:rFonts w:ascii="Tahoma" w:hAnsi="Tahoma" w:eastAsiaTheme="majorEastAsia" w:cs="Tahoma"/>
        <w:color w:val="0B5294" w:themeColor="accent1" w:themeShade="BF"/>
        <w:sz w:val="16"/>
        <w:szCs w:val="16"/>
        <w:rtl/>
      </w:rPr>
      <w:t xml:space="preserve"> </w:t>
    </w:r>
    <w:r w:rsidRPr="00E06FBE" w:rsidR="00E06FBE">
      <w:rPr>
        <w:rFonts w:ascii="Tahoma" w:hAnsi="Tahoma" w:eastAsiaTheme="majorEastAsia" w:cs="Tahoma" w:hint="eastAsia"/>
        <w:color w:val="0B5294" w:themeColor="accent1" w:themeShade="BF"/>
        <w:sz w:val="16"/>
        <w:szCs w:val="16"/>
        <w:rtl/>
      </w:rPr>
      <w:t>עבודה</w:t>
    </w:r>
    <w:r w:rsidRPr="00E06FBE" w:rsidR="00E06FBE">
      <w:rPr>
        <w:rFonts w:ascii="Tahoma" w:hAnsi="Tahoma" w:eastAsiaTheme="majorEastAsia" w:cs="Tahoma"/>
        <w:color w:val="0B5294" w:themeColor="accent1" w:themeShade="BF"/>
        <w:sz w:val="16"/>
        <w:szCs w:val="16"/>
        <w:rtl/>
      </w:rPr>
      <w:t xml:space="preserve"> </w:t>
    </w:r>
    <w:r w:rsidRPr="00E06FBE" w:rsidR="00E06FBE">
      <w:rPr>
        <w:rFonts w:ascii="Tahoma" w:hAnsi="Tahoma" w:eastAsiaTheme="majorEastAsia" w:cs="Tahoma" w:hint="eastAsia"/>
        <w:color w:val="0B5294" w:themeColor="accent1" w:themeShade="BF"/>
        <w:sz w:val="16"/>
        <w:szCs w:val="16"/>
        <w:rtl/>
      </w:rPr>
      <w:t>במשבר</w:t>
    </w:r>
    <w:r w:rsidRPr="00E06FBE" w:rsidR="00E06FBE">
      <w:rPr>
        <w:rFonts w:ascii="Tahoma" w:hAnsi="Tahoma" w:eastAsiaTheme="majorEastAsia" w:cs="Tahoma"/>
        <w:color w:val="0B5294" w:themeColor="accent1" w:themeShade="BF"/>
        <w:sz w:val="16"/>
        <w:szCs w:val="16"/>
        <w:rtl/>
      </w:rPr>
      <w:t xml:space="preserve"> </w:t>
    </w:r>
    <w:r w:rsidRPr="00E06FBE" w:rsidR="00E06FBE">
      <w:rPr>
        <w:rFonts w:ascii="Tahoma" w:hAnsi="Tahoma" w:eastAsiaTheme="majorEastAsia" w:cs="Tahoma" w:hint="eastAsia"/>
        <w:color w:val="0B5294" w:themeColor="accent1" w:themeShade="BF"/>
        <w:sz w:val="16"/>
        <w:szCs w:val="16"/>
        <w:rtl/>
      </w:rPr>
      <w:t>הקורונה</w:t>
    </w:r>
    <w:r w:rsidR="00E06FBE">
      <w:rPr>
        <w:rFonts w:ascii="Tahoma" w:hAnsi="Tahoma" w:eastAsiaTheme="majorEastAsia" w:cs="Tahoma"/>
        <w:color w:val="0B5294" w:themeColor="accent1" w:themeShade="BF"/>
        <w:sz w:val="16"/>
        <w:szCs w:val="16"/>
      </w:rPr>
      <w:t xml:space="preserve">- </w:t>
    </w:r>
    <w:r w:rsidR="001E326D">
      <w:rPr>
        <w:rFonts w:ascii="Tahoma" w:hAnsi="Tahoma" w:eastAsiaTheme="majorEastAsia" w:cs="Tahoma" w:hint="cs"/>
        <w:noProof/>
        <w:color w:val="0B5294" w:themeColor="accent1" w:themeShade="BF"/>
        <w:sz w:val="16"/>
        <w:szCs w:val="16"/>
        <w:rtl/>
      </w:rPr>
      <w:t xml:space="preserve"> </w:t>
    </w:r>
    <w:r w:rsidRPr="008E0524" w:rsidR="008E0524">
      <w:rPr>
        <w:rFonts w:ascii="Tahoma" w:hAnsi="Tahoma" w:eastAsiaTheme="majorEastAsia" w:cs="Tahoma" w:hint="eastAsia"/>
        <w:noProof/>
        <w:color w:val="0B5294" w:themeColor="accent1" w:themeShade="BF"/>
        <w:sz w:val="16"/>
        <w:szCs w:val="16"/>
        <w:rtl/>
      </w:rPr>
      <w:t>דוח</w:t>
    </w:r>
    <w:r w:rsidRPr="008E0524" w:rsidR="008E0524">
      <w:rPr>
        <w:rFonts w:ascii="Tahoma" w:hAnsi="Tahoma" w:eastAsiaTheme="majorEastAsia" w:cs="Tahoma"/>
        <w:noProof/>
        <w:color w:val="0B5294" w:themeColor="accent1" w:themeShade="BF"/>
        <w:sz w:val="16"/>
        <w:szCs w:val="16"/>
        <w:rtl/>
      </w:rPr>
      <w:t xml:space="preserve"> </w:t>
    </w:r>
    <w:r w:rsidR="001D4E4C">
      <w:rPr>
        <w:rFonts w:ascii="Tahoma" w:hAnsi="Tahoma" w:eastAsiaTheme="majorEastAsia" w:cs="Tahoma" w:hint="cs"/>
        <w:noProof/>
        <w:color w:val="0B5294" w:themeColor="accent1" w:themeShade="BF"/>
        <w:sz w:val="16"/>
        <w:szCs w:val="16"/>
        <w:rtl/>
      </w:rPr>
      <w:t>ביקורת מיוחד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501E" w:rsidRPr="007F1A39" w:rsidP="001E326D">
    <w:pPr>
      <w:pStyle w:val="Header"/>
      <w:spacing w:before="240" w:after="180"/>
      <w:rPr>
        <w:rFonts w:ascii="Tahoma" w:hAnsi="Tahoma" w:eastAsiaTheme="majorEastAsia" w:cs="Tahoma"/>
        <w:noProof/>
        <w:color w:val="0B5294" w:themeColor="accent1" w:themeShade="BF"/>
        <w:sz w:val="16"/>
        <w:szCs w:val="16"/>
      </w:rPr>
    </w:pPr>
    <w:r w:rsidRPr="00E06FBE">
      <w:rPr>
        <w:rFonts w:ascii="Tahoma" w:hAnsi="Tahoma" w:eastAsiaTheme="majorEastAsia" w:cs="Tahoma" w:hint="eastAsia"/>
        <w:noProof/>
        <w:color w:val="0B5294" w:themeColor="accent1" w:themeShade="BF"/>
        <w:sz w:val="16"/>
        <w:szCs w:val="16"/>
        <w:rtl/>
      </w:rPr>
      <w:t>קבלת</w:t>
    </w:r>
    <w:r w:rsidRPr="00E06FBE">
      <w:rPr>
        <w:rFonts w:ascii="Tahoma" w:hAnsi="Tahoma" w:eastAsiaTheme="majorEastAsia" w:cs="Tahoma"/>
        <w:noProof/>
        <w:color w:val="0B5294" w:themeColor="accent1" w:themeShade="BF"/>
        <w:sz w:val="16"/>
        <w:szCs w:val="16"/>
        <w:rtl/>
      </w:rPr>
      <w:t xml:space="preserve"> </w:t>
    </w:r>
    <w:r w:rsidRPr="00E06FBE">
      <w:rPr>
        <w:rFonts w:ascii="Tahoma" w:hAnsi="Tahoma" w:eastAsiaTheme="majorEastAsia" w:cs="Tahoma" w:hint="eastAsia"/>
        <w:noProof/>
        <w:color w:val="0B5294" w:themeColor="accent1" w:themeShade="BF"/>
        <w:sz w:val="16"/>
        <w:szCs w:val="16"/>
        <w:rtl/>
      </w:rPr>
      <w:t>נתונים</w:t>
    </w:r>
    <w:r w:rsidRPr="00E06FBE">
      <w:rPr>
        <w:rFonts w:ascii="Tahoma" w:hAnsi="Tahoma" w:eastAsiaTheme="majorEastAsia" w:cs="Tahoma"/>
        <w:noProof/>
        <w:color w:val="0B5294" w:themeColor="accent1" w:themeShade="BF"/>
        <w:sz w:val="16"/>
        <w:szCs w:val="16"/>
        <w:rtl/>
      </w:rPr>
      <w:t xml:space="preserve"> </w:t>
    </w:r>
    <w:r w:rsidRPr="00E06FBE">
      <w:rPr>
        <w:rFonts w:ascii="Tahoma" w:hAnsi="Tahoma" w:eastAsiaTheme="majorEastAsia" w:cs="Tahoma" w:hint="eastAsia"/>
        <w:noProof/>
        <w:color w:val="0B5294" w:themeColor="accent1" w:themeShade="BF"/>
        <w:sz w:val="16"/>
        <w:szCs w:val="16"/>
        <w:rtl/>
      </w:rPr>
      <w:t>חודשיים</w:t>
    </w:r>
    <w:r w:rsidRPr="00E06FBE">
      <w:rPr>
        <w:rFonts w:ascii="Tahoma" w:hAnsi="Tahoma" w:eastAsiaTheme="majorEastAsia" w:cs="Tahoma"/>
        <w:noProof/>
        <w:color w:val="0B5294" w:themeColor="accent1" w:themeShade="BF"/>
        <w:sz w:val="16"/>
        <w:szCs w:val="16"/>
        <w:rtl/>
      </w:rPr>
      <w:t xml:space="preserve"> </w:t>
    </w:r>
    <w:r w:rsidRPr="00E06FBE">
      <w:rPr>
        <w:rFonts w:ascii="Tahoma" w:hAnsi="Tahoma" w:eastAsiaTheme="majorEastAsia" w:cs="Tahoma" w:hint="eastAsia"/>
        <w:noProof/>
        <w:color w:val="0B5294" w:themeColor="accent1" w:themeShade="BF"/>
        <w:sz w:val="16"/>
        <w:szCs w:val="16"/>
        <w:rtl/>
      </w:rPr>
      <w:t>מהימנים</w:t>
    </w:r>
    <w:r w:rsidRPr="00E06FBE">
      <w:rPr>
        <w:rFonts w:ascii="Tahoma" w:hAnsi="Tahoma" w:eastAsiaTheme="majorEastAsia" w:cs="Tahoma"/>
        <w:noProof/>
        <w:color w:val="0B5294" w:themeColor="accent1" w:themeShade="BF"/>
        <w:sz w:val="16"/>
        <w:szCs w:val="16"/>
        <w:rtl/>
      </w:rPr>
      <w:t xml:space="preserve"> </w:t>
    </w:r>
    <w:r w:rsidRPr="00E06FBE">
      <w:rPr>
        <w:rFonts w:ascii="Tahoma" w:hAnsi="Tahoma" w:eastAsiaTheme="majorEastAsia" w:cs="Tahoma" w:hint="eastAsia"/>
        <w:noProof/>
        <w:color w:val="0B5294" w:themeColor="accent1" w:themeShade="BF"/>
        <w:sz w:val="16"/>
        <w:szCs w:val="16"/>
        <w:rtl/>
      </w:rPr>
      <w:t>מהמעסיקים</w:t>
    </w:r>
    <w:r w:rsidRPr="00E06FBE">
      <w:rPr>
        <w:rFonts w:ascii="Tahoma" w:hAnsi="Tahoma" w:eastAsiaTheme="majorEastAsia" w:cs="Tahoma"/>
        <w:noProof/>
        <w:color w:val="0B5294" w:themeColor="accent1" w:themeShade="BF"/>
        <w:sz w:val="16"/>
        <w:szCs w:val="16"/>
        <w:rtl/>
      </w:rPr>
      <w:t xml:space="preserve"> </w:t>
    </w:r>
    <w:r w:rsidRPr="00E06FBE">
      <w:rPr>
        <w:rFonts w:ascii="Tahoma" w:hAnsi="Tahoma" w:eastAsiaTheme="majorEastAsia" w:cs="Tahoma" w:hint="eastAsia"/>
        <w:noProof/>
        <w:color w:val="0B5294" w:themeColor="accent1" w:themeShade="BF"/>
        <w:sz w:val="16"/>
        <w:szCs w:val="16"/>
        <w:rtl/>
      </w:rPr>
      <w:t>על</w:t>
    </w:r>
    <w:r w:rsidRPr="00E06FBE">
      <w:rPr>
        <w:rFonts w:ascii="Tahoma" w:hAnsi="Tahoma" w:eastAsiaTheme="majorEastAsia" w:cs="Tahoma"/>
        <w:noProof/>
        <w:color w:val="0B5294" w:themeColor="accent1" w:themeShade="BF"/>
        <w:sz w:val="16"/>
        <w:szCs w:val="16"/>
        <w:rtl/>
      </w:rPr>
      <w:t xml:space="preserve"> </w:t>
    </w:r>
    <w:r w:rsidRPr="00E06FBE">
      <w:rPr>
        <w:rFonts w:ascii="Tahoma" w:hAnsi="Tahoma" w:eastAsiaTheme="majorEastAsia" w:cs="Tahoma" w:hint="eastAsia"/>
        <w:noProof/>
        <w:color w:val="0B5294" w:themeColor="accent1" w:themeShade="BF"/>
        <w:sz w:val="16"/>
        <w:szCs w:val="16"/>
        <w:rtl/>
      </w:rPr>
      <w:t>שכר</w:t>
    </w:r>
    <w:r w:rsidRPr="00E06FBE">
      <w:rPr>
        <w:rFonts w:ascii="Tahoma" w:hAnsi="Tahoma" w:eastAsiaTheme="majorEastAsia" w:cs="Tahoma"/>
        <w:noProof/>
        <w:color w:val="0B5294" w:themeColor="accent1" w:themeShade="BF"/>
        <w:sz w:val="16"/>
        <w:szCs w:val="16"/>
        <w:rtl/>
      </w:rPr>
      <w:t xml:space="preserve"> </w:t>
    </w:r>
    <w:r w:rsidRPr="00E06FBE">
      <w:rPr>
        <w:rFonts w:ascii="Tahoma" w:hAnsi="Tahoma" w:eastAsiaTheme="majorEastAsia" w:cs="Tahoma" w:hint="eastAsia"/>
        <w:noProof/>
        <w:color w:val="0B5294" w:themeColor="accent1" w:themeShade="BF"/>
        <w:sz w:val="16"/>
        <w:szCs w:val="16"/>
        <w:rtl/>
      </w:rPr>
      <w:t>עובדיהם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6740C9">
      <w:rPr>
        <w:rFonts w:ascii="Tahoma" w:hAnsi="Tahoma" w:eastAsiaTheme="majorEastAsia" w:cs="Tahoma"/>
        <w:b/>
        <w:bCs/>
        <w:noProof/>
        <w:color w:val="0B5294" w:themeColor="accent1" w:themeShade="BF"/>
        <w:sz w:val="16"/>
        <w:szCs w:val="16"/>
        <w:rtl/>
      </w:rPr>
      <w:t>3</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515481"/>
    <w:multiLevelType w:val="hybridMultilevel"/>
    <w:tmpl w:val="366EA84C"/>
    <w:lvl w:ilvl="0">
      <w:start w:val="1"/>
      <w:numFmt w:val="decimal"/>
      <w:lvlText w:val="%1."/>
      <w:lvlJc w:val="left"/>
      <w:pPr>
        <w:ind w:left="1004" w:hanging="360"/>
      </w:pPr>
      <w:rPr>
        <w:rFonts w:ascii="Tahoma" w:hAnsi="Tahoma" w:cs="Tahoma" w:hint="default"/>
        <w:b/>
        <w:sz w:val="17"/>
        <w:szCs w:val="17"/>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3">
    <w:nsid w:val="1DC30617"/>
    <w:multiLevelType w:val="hybridMultilevel"/>
    <w:tmpl w:val="BC0826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5">
    <w:nsid w:val="235F1CDB"/>
    <w:multiLevelType w:val="hybridMultilevel"/>
    <w:tmpl w:val="8284614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8">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9">
    <w:nsid w:val="5C625DFF"/>
    <w:multiLevelType w:val="hybridMultilevel"/>
    <w:tmpl w:val="58B46D50"/>
    <w:lvl w:ilvl="0">
      <w:start w:val="1"/>
      <w:numFmt w:val="hebrew1"/>
      <w:lvlText w:val="%1."/>
      <w:lvlJc w:val="left"/>
      <w:pPr>
        <w:ind w:left="1060" w:hanging="360"/>
      </w:pPr>
      <w:rPr>
        <w:rFonts w:ascii="Tahoma" w:hAnsi="Tahoma" w:cs="Tahoma" w:hint="default"/>
        <w:b/>
        <w:bCs w:val="0"/>
        <w:iCs w:val="0"/>
        <w:sz w:val="18"/>
        <w:szCs w:val="18"/>
      </w:r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0">
    <w:nsid w:val="67BF5139"/>
    <w:multiLevelType w:val="multilevel"/>
    <w:tmpl w:val="DC6C961C"/>
    <w:lvl w:ilvl="0">
      <w:start w:val="1"/>
      <w:numFmt w:val="decimal"/>
      <w:pStyle w:val="a1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1">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6C535D8"/>
    <w:multiLevelType w:val="hybridMultilevel"/>
    <w:tmpl w:val="8454011E"/>
    <w:lvl w:ilvl="0">
      <w:start w:val="1"/>
      <w:numFmt w:val="hebrew1"/>
      <w:lvlText w:val="%1."/>
      <w:lvlJc w:val="left"/>
      <w:pPr>
        <w:ind w:left="1004" w:hanging="360"/>
      </w:pPr>
      <w:rPr>
        <w:rFonts w:eastAsiaTheme="majorEastAsia" w:hint="default"/>
        <w:b/>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4">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F274353"/>
    <w:multiLevelType w:val="hybridMultilevel"/>
    <w:tmpl w:val="9104E772"/>
    <w:lvl w:ilvl="0">
      <w:start w:val="1"/>
      <w:numFmt w:val="decimal"/>
      <w:lvlText w:val="%1."/>
      <w:lvlJc w:val="left"/>
      <w:pPr>
        <w:ind w:left="359" w:hanging="360"/>
      </w:pPr>
      <w:rPr>
        <w:rFonts w:hint="default"/>
        <w:b w:val="0"/>
        <w:bCs w:val="0"/>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num w:numId="1">
    <w:abstractNumId w:val="6"/>
  </w:num>
  <w:num w:numId="2">
    <w:abstractNumId w:val="10"/>
  </w:num>
  <w:num w:numId="3">
    <w:abstractNumId w:val="5"/>
  </w:num>
  <w:num w:numId="4">
    <w:abstractNumId w:val="8"/>
  </w:num>
  <w:num w:numId="5">
    <w:abstractNumId w:val="7"/>
  </w:num>
  <w:num w:numId="6">
    <w:abstractNumId w:val="14"/>
  </w:num>
  <w:num w:numId="7">
    <w:abstractNumId w:val="12"/>
  </w:num>
  <w:num w:numId="8">
    <w:abstractNumId w:val="0"/>
  </w:num>
  <w:num w:numId="9">
    <w:abstractNumId w:val="11"/>
  </w:num>
  <w:num w:numId="10">
    <w:abstractNumId w:val="5"/>
  </w:num>
  <w:num w:numId="11">
    <w:abstractNumId w:val="5"/>
  </w:num>
  <w:num w:numId="12">
    <w:abstractNumId w:val="5"/>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3"/>
  </w:num>
  <w:num w:numId="26">
    <w:abstractNumId w:val="15"/>
  </w:num>
  <w:num w:numId="2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1BE6"/>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5BA"/>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6A7D"/>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682"/>
    <w:rsid w:val="00154886"/>
    <w:rsid w:val="00154C30"/>
    <w:rsid w:val="00154C71"/>
    <w:rsid w:val="001551EA"/>
    <w:rsid w:val="001553E4"/>
    <w:rsid w:val="00156292"/>
    <w:rsid w:val="001563D0"/>
    <w:rsid w:val="0015686E"/>
    <w:rsid w:val="00156A81"/>
    <w:rsid w:val="00157D30"/>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0B95"/>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02C8"/>
    <w:rsid w:val="001D200A"/>
    <w:rsid w:val="001D220E"/>
    <w:rsid w:val="001D3B88"/>
    <w:rsid w:val="001D409D"/>
    <w:rsid w:val="001D4460"/>
    <w:rsid w:val="001D458D"/>
    <w:rsid w:val="001D4E4C"/>
    <w:rsid w:val="001D5906"/>
    <w:rsid w:val="001D7F39"/>
    <w:rsid w:val="001E070A"/>
    <w:rsid w:val="001E179C"/>
    <w:rsid w:val="001E21EA"/>
    <w:rsid w:val="001E25A0"/>
    <w:rsid w:val="001E326D"/>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AC5"/>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4B83"/>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37B8D"/>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BBD"/>
    <w:rsid w:val="00280F37"/>
    <w:rsid w:val="00281CA7"/>
    <w:rsid w:val="00281E80"/>
    <w:rsid w:val="002821A4"/>
    <w:rsid w:val="0028253B"/>
    <w:rsid w:val="0028362F"/>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C3A"/>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49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4F4E"/>
    <w:rsid w:val="00345A36"/>
    <w:rsid w:val="003466C7"/>
    <w:rsid w:val="00346DF9"/>
    <w:rsid w:val="003504AD"/>
    <w:rsid w:val="00351463"/>
    <w:rsid w:val="00352F48"/>
    <w:rsid w:val="00353326"/>
    <w:rsid w:val="0035361A"/>
    <w:rsid w:val="003541A3"/>
    <w:rsid w:val="0035442A"/>
    <w:rsid w:val="00354506"/>
    <w:rsid w:val="0035490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4FD5"/>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3D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D2B"/>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669"/>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19A9"/>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0AB1"/>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0330"/>
    <w:rsid w:val="004C1982"/>
    <w:rsid w:val="004C24BD"/>
    <w:rsid w:val="004C2BED"/>
    <w:rsid w:val="004C3C98"/>
    <w:rsid w:val="004C41A4"/>
    <w:rsid w:val="004C5249"/>
    <w:rsid w:val="004C646D"/>
    <w:rsid w:val="004C777F"/>
    <w:rsid w:val="004D04A5"/>
    <w:rsid w:val="004D2DF8"/>
    <w:rsid w:val="004D3316"/>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3A45"/>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C22"/>
    <w:rsid w:val="0052621D"/>
    <w:rsid w:val="00527462"/>
    <w:rsid w:val="005276C3"/>
    <w:rsid w:val="00527873"/>
    <w:rsid w:val="00530040"/>
    <w:rsid w:val="005302AB"/>
    <w:rsid w:val="00530A7F"/>
    <w:rsid w:val="00531652"/>
    <w:rsid w:val="00532AAB"/>
    <w:rsid w:val="00532B27"/>
    <w:rsid w:val="00535208"/>
    <w:rsid w:val="00535B04"/>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29"/>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512"/>
    <w:rsid w:val="005B07DE"/>
    <w:rsid w:val="005B0DFE"/>
    <w:rsid w:val="005B12E9"/>
    <w:rsid w:val="005B1713"/>
    <w:rsid w:val="005B2281"/>
    <w:rsid w:val="005B2537"/>
    <w:rsid w:val="005B3350"/>
    <w:rsid w:val="005B426A"/>
    <w:rsid w:val="005B463B"/>
    <w:rsid w:val="005B4811"/>
    <w:rsid w:val="005B515A"/>
    <w:rsid w:val="005B59FC"/>
    <w:rsid w:val="005B5C8A"/>
    <w:rsid w:val="005B622B"/>
    <w:rsid w:val="005B7EBA"/>
    <w:rsid w:val="005C0F41"/>
    <w:rsid w:val="005C593E"/>
    <w:rsid w:val="005C62C8"/>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0E46"/>
    <w:rsid w:val="0065147A"/>
    <w:rsid w:val="00651AFD"/>
    <w:rsid w:val="00652312"/>
    <w:rsid w:val="00652A0E"/>
    <w:rsid w:val="00652ADF"/>
    <w:rsid w:val="006548CE"/>
    <w:rsid w:val="00655A3C"/>
    <w:rsid w:val="00655C9A"/>
    <w:rsid w:val="006562BE"/>
    <w:rsid w:val="00656936"/>
    <w:rsid w:val="00656DDB"/>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0C9"/>
    <w:rsid w:val="00674685"/>
    <w:rsid w:val="00674B39"/>
    <w:rsid w:val="00674CB4"/>
    <w:rsid w:val="00676370"/>
    <w:rsid w:val="00677315"/>
    <w:rsid w:val="006779F2"/>
    <w:rsid w:val="00677C89"/>
    <w:rsid w:val="00680880"/>
    <w:rsid w:val="006848C1"/>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6EB1"/>
    <w:rsid w:val="006977B2"/>
    <w:rsid w:val="00697BF1"/>
    <w:rsid w:val="00697F56"/>
    <w:rsid w:val="006A019B"/>
    <w:rsid w:val="006A257A"/>
    <w:rsid w:val="006A2939"/>
    <w:rsid w:val="006A639B"/>
    <w:rsid w:val="006A7394"/>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2134"/>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2246"/>
    <w:rsid w:val="007256CC"/>
    <w:rsid w:val="00725709"/>
    <w:rsid w:val="00726A8E"/>
    <w:rsid w:val="00726E7C"/>
    <w:rsid w:val="007310D1"/>
    <w:rsid w:val="00731C66"/>
    <w:rsid w:val="00731F92"/>
    <w:rsid w:val="007323EF"/>
    <w:rsid w:val="0073258E"/>
    <w:rsid w:val="00732B08"/>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1874"/>
    <w:rsid w:val="00761A99"/>
    <w:rsid w:val="007621B6"/>
    <w:rsid w:val="00762B63"/>
    <w:rsid w:val="00763840"/>
    <w:rsid w:val="00763FE4"/>
    <w:rsid w:val="0076417E"/>
    <w:rsid w:val="00764C43"/>
    <w:rsid w:val="00766F23"/>
    <w:rsid w:val="00767C08"/>
    <w:rsid w:val="0077052B"/>
    <w:rsid w:val="00770607"/>
    <w:rsid w:val="00770C49"/>
    <w:rsid w:val="00770FE5"/>
    <w:rsid w:val="00772DF5"/>
    <w:rsid w:val="007756B3"/>
    <w:rsid w:val="007763DB"/>
    <w:rsid w:val="00777AED"/>
    <w:rsid w:val="00781580"/>
    <w:rsid w:val="00781B8F"/>
    <w:rsid w:val="007825F8"/>
    <w:rsid w:val="0078342B"/>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55F5"/>
    <w:rsid w:val="00796B9C"/>
    <w:rsid w:val="00796C2E"/>
    <w:rsid w:val="007A071F"/>
    <w:rsid w:val="007A1C50"/>
    <w:rsid w:val="007A23E9"/>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0D5"/>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6BC"/>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26B7"/>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51A"/>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E91"/>
    <w:rsid w:val="00935FD5"/>
    <w:rsid w:val="00936019"/>
    <w:rsid w:val="0093607D"/>
    <w:rsid w:val="0093614F"/>
    <w:rsid w:val="009366F7"/>
    <w:rsid w:val="00936799"/>
    <w:rsid w:val="00936A3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33"/>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3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012"/>
    <w:rsid w:val="009F6428"/>
    <w:rsid w:val="009F64DC"/>
    <w:rsid w:val="00A0092D"/>
    <w:rsid w:val="00A00AB9"/>
    <w:rsid w:val="00A014DF"/>
    <w:rsid w:val="00A018DB"/>
    <w:rsid w:val="00A018F9"/>
    <w:rsid w:val="00A01C8C"/>
    <w:rsid w:val="00A02A8E"/>
    <w:rsid w:val="00A02BE8"/>
    <w:rsid w:val="00A0304E"/>
    <w:rsid w:val="00A0323A"/>
    <w:rsid w:val="00A0435D"/>
    <w:rsid w:val="00A05E5D"/>
    <w:rsid w:val="00A069A8"/>
    <w:rsid w:val="00A079A4"/>
    <w:rsid w:val="00A1046C"/>
    <w:rsid w:val="00A10996"/>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843"/>
    <w:rsid w:val="00A26B14"/>
    <w:rsid w:val="00A27B7B"/>
    <w:rsid w:val="00A3003D"/>
    <w:rsid w:val="00A30122"/>
    <w:rsid w:val="00A30FE4"/>
    <w:rsid w:val="00A31BFA"/>
    <w:rsid w:val="00A36F15"/>
    <w:rsid w:val="00A371B5"/>
    <w:rsid w:val="00A37AAE"/>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F19"/>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FCA"/>
    <w:rsid w:val="00AD7241"/>
    <w:rsid w:val="00AD7825"/>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5A6"/>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4C44"/>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18AF"/>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38B9"/>
    <w:rsid w:val="00B95615"/>
    <w:rsid w:val="00B96064"/>
    <w:rsid w:val="00B96F64"/>
    <w:rsid w:val="00B972EE"/>
    <w:rsid w:val="00B97A74"/>
    <w:rsid w:val="00BA051B"/>
    <w:rsid w:val="00BA08DC"/>
    <w:rsid w:val="00BA18EC"/>
    <w:rsid w:val="00BA2C23"/>
    <w:rsid w:val="00BA3299"/>
    <w:rsid w:val="00BA358D"/>
    <w:rsid w:val="00BA4104"/>
    <w:rsid w:val="00BA4CF3"/>
    <w:rsid w:val="00BA57CA"/>
    <w:rsid w:val="00BA5F0A"/>
    <w:rsid w:val="00BA6595"/>
    <w:rsid w:val="00BA6B90"/>
    <w:rsid w:val="00BA6DE9"/>
    <w:rsid w:val="00BA74E6"/>
    <w:rsid w:val="00BA76BF"/>
    <w:rsid w:val="00BA797C"/>
    <w:rsid w:val="00BA7C7A"/>
    <w:rsid w:val="00BB0207"/>
    <w:rsid w:val="00BB0D0A"/>
    <w:rsid w:val="00BB0DD3"/>
    <w:rsid w:val="00BB143A"/>
    <w:rsid w:val="00BB162C"/>
    <w:rsid w:val="00BB4C95"/>
    <w:rsid w:val="00BB58FC"/>
    <w:rsid w:val="00BB6D1C"/>
    <w:rsid w:val="00BC0FC9"/>
    <w:rsid w:val="00BC4504"/>
    <w:rsid w:val="00BC54FE"/>
    <w:rsid w:val="00BC6C3B"/>
    <w:rsid w:val="00BC6F81"/>
    <w:rsid w:val="00BC7AA5"/>
    <w:rsid w:val="00BD0182"/>
    <w:rsid w:val="00BD01FC"/>
    <w:rsid w:val="00BD1505"/>
    <w:rsid w:val="00BD178B"/>
    <w:rsid w:val="00BD296C"/>
    <w:rsid w:val="00BD2B58"/>
    <w:rsid w:val="00BD38C5"/>
    <w:rsid w:val="00BD675C"/>
    <w:rsid w:val="00BD6C42"/>
    <w:rsid w:val="00BD704C"/>
    <w:rsid w:val="00BD71E6"/>
    <w:rsid w:val="00BE03E9"/>
    <w:rsid w:val="00BE0988"/>
    <w:rsid w:val="00BE19C4"/>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3732"/>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5C9"/>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5C3B"/>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1C5F"/>
    <w:rsid w:val="00CD2727"/>
    <w:rsid w:val="00CD293F"/>
    <w:rsid w:val="00CD3559"/>
    <w:rsid w:val="00CD3FC9"/>
    <w:rsid w:val="00CD632A"/>
    <w:rsid w:val="00CD63F0"/>
    <w:rsid w:val="00CD7551"/>
    <w:rsid w:val="00CE0511"/>
    <w:rsid w:val="00CE1025"/>
    <w:rsid w:val="00CE172B"/>
    <w:rsid w:val="00CE1CCD"/>
    <w:rsid w:val="00CE234A"/>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5500"/>
    <w:rsid w:val="00D17D22"/>
    <w:rsid w:val="00D2140A"/>
    <w:rsid w:val="00D21745"/>
    <w:rsid w:val="00D228C5"/>
    <w:rsid w:val="00D228EE"/>
    <w:rsid w:val="00D2438E"/>
    <w:rsid w:val="00D255A3"/>
    <w:rsid w:val="00D25F82"/>
    <w:rsid w:val="00D27368"/>
    <w:rsid w:val="00D3198F"/>
    <w:rsid w:val="00D31CB3"/>
    <w:rsid w:val="00D33781"/>
    <w:rsid w:val="00D33D8A"/>
    <w:rsid w:val="00D343EC"/>
    <w:rsid w:val="00D35654"/>
    <w:rsid w:val="00D36781"/>
    <w:rsid w:val="00D373E5"/>
    <w:rsid w:val="00D37527"/>
    <w:rsid w:val="00D3772C"/>
    <w:rsid w:val="00D40268"/>
    <w:rsid w:val="00D40382"/>
    <w:rsid w:val="00D40B22"/>
    <w:rsid w:val="00D40DD4"/>
    <w:rsid w:val="00D4121F"/>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903"/>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D46"/>
    <w:rsid w:val="00DA1E5D"/>
    <w:rsid w:val="00DA35D6"/>
    <w:rsid w:val="00DA4F09"/>
    <w:rsid w:val="00DA5A48"/>
    <w:rsid w:val="00DA607F"/>
    <w:rsid w:val="00DA6850"/>
    <w:rsid w:val="00DA6C5B"/>
    <w:rsid w:val="00DB1106"/>
    <w:rsid w:val="00DB12CA"/>
    <w:rsid w:val="00DB19C5"/>
    <w:rsid w:val="00DB1D55"/>
    <w:rsid w:val="00DB212F"/>
    <w:rsid w:val="00DB348A"/>
    <w:rsid w:val="00DB3F3D"/>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24C"/>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6FBE"/>
    <w:rsid w:val="00E077B7"/>
    <w:rsid w:val="00E10234"/>
    <w:rsid w:val="00E10A13"/>
    <w:rsid w:val="00E11DD7"/>
    <w:rsid w:val="00E11F05"/>
    <w:rsid w:val="00E1273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3B67"/>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5CB"/>
    <w:rsid w:val="00E43F01"/>
    <w:rsid w:val="00E46189"/>
    <w:rsid w:val="00E46878"/>
    <w:rsid w:val="00E46C28"/>
    <w:rsid w:val="00E50BA5"/>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6ADC"/>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05C"/>
    <w:rsid w:val="00EC4B5F"/>
    <w:rsid w:val="00EC6320"/>
    <w:rsid w:val="00EC6340"/>
    <w:rsid w:val="00EC6FC1"/>
    <w:rsid w:val="00ED00B0"/>
    <w:rsid w:val="00ED01F1"/>
    <w:rsid w:val="00ED0E81"/>
    <w:rsid w:val="00ED1385"/>
    <w:rsid w:val="00ED15C2"/>
    <w:rsid w:val="00ED1B6A"/>
    <w:rsid w:val="00ED1BA0"/>
    <w:rsid w:val="00ED347F"/>
    <w:rsid w:val="00ED37A2"/>
    <w:rsid w:val="00ED4724"/>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6932"/>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17632"/>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4E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0B4"/>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489"/>
    <w:rsid w:val="00F76CF7"/>
    <w:rsid w:val="00F77502"/>
    <w:rsid w:val="00F77CE9"/>
    <w:rsid w:val="00F8029A"/>
    <w:rsid w:val="00F80A42"/>
    <w:rsid w:val="00F829DA"/>
    <w:rsid w:val="00F84199"/>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 w:val="00FF791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0EF554B5-BBF2-40E7-B6BE-B36D3826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11"/>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21"/>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31"/>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41"/>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53"/>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62"/>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73"/>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81"/>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91"/>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21">
    <w:name w:val="כותרת 2 תו1"/>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31">
    <w:name w:val="כותרת 3 תו1"/>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41">
    <w:name w:val="כותרת 4 תו1"/>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53">
    <w:name w:val="כותרת 5 תו3"/>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62">
    <w:name w:val="כותרת 6 תו2"/>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73">
    <w:name w:val="כותרת 7 תו3"/>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81">
    <w:name w:val="כותרת 8 תו1"/>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91">
    <w:name w:val="כותרת 9 תו1"/>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a"/>
    <w:uiPriority w:val="34"/>
    <w:qFormat/>
    <w:rsid w:val="004F49B8"/>
    <w:pPr>
      <w:autoSpaceDE w:val="0"/>
      <w:autoSpaceDN w:val="0"/>
      <w:adjustRightInd w:val="0"/>
      <w:spacing w:line="320" w:lineRule="exact"/>
      <w:jc w:val="both"/>
    </w:pPr>
    <w:rPr>
      <w:rFonts w:ascii="Tahoma" w:hAnsi="Tahoma" w:cs="Tahoma"/>
      <w:sz w:val="20"/>
    </w:rPr>
  </w:style>
  <w:style w:type="character" w:customStyle="1" w:styleId="a">
    <w:name w:val="פיסקת רשימה תו"/>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1"/>
    <w:unhideWhenUsed/>
    <w:rsid w:val="00CB3322"/>
    <w:pPr>
      <w:tabs>
        <w:tab w:val="center" w:pos="4320"/>
        <w:tab w:val="right" w:pos="8640"/>
      </w:tabs>
      <w:spacing w:after="0" w:line="240" w:lineRule="auto"/>
    </w:pPr>
  </w:style>
  <w:style w:type="character" w:customStyle="1" w:styleId="1">
    <w:name w:val="כותרת עליונה תו1"/>
    <w:basedOn w:val="DefaultParagraphFont"/>
    <w:link w:val="Header"/>
    <w:rsid w:val="00CB3322"/>
    <w:rPr>
      <w:rFonts w:cs="David"/>
      <w:sz w:val="24"/>
      <w:szCs w:val="24"/>
    </w:rPr>
  </w:style>
  <w:style w:type="paragraph" w:styleId="Footer">
    <w:name w:val="footer"/>
    <w:basedOn w:val="Normal"/>
    <w:link w:val="10"/>
    <w:uiPriority w:val="99"/>
    <w:unhideWhenUsed/>
    <w:rsid w:val="00CB3322"/>
    <w:pPr>
      <w:tabs>
        <w:tab w:val="center" w:pos="4320"/>
        <w:tab w:val="right" w:pos="8640"/>
      </w:tabs>
      <w:spacing w:after="0" w:line="240" w:lineRule="auto"/>
    </w:pPr>
  </w:style>
  <w:style w:type="character" w:customStyle="1" w:styleId="10">
    <w:name w:val="כותרת תחתונה תו1"/>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a0"/>
    <w:uiPriority w:val="99"/>
    <w:unhideWhenUsed/>
    <w:rsid w:val="00702D9F"/>
    <w:pPr>
      <w:spacing w:line="240" w:lineRule="auto"/>
    </w:pPr>
    <w:rPr>
      <w:sz w:val="20"/>
      <w:szCs w:val="20"/>
    </w:rPr>
  </w:style>
  <w:style w:type="character" w:customStyle="1" w:styleId="a0">
    <w:name w:val="טקסט הערה תו"/>
    <w:basedOn w:val="DefaultParagraphFont"/>
    <w:link w:val="CommentText"/>
    <w:uiPriority w:val="99"/>
    <w:rsid w:val="00702D9F"/>
    <w:rPr>
      <w:rFonts w:cs="David"/>
    </w:rPr>
  </w:style>
  <w:style w:type="paragraph" w:styleId="CommentSubject">
    <w:name w:val="annotation subject"/>
    <w:basedOn w:val="CommentText"/>
    <w:next w:val="CommentText"/>
    <w:link w:val="a1"/>
    <w:uiPriority w:val="99"/>
    <w:semiHidden/>
    <w:unhideWhenUsed/>
    <w:rsid w:val="00702D9F"/>
    <w:rPr>
      <w:b/>
      <w:bCs/>
    </w:rPr>
  </w:style>
  <w:style w:type="character" w:customStyle="1" w:styleId="a1">
    <w:name w:val="נושא הערה תו"/>
    <w:basedOn w:val="a0"/>
    <w:link w:val="CommentSubject"/>
    <w:uiPriority w:val="99"/>
    <w:semiHidden/>
    <w:rsid w:val="00702D9F"/>
    <w:rPr>
      <w:rFonts w:cs="David"/>
      <w:b/>
      <w:bCs/>
    </w:rPr>
  </w:style>
  <w:style w:type="paragraph" w:styleId="BalloonText">
    <w:name w:val="Balloon Text"/>
    <w:basedOn w:val="Normal"/>
    <w:link w:val="a2"/>
    <w:uiPriority w:val="99"/>
    <w:semiHidden/>
    <w:unhideWhenUsed/>
    <w:rsid w:val="00702D9F"/>
    <w:pPr>
      <w:spacing w:after="0" w:line="240" w:lineRule="auto"/>
    </w:pPr>
    <w:rPr>
      <w:rFonts w:ascii="Segoe UI" w:hAnsi="Segoe UI" w:cs="Segoe UI"/>
      <w:sz w:val="18"/>
      <w:szCs w:val="18"/>
    </w:rPr>
  </w:style>
  <w:style w:type="character" w:customStyle="1" w:styleId="a2">
    <w:name w:val="טקסט בלונים תו"/>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12"/>
    <w:unhideWhenUsed/>
    <w:rsid w:val="00D36781"/>
    <w:pPr>
      <w:keepLines/>
      <w:spacing w:after="40" w:line="200" w:lineRule="exact"/>
      <w:ind w:left="397" w:right="2268" w:hanging="397"/>
      <w:jc w:val="both"/>
    </w:pPr>
    <w:rPr>
      <w:rFonts w:ascii="Tahoma" w:hAnsi="Tahoma" w:cs="Tahoma"/>
      <w:sz w:val="14"/>
      <w:szCs w:val="14"/>
    </w:rPr>
  </w:style>
  <w:style w:type="character" w:customStyle="1" w:styleId="12">
    <w:name w:val="טקסט הערת שוליים תו1"/>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rsid w:val="00D36781"/>
    <w:rPr>
      <w:rFonts w:ascii="Tahoma" w:hAnsi="Tahoma" w:cs="Tahoma"/>
      <w:sz w:val="14"/>
      <w:szCs w:val="14"/>
    </w:rPr>
  </w:style>
  <w:style w:type="character" w:styleId="FootnoteReference1">
    <w:name w:val="footnote reference"/>
    <w:aliases w:val="Footnote Reference_0,Footnote Reference_1"/>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13"/>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13">
    <w:name w:val="כותרת טקסט תו1"/>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a3"/>
    <w:uiPriority w:val="11"/>
    <w:qFormat/>
    <w:rsid w:val="005C0F41"/>
    <w:pPr>
      <w:numPr>
        <w:ilvl w:val="1"/>
      </w:numPr>
      <w:bidi w:val="0"/>
      <w:spacing w:after="240"/>
    </w:pPr>
    <w:rPr>
      <w:caps/>
      <w:color w:val="404040" w:themeColor="text1" w:themeTint="BF"/>
      <w:spacing w:val="20"/>
      <w:sz w:val="28"/>
      <w:szCs w:val="28"/>
    </w:rPr>
  </w:style>
  <w:style w:type="character" w:customStyle="1" w:styleId="a3">
    <w:name w:val="כותרת משנה תו"/>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a4"/>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4">
    <w:name w:val="ציטוט תו"/>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a5"/>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5">
    <w:name w:val="ציטוט חזק תו"/>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a6"/>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a6">
    <w:name w:val="גוף טקסט תו"/>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2"/>
    <w:unhideWhenUsed/>
    <w:rsid w:val="00DB1D55"/>
    <w:pPr>
      <w:tabs>
        <w:tab w:val="left" w:pos="340"/>
      </w:tabs>
      <w:spacing w:line="360" w:lineRule="exact"/>
      <w:jc w:val="both"/>
    </w:pPr>
    <w:rPr>
      <w:rFonts w:ascii="Tahoma" w:hAnsi="Tahoma" w:cs="Tahoma"/>
      <w:sz w:val="22"/>
      <w:szCs w:val="22"/>
    </w:rPr>
  </w:style>
  <w:style w:type="character" w:customStyle="1" w:styleId="2">
    <w:name w:val="גוף טקסט 2 תו"/>
    <w:basedOn w:val="DefaultParagraphFont"/>
    <w:link w:val="BodyText2"/>
    <w:uiPriority w:val="99"/>
    <w:rsid w:val="00DB1D55"/>
    <w:rPr>
      <w:rFonts w:ascii="Tahoma" w:hAnsi="Tahoma" w:cs="Tahoma"/>
      <w:sz w:val="22"/>
      <w:szCs w:val="22"/>
    </w:rPr>
  </w:style>
  <w:style w:type="character" w:customStyle="1" w:styleId="14">
    <w:name w:val="כותרת 1 תו"/>
    <w:locked/>
    <w:rsid w:val="00F1368B"/>
    <w:rPr>
      <w:rFonts w:ascii="Cambria" w:hAnsi="Cambria" w:cs="Times New Roman"/>
      <w:b/>
      <w:bCs/>
      <w:kern w:val="32"/>
      <w:sz w:val="32"/>
      <w:szCs w:val="32"/>
    </w:rPr>
  </w:style>
  <w:style w:type="character" w:customStyle="1" w:styleId="20">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7">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8">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9">
    <w:name w:val="כותרת עליונה תו"/>
    <w:locked/>
    <w:rsid w:val="00F1368B"/>
    <w:rPr>
      <w:rFonts w:cs="David"/>
      <w:sz w:val="24"/>
      <w:szCs w:val="24"/>
      <w:lang w:bidi="he-IL"/>
    </w:rPr>
  </w:style>
  <w:style w:type="character" w:customStyle="1" w:styleId="a10">
    <w:name w:val="כותרת תחתונה תו"/>
    <w:locked/>
    <w:rsid w:val="00F1368B"/>
    <w:rPr>
      <w:rFonts w:cs="David"/>
      <w:sz w:val="24"/>
      <w:szCs w:val="24"/>
      <w:lang w:bidi="he-IL"/>
    </w:rPr>
  </w:style>
  <w:style w:type="character" w:customStyle="1" w:styleId="a11">
    <w:name w:val="טקסט הערת סיום תו"/>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a11"/>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32">
    <w:name w:val="גוף טקסט 3 תו"/>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32"/>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a12"/>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a12">
    <w:name w:val="טקסט רגיל תו"/>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1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1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5">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22">
    <w:name w:val="כניסה בגוף טקסט 2 תו"/>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22"/>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15">
    <w:name w:val="טקסט הערות שוליים תו"/>
    <w:rsid w:val="00F1368B"/>
    <w:rPr>
      <w:lang w:val="en-US" w:eastAsia="en-US"/>
    </w:rPr>
  </w:style>
  <w:style w:type="character" w:customStyle="1" w:styleId="a16">
    <w:name w:val="טקסט הערת שוליים תו"/>
    <w:locked/>
    <w:rsid w:val="00F1368B"/>
    <w:rPr>
      <w:lang w:val="en-US" w:eastAsia="en-US"/>
    </w:rPr>
  </w:style>
  <w:style w:type="character" w:customStyle="1" w:styleId="33">
    <w:name w:val="כניסה בגוף טקסט 3 תו"/>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33"/>
    <w:semiHidden/>
    <w:rsid w:val="00F1368B"/>
    <w:pPr>
      <w:spacing w:line="240" w:lineRule="exact"/>
      <w:ind w:left="283"/>
    </w:pPr>
    <w:rPr>
      <w:rFonts w:ascii="Times New Roman" w:eastAsia="Times New Roman" w:hAnsi="Times New Roman" w:cs="David"/>
      <w:sz w:val="16"/>
      <w:szCs w:val="16"/>
    </w:rPr>
  </w:style>
  <w:style w:type="paragraph" w:customStyle="1" w:styleId="16">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a17">
    <w:name w:val="כניסה בגוף טקסט תו"/>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a17"/>
    <w:semiHidden/>
    <w:rsid w:val="00F1368B"/>
    <w:pPr>
      <w:spacing w:line="240" w:lineRule="exact"/>
      <w:ind w:left="283"/>
    </w:pPr>
    <w:rPr>
      <w:rFonts w:ascii="Times New Roman" w:eastAsia="Times New Roman" w:hAnsi="Times New Roman" w:cs="David"/>
      <w:sz w:val="24"/>
      <w:szCs w:val="24"/>
    </w:rPr>
  </w:style>
  <w:style w:type="paragraph" w:customStyle="1" w:styleId="310">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0">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3">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0">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1">
    <w:name w:val="כותרת 41 תו"/>
    <w:rsid w:val="00F1368B"/>
    <w:rPr>
      <w:rFonts w:cs="David"/>
      <w:b/>
      <w:bCs/>
      <w:sz w:val="22"/>
      <w:szCs w:val="26"/>
    </w:rPr>
  </w:style>
  <w:style w:type="character" w:customStyle="1" w:styleId="a18">
    <w:name w:val="מפת מסמך תו"/>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a18"/>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19">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20">
    <w:name w:val="נבנצאל תו"/>
    <w:uiPriority w:val="99"/>
    <w:locked/>
    <w:rsid w:val="00F1368B"/>
    <w:rPr>
      <w:rFonts w:ascii="Rockwell" w:eastAsia="Rockwell" w:hAnsi="Rockwell" w:cs="David"/>
      <w:sz w:val="22"/>
    </w:rPr>
  </w:style>
  <w:style w:type="paragraph" w:styleId="Date">
    <w:name w:val="Date"/>
    <w:basedOn w:val="Normal"/>
    <w:next w:val="Normal"/>
    <w:link w:val="17"/>
    <w:uiPriority w:val="99"/>
    <w:rsid w:val="00F1368B"/>
    <w:pPr>
      <w:spacing w:before="120" w:after="200" w:line="240" w:lineRule="auto"/>
    </w:pPr>
    <w:rPr>
      <w:rFonts w:ascii="Rockwell" w:eastAsia="Rockwell" w:hAnsi="Rockwell" w:cs="David"/>
      <w:sz w:val="22"/>
      <w:szCs w:val="22"/>
    </w:rPr>
  </w:style>
  <w:style w:type="character" w:customStyle="1" w:styleId="17">
    <w:name w:val="תאריך תו1"/>
    <w:basedOn w:val="DefaultParagraphFont"/>
    <w:link w:val="Date"/>
    <w:uiPriority w:val="99"/>
    <w:rsid w:val="00F1368B"/>
    <w:rPr>
      <w:rFonts w:ascii="Rockwell" w:eastAsia="Rockwell" w:hAnsi="Rockwell" w:cs="David"/>
      <w:sz w:val="22"/>
      <w:szCs w:val="22"/>
    </w:rPr>
  </w:style>
  <w:style w:type="character" w:customStyle="1" w:styleId="a21">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eader" Target="header3.xml"/><Relationship Id="rId7"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header" Target="header2.xml"/><Relationship Id="rId6" Type="http://schemas.openxmlformats.org/officeDocument/2006/relationships/image" Target="media/image1.jpeg"/><Relationship Id="rId15"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image" Target="media/image5.jpeg"/><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image" Target="media/image4.jpeg"/></Relationships>
</file>

<file path=word/_rels/header1.xml.rels>&#65279;<?xml version="1.0" encoding="utf-8" standalone="yes"?><Relationships xmlns="http://schemas.openxmlformats.org/package/2006/relationships"><Relationship Id="rId1" Type="http://schemas.openxmlformats.org/officeDocument/2006/relationships/image" Target="media/image3.wmf" /></Relationships>
</file>

<file path=word/theme/_rels/theme1.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D51CF6-684F-44A0-AB74-77A8CFF9B5D5}">
  <ds:schemaRefs>
    <ds:schemaRef ds:uri="http://schemas.openxmlformats.org/officeDocument/2006/bibliography"/>
  </ds:schemaRefs>
</ds:datastoreItem>
</file>

<file path=customXml/itemProps2.xml><?xml version="1.0" encoding="utf-8"?>
<ds:datastoreItem xmlns:ds="http://schemas.openxmlformats.org/officeDocument/2006/customXml" ds:itemID="{CA5B8BBF-E7EA-4071-BBDB-90B328AD2229}"/>
</file>

<file path=customXml/itemProps3.xml><?xml version="1.0" encoding="utf-8"?>
<ds:datastoreItem xmlns:ds="http://schemas.openxmlformats.org/officeDocument/2006/customXml" ds:itemID="{D539225A-8FA8-4873-B0B1-6C85BBDA1657}"/>
</file>

<file path=customXml/itemProps4.xml><?xml version="1.0" encoding="utf-8"?>
<ds:datastoreItem xmlns:ds="http://schemas.openxmlformats.org/officeDocument/2006/customXml" ds:itemID="{8DB70426-B6E3-488C-9D4E-BB3F772DF04F}"/>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