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A0AF13BB477B4C4ABCE8BEEECC9A774D" ma:contentTypeVersion="0" ma:contentTypeDescription="צור מסמך חדש." ma:contentTypeScope="" ma:versionID="9be1e58adcb3094169c0ac8e89de6aac">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1246F85A-FEF2-438C-BCF2-BD18D5A4BF94}"/>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0x010100A0AF13BB477B4C4ABCE8BEEECC9A774D</vt:lpwstr>
  </property>
</Properties>
</file>