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ADC3C9B1FE6B94A9B6927D690763E88" ma:contentTypeVersion="0" ma:contentTypeDescription="צור מסמך חדש." ma:contentTypeScope="" ma:versionID="36e854b9ef012e0d89fefacf9d34b5ea">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786BB2A0-5E46-4316-B86F-9C74A640280C}"/>
</file>

<file path=customXml/itemProps3.xml><?xml version="1.0" encoding="utf-8"?>
<ds:datastoreItem xmlns:ds="http://schemas.openxmlformats.org/officeDocument/2006/customXml" ds:itemID="{29993409-1D88-4C4D-A22E-D6C31593285F}"/>
</file>

<file path=customXml/itemProps4.xml><?xml version="1.0" encoding="utf-8"?>
<ds:datastoreItem xmlns:ds="http://schemas.openxmlformats.org/officeDocument/2006/customXml" ds:itemID="{54E1516F-37E5-4B96-9295-E28B9D72C3E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0x0101005ADC3C9B1FE6B94A9B6927D690763E88</vt:lpwstr>
  </property>
</Properties>
</file>